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Meliá</w:t>
      </w:r>
      <w:r>
        <w:t xml:space="preserve"> </w:t>
      </w:r>
      <w:r>
        <w:t xml:space="preserve">White</w:t>
      </w:r>
      <w:r>
        <w:t xml:space="preserve"> </w:t>
      </w:r>
      <w:r>
        <w:t xml:space="preserve">House:</w:t>
      </w:r>
      <w:r>
        <w:t xml:space="preserve"> </w:t>
      </w:r>
      <w:r>
        <w:t xml:space="preserve">does</w:t>
      </w:r>
      <w:r>
        <w:t xml:space="preserve"> </w:t>
      </w:r>
      <w:r>
        <w:t xml:space="preserve">the</w:t>
      </w:r>
      <w:r>
        <w:t xml:space="preserve"> </w:t>
      </w:r>
      <w:r>
        <w:t xml:space="preserve">premium</w:t>
      </w:r>
      <w:r>
        <w:t xml:space="preserve"> </w:t>
      </w:r>
      <w:r>
        <w:t xml:space="preserve">strategy</w:t>
      </w:r>
      <w:r>
        <w:t xml:space="preserve"> </w:t>
      </w:r>
      <w:r>
        <w:t xml:space="preserve">deliver</w:t>
      </w:r>
      <w:r>
        <w:t xml:space="preserve"> </w:t>
      </w:r>
      <w:r>
        <w:t xml:space="preserve">a</w:t>
      </w:r>
      <w:r>
        <w:t xml:space="preserve"> </w:t>
      </w:r>
      <w:r>
        <w:t xml:space="preserve">consistent</w:t>
      </w:r>
      <w:r>
        <w:t xml:space="preserve"> </w:t>
      </w:r>
      <w:r>
        <w:t xml:space="preserve">guest</w:t>
      </w:r>
      <w:r>
        <w:t xml:space="preserve"> </w:t>
      </w:r>
      <w:r>
        <w:t xml:space="preserve">experience?</w:t>
      </w:r>
    </w:p>
    <w:p>
      <w:pPr>
        <w:pStyle w:val="FirstParagraph"/>
      </w:pPr>
      <w:r>
        <w:rPr>
          <w:bCs/>
          <w:b/>
        </w:rPr>
        <w:t xml:space="preserve">Draft status.</w:t>
      </w:r>
      <w:r>
        <w:t xml:space="preserve"> </w:t>
      </w:r>
      <w:r>
        <w:t xml:space="preserve">Text in [SQUARE BRACKETS] still needs your own data or a check against the original source. I could not supply these without inventing them: your photographs, your review counts, the date and site of the £117 price, and the exact Camden record titles. Each bracket says what to add and where it goes.</w:t>
      </w:r>
    </w:p>
    <w:bookmarkStart w:id="20" w:name="introduction"/>
    <w:p>
      <w:pPr>
        <w:pStyle w:val="Heading1"/>
      </w:pPr>
      <w:r>
        <w:t xml:space="preserve">1. Introduction</w:t>
      </w:r>
    </w:p>
    <w:p>
      <w:pPr>
        <w:pStyle w:val="FirstParagraph"/>
      </w:pPr>
      <w:r>
        <w:t xml:space="preserve">Meliá White House is a Grade II listed 1930s building on Albany Street, London, run by Meliá since 1999. Meliá reports a £40m, five-year renovation of all 581 bedrooms and suites, the restaurant, bar, lobby and meeting spaces. Business Traveller (2024) dates its completion to April 2023, and the hotel now positions itself as premium (Hospitality Net, 2023).</w:t>
      </w:r>
    </w:p>
    <w:p>
      <w:pPr>
        <w:pStyle w:val="BodyText"/>
      </w:pPr>
      <w:r>
        <w:t xml:space="preserve">This report asks how well that strategy delivers a consistent premium guest experience, using food and beverage (F&amp;B) as the main lens, and proposes practical improvements. Its objectives are to:</w:t>
      </w:r>
    </w:p>
    <w:p>
      <w:pPr>
        <w:numPr>
          <w:ilvl w:val="0"/>
          <w:numId w:val="1001"/>
        </w:numPr>
        <w:pStyle w:val="Compact"/>
      </w:pPr>
      <w:r>
        <w:t xml:space="preserve">build a short theory toolkit from service quality, servicescape, expectation and strategic fit literature;</w:t>
      </w:r>
    </w:p>
    <w:p>
      <w:pPr>
        <w:numPr>
          <w:ilvl w:val="0"/>
          <w:numId w:val="1001"/>
        </w:numPr>
        <w:pStyle w:val="Compact"/>
      </w:pPr>
      <w:r>
        <w:t xml:space="preserve">examine three hotel decisions (repositioning, the F&amp;B concept, diversification) and one group-level claim (premium and sustainability);</w:t>
      </w:r>
    </w:p>
    <w:p>
      <w:pPr>
        <w:numPr>
          <w:ilvl w:val="0"/>
          <w:numId w:val="1001"/>
        </w:numPr>
        <w:pStyle w:val="Compact"/>
      </w:pPr>
      <w:r>
        <w:t xml:space="preserve">test those decisions against visit evidence and secondary sources together; and</w:t>
      </w:r>
    </w:p>
    <w:p>
      <w:pPr>
        <w:numPr>
          <w:ilvl w:val="0"/>
          <w:numId w:val="1001"/>
        </w:numPr>
        <w:pStyle w:val="Compact"/>
      </w:pPr>
      <w:r>
        <w:t xml:space="preserve">recommend improvements that are costed, timed and measurable.</w:t>
      </w:r>
    </w:p>
    <w:p>
      <w:pPr>
        <w:pStyle w:val="FirstParagraph"/>
      </w:pPr>
      <w:r>
        <w:t xml:space="preserve">The argument is simple. The public spaces and breakfast deliver the premium promise. The gaps sit in small, repeated touchpoints such as a lift door, a grille or an in-room coffee. They matter more at a quoted rate near £300 than at roughly £117 [VERIFY PRICE, SITE AND DATE], and they are cheap and quick to fix.</w:t>
      </w:r>
    </w:p>
    <w:bookmarkEnd w:id="20"/>
    <w:bookmarkStart w:id="21" w:name="approach-and-methods"/>
    <w:p>
      <w:pPr>
        <w:pStyle w:val="Heading1"/>
      </w:pPr>
      <w:r>
        <w:t xml:space="preserve">2. Approach and methods</w:t>
      </w:r>
    </w:p>
    <w:p>
      <w:pPr>
        <w:pStyle w:val="FirstParagraph"/>
      </w:pPr>
      <w:r>
        <w:t xml:space="preserve">The work follows the consultancy sequence of entry, diagnosis, data collection, feedback and recommendation in Kubr (2002). Block (2011) treats consulting as getting expertise used, which suits a short advisory piece. Schein’s (1999) process consultation aims to help the client see the problem for itself. That fits poorly with a one-day visit and no continuing client relationship, so Schein is treated here as a limit on what a single diagnosis can claim.</w:t>
      </w:r>
    </w:p>
    <w:p>
      <w:pPr>
        <w:pStyle w:val="BodyText"/>
      </w:pPr>
      <w:r>
        <w:t xml:space="preserve">Primary data came from non-participant observation and photographs on a hosted tour on 9 September 2025 [CONFIRM DATE AGAINST YOUR NOTES], plus an informal conversation with hotel staff. That conversation was mostly about careers, and because the tour was hosted, what I saw was a managed version of the hotel. Staff remarks are paraphrased and are not presented as company policy. No identifiable staff or guests appear in any photograph.</w:t>
      </w:r>
    </w:p>
    <w:p>
      <w:pPr>
        <w:pStyle w:val="BodyText"/>
      </w:pPr>
      <w:r>
        <w:t xml:space="preserve">Secondary data came from Camden Council planning documents, Meliá press material, trade press (Business Traveller, 2024) and online reviews from three platforms. Triangulation follows Saunders, Lewis and Thornhill (2019). Table A (Appendix 2) lists each source’s strength and weakness.</w:t>
      </w:r>
    </w:p>
    <w:p>
      <w:pPr>
        <w:pStyle w:val="BodyText"/>
      </w:pPr>
      <w:r>
        <w:t xml:space="preserve">The limits are plain. There was one visit and a staged tour. Management strategy and financial data were not available. Corporate sources are promotional, and reviews are self-selected; using three platforms reduces platform bias but not self-selection bias. Sources also disagree. Meliá’s press material gives 581 bedrooms, while a Camden Council document gives 548 (Camden Council, 2025). Both figures are reported and neither is chosen silently. The co-working article dates from April 2024, so prices and availability may have changed, and the staff figure of about £300 is a verbal quote, not a published tariff. Findings are therefore indicative, and every claim is tied to its source.</w:t>
      </w:r>
    </w:p>
    <w:bookmarkEnd w:id="21"/>
    <w:bookmarkStart w:id="22" w:name="theory-toolkit"/>
    <w:p>
      <w:pPr>
        <w:pStyle w:val="Heading1"/>
      </w:pPr>
      <w:r>
        <w:t xml:space="preserve">3. Theory toolkit</w:t>
      </w:r>
    </w:p>
    <w:p>
      <w:pPr>
        <w:pStyle w:val="FirstParagraph"/>
      </w:pPr>
      <w:r>
        <w:t xml:space="preserve">Six theories are used, each tied to a specific decision or gap.</w:t>
      </w:r>
    </w:p>
    <w:p>
      <w:pPr>
        <w:pStyle w:val="BodyText"/>
      </w:pPr>
      <w:r>
        <w:rPr>
          <w:bCs/>
          <w:b/>
        </w:rPr>
        <w:t xml:space="preserve">Gaps Model.</w:t>
      </w:r>
      <w:r>
        <w:t xml:space="preserve"> </w:t>
      </w:r>
      <w:r>
        <w:t xml:space="preserve">Parasuraman, Zeithaml and Berry (1985) place service failure in the gaps between expectation, management perception, specification, delivery and communication. It is the master framework here because the problems found sit in Gap 3 (delivery against standard) and Gap 4 (promise against delivery). It is provider-side and says little about how guests feel, so the guest-side theories below complement it. It also treats the gaps as separable, whereas one maintenance lapse in a hotel can breach specification, delivery and marketing promise at once. Even so, it gives a disciplined way to classify each finding instead of listing complaints.</w:t>
      </w:r>
    </w:p>
    <w:p>
      <w:pPr>
        <w:pStyle w:val="BodyText"/>
      </w:pPr>
      <w:r>
        <w:rPr>
          <w:bCs/>
          <w:b/>
        </w:rPr>
        <w:t xml:space="preserve">SERVQUAL and SERVPERF.</w:t>
      </w:r>
      <w:r>
        <w:t xml:space="preserve"> </w:t>
      </w:r>
      <w:r>
        <w:t xml:space="preserve">Parasuraman, Zeithaml and Berry (1988) measure quality as perception minus expectation across five dimensions. Cronin and Taylor (1992) argue that perceptions alone predict quality better and that the dimensions shift between settings. Only perceptions are available here, from observation and reviews, so the approach is SERVPERF-style. The five dimensions (tangibles, reliability, responsiveness, assurance, empathy) are kept as a coding frame to sort evidence, not to calculate a score. This avoids pretending to measure expectations that were never collected.</w:t>
      </w:r>
    </w:p>
    <w:p>
      <w:pPr>
        <w:pStyle w:val="BodyText"/>
      </w:pPr>
      <w:r>
        <w:rPr>
          <w:bCs/>
          <w:b/>
        </w:rPr>
        <w:t xml:space="preserve">Servicescape.</w:t>
      </w:r>
      <w:r>
        <w:t xml:space="preserve"> </w:t>
      </w:r>
      <w:r>
        <w:t xml:space="preserve">Bitner (1992), building on Kotler’s (1973) atmospherics, argues that physical surroundings shape guest judgement and staff behaviour. Heritage complicates this. Timothy and Boyd (2003) show that visible age can signal authenticity but can equally read as neglect. At a premium rate, tolerance for wear should fall, so the test is whether cornices and oak outweigh a tarnished lift door and a dusty grille. Guests also infer how much a hotel cares from the surfaces they touch daily, which is why lifts and corridors carry more weight here than their size suggests.</w:t>
      </w:r>
    </w:p>
    <w:p>
      <w:pPr>
        <w:pStyle w:val="BodyText"/>
      </w:pPr>
      <w:r>
        <w:rPr>
          <w:bCs/>
          <w:b/>
        </w:rPr>
        <w:t xml:space="preserve">Expectation-disconfirmation.</w:t>
      </w:r>
      <w:r>
        <w:t xml:space="preserve"> </w:t>
      </w:r>
      <w:r>
        <w:t xml:space="preserve">Oliver (1980) holds that satisfaction depends on whether performance exceeds expectation. Expectations are hard to measure and they change over time. The theory matters here because staff quoted rooms from about £300 while booking sites show nearer £117 [VERIFY PRICE AND DATE], so guests arrive with very different reference points. The same stay can delight one guest and disappoint another with no change in what the hotel delivers, which helps explain why reviews of one building diverge.</w:t>
      </w:r>
    </w:p>
    <w:p>
      <w:pPr>
        <w:pStyle w:val="BodyText"/>
      </w:pPr>
      <w:r>
        <w:rPr>
          <w:bCs/>
          <w:b/>
        </w:rPr>
        <w:t xml:space="preserve">Differentiation and strategic fit.</w:t>
      </w:r>
      <w:r>
        <w:t xml:space="preserve"> </w:t>
      </w:r>
      <w:r>
        <w:t xml:space="preserve">Porter (1996) argues that strategy rests on activities that reinforce one another, and he separates strategy from operational effectiveness, which Porter (1985) treats as a source of cost or differentiation advantage. The</w:t>
      </w:r>
      <w:r>
        <w:t xml:space="preserve"> </w:t>
      </w:r>
      <w:r>
        <w:t xml:space="preserve">“</w:t>
      </w:r>
      <w:r>
        <w:t xml:space="preserve">stuck in the middle</w:t>
      </w:r>
      <w:r>
        <w:t xml:space="preserve">”</w:t>
      </w:r>
      <w:r>
        <w:t xml:space="preserve"> </w:t>
      </w:r>
      <w:r>
        <w:t xml:space="preserve">claim is contested. Fit is used to test whether the Mediterranean concept holds at every touchpoint, including those guests cannot see from the lobby. A concept that is vivid in public and absent in private suggests a front-of-house story, not a consistent set of activities.</w:t>
      </w:r>
    </w:p>
    <w:p>
      <w:pPr>
        <w:pStyle w:val="BodyText"/>
      </w:pPr>
      <w:r>
        <w:rPr>
          <w:bCs/>
          <w:b/>
        </w:rPr>
        <w:t xml:space="preserve">Service recovery.</w:t>
      </w:r>
      <w:r>
        <w:t xml:space="preserve"> </w:t>
      </w:r>
      <w:r>
        <w:t xml:space="preserve">Hart, Heskett and Sasser (1990) argue that a well-handled failure can build loyalty, and Tax, Brown and Chandrashekaran (1998) tie this to perceived fairness. Recovery cannot replace reliability, and fairness judgements differ between guests. The theory is used to assess the breakfast disruption. Because that rests on a single review, it is applied cautiously and the recommendation is framed as a protocol, not a verdict on past performance.</w:t>
      </w:r>
    </w:p>
    <w:bookmarkEnd w:id="22"/>
    <w:bookmarkStart w:id="23" w:name="analysis-of-four-hotel-decisions"/>
    <w:p>
      <w:pPr>
        <w:pStyle w:val="Heading1"/>
      </w:pPr>
      <w:r>
        <w:t xml:space="preserve">4. Analysis of four hotel decisions</w:t>
      </w:r>
    </w:p>
    <w:p>
      <w:pPr>
        <w:pStyle w:val="FirstParagraph"/>
      </w:pPr>
      <w:r>
        <w:rPr>
          <w:bCs/>
          <w:b/>
        </w:rPr>
        <w:t xml:space="preserve">Decision 1: a five-year repositioning while trading.</w:t>
      </w:r>
      <w:r>
        <w:t xml:space="preserve"> </w:t>
      </w:r>
      <w:r>
        <w:t xml:space="preserve">Meliá reports £40m invested over five years with the hotel kept open (Hospitality Net, 2023). Barney (1991) would treat a Grade II listed, star-shaped building as rare and hard to imitate, which points to a real advantage. Teece, Pisano and Shuen (1997) add that renovating while trading is a dynamic capability, because revenue continues. Trading through works has a cost, though: [INSERT COUNT FROM TABLE D: number of reviews mentioning faults or disruption] suggest guests absorbed it. Planning documents show work continuing after the main programme, including Wing A and a basement conversion (Camden Council, 2025). The judgement is that the heritage asset justifies the investment, but phased delivery exposed Gap 3, because promised standards were not always met while works continued. Heritage is only an advantage if it is maintained; a tired listed building turns a rare asset into a liability. The renovation therefore creates an obligation to sustain standards, not just to reach them once.</w:t>
      </w:r>
    </w:p>
    <w:p>
      <w:pPr>
        <w:pStyle w:val="BodyText"/>
      </w:pPr>
      <w:r>
        <w:rPr>
          <w:bCs/>
          <w:b/>
        </w:rPr>
        <w:t xml:space="preserve">Decision 2: the Mediterranean F&amp;B concept.</w:t>
      </w:r>
      <w:r>
        <w:t xml:space="preserve"> </w:t>
      </w:r>
      <w:r>
        <w:t xml:space="preserve">Arado, a buffet, and Spanish wines and cava form a coherent offer. For Porter (1996), fit means activities that reinforce each other, and the buffet counter with GMED oils and Real Crisps and the organic Codorníu cava on ice (Figs. 2 and 3) show that fit where guests can see it. Kotler, Bowen and Makens (2017) make the positioning point that an offer must be distinctive and consistently delivered. Breakfast is the most praised item in the reviews examined. The concept breaks in the room, where instant coffee (Fig. 5) contradicts a Spanish, premium identity. This is a Gap 4 promise-delivery mismatch and a fit failure, not just a housekeeping lapse, because it breaks the concept at the point of private consumption. The fix is modest: a Spanish coffee or tea offer extends an existing supplier relationship instead of creating a new concept. The concept’s strength elsewhere makes the lapse more noticeable, since a guest who enjoyed Spanish oils and cava at breakfast will judge the room’s coffee against that standard, not against a generic hotel.</w:t>
      </w:r>
    </w:p>
    <w:p>
      <w:pPr>
        <w:pStyle w:val="BodyText"/>
      </w:pPr>
      <w:r>
        <w:rPr>
          <w:bCs/>
          <w:b/>
        </w:rPr>
        <w:t xml:space="preserve">Decision 3: diversification through The Level and public co-working.</w:t>
      </w:r>
      <w:r>
        <w:t xml:space="preserve"> </w:t>
      </w:r>
      <w:r>
        <w:t xml:space="preserve">Business Traveller (2024) reports ten workspaces from £40 a day, with 10% off at Arado and ’35 Bar and complimentary tea, coffee and snacks. The Level lounge has its own entrance on Longford Street and was previously open only to guests in selected suites. This is enterprise behaviour: a new income stream from under-used space, with cross-selling into F&amp;B, consistent with Enz’s (2010) account of strategy and new revenue. The lounge and communal table (Fig. 4) and ’35 Bar (Fig. 8) show a flexible work-and-dine space and a distinct second outlet. It is a sound use of space, but no usage or revenue figures were available, so it cannot be called a success. The evidence supports intent, not performance. Management should track desk bookings and discount redemptions to see whether the scheme draws new spend into the restaurant and bar. The trade press source may also carry partner input. Ten desks are a small share of a hotel with several hundred rooms, so the scheme is better read as a way to draw local professionals into Arado and ’35 Bar than as a major revenue line.</w:t>
      </w:r>
    </w:p>
    <w:p>
      <w:pPr>
        <w:pStyle w:val="BodyText"/>
      </w:pPr>
      <w:r>
        <w:rPr>
          <w:bCs/>
          <w:b/>
        </w:rPr>
        <w:t xml:space="preserve">Decision 4: group premium strategy and sustainability.</w:t>
      </w:r>
      <w:r>
        <w:t xml:space="preserve"> </w:t>
      </w:r>
      <w:r>
        <w:t xml:space="preserve">Brand Finance’s Hotels 50 2026 ranking places Meliá seventh among luxury hotel brands and the only Spanish company in the top ten strongest luxury brands (Journal des Palaces, 2026). An earlier draft of this report quoted about 65% of the portfolio as premium or luxury. I could not find that figure in the coverage, so it is dropped unless you can source it [ADD SOURCE, e.g. Meliá annual report, or delete]. Han, Hsu and Sheu (2010) show an attitude-behaviour gap: guests favour green hotels more readily than they pay for them. The only visit evidence is the organic cava. Sustainability is therefore supporting value, not the lead, and group claims come from promotional sources and are treated that way. A hotel that wanted guests to value sustainability would need visible, repeated cues, and one organic product offers little. This decision is best read as group-level brand positioning with limited evidence of guest-level effect at this property.</w:t>
      </w:r>
    </w:p>
    <w:bookmarkEnd w:id="23"/>
    <w:bookmarkStart w:id="24" w:name="how-well-is-it-working"/>
    <w:p>
      <w:pPr>
        <w:pStyle w:val="Heading1"/>
      </w:pPr>
      <w:r>
        <w:t xml:space="preserve">5. How well is it working?</w:t>
      </w:r>
    </w:p>
    <w:p>
      <w:pPr>
        <w:pStyle w:val="FirstParagraph"/>
      </w:pPr>
      <w:r>
        <w:t xml:space="preserve">The evidence converges on one pattern: strength where guests look first, weakness in repeated detail. Photographs, staff conversation, planning and press documents, and reviews point the same way, though all carry bias (Saunders et al., 2019). Triangulation is a cross-check on credibility, not statistical proof. Observation shows the intended design, reviews show lived experience, and the planning and press documents show what the hotel says it has done. Where these disagree, repeated guest accounts outweigh a single promotional claim.</w:t>
      </w:r>
    </w:p>
    <w:p>
      <w:pPr>
        <w:pStyle w:val="BodyText"/>
      </w:pPr>
      <w:r>
        <w:t xml:space="preserve">Table D (Appendix 5) summarises the 40-review sample [INSERT YOUR TOTALS, e.g. </w:t>
      </w:r>
      <w:r>
        <w:t xml:space="preserve">“</w:t>
      </w:r>
      <w:r>
        <w:t xml:space="preserve">Tangibles drew X positive and Y negative mentions</w:t>
      </w:r>
      <w:r>
        <w:t xml:space="preserve">”</w:t>
      </w:r>
      <w:r>
        <w:t xml:space="preserve">]. Breakfast and staff attract the most praise, and reviews that name individual staff are a clear positive. The service-profit chain (Heskett et al., 1994) would link satisfied staff to guest loyalty, but its causal links are weakly supported, so it is context only. The narrower point stands: where staff are named, they are named favourably, so frontline service is a strength the hotel can build on while it fixes the physical details.</w:t>
      </w:r>
    </w:p>
    <w:p>
      <w:pPr>
        <w:pStyle w:val="BodyText"/>
      </w:pPr>
      <w:r>
        <w:t xml:space="preserve">Table E (Appendix 6) sets brand promise against observation. Three rows matter most.</w:t>
      </w:r>
    </w:p>
    <w:p>
      <w:pPr>
        <w:numPr>
          <w:ilvl w:val="0"/>
          <w:numId w:val="1002"/>
        </w:numPr>
        <w:pStyle w:val="Compact"/>
      </w:pPr>
      <w:r>
        <w:t xml:space="preserve">The promise to exceed expectations sits against a tarnished lift door and a dusty gym grille (Figs. 1 and 6): a medium Gap 3.</w:t>
      </w:r>
    </w:p>
    <w:p>
      <w:pPr>
        <w:numPr>
          <w:ilvl w:val="0"/>
          <w:numId w:val="1002"/>
        </w:numPr>
        <w:pStyle w:val="Compact"/>
      </w:pPr>
      <w:r>
        <w:t xml:space="preserve">The Mediterranean identity sits against instant coffee in the room (Fig. 5): a low-to-medium Gap 4.</w:t>
      </w:r>
    </w:p>
    <w:p>
      <w:pPr>
        <w:numPr>
          <w:ilvl w:val="0"/>
          <w:numId w:val="1002"/>
        </w:numPr>
        <w:pStyle w:val="Compact"/>
      </w:pPr>
      <w:r>
        <w:t xml:space="preserve">The promise of a consistent Meliá standard sits against one review reporting breakfast moved offsite after an electrical fault: a high Gap 3, but resting on a single review and needing corroboration.</w:t>
      </w:r>
    </w:p>
    <w:p>
      <w:pPr>
        <w:pStyle w:val="FirstParagraph"/>
      </w:pPr>
      <w:r>
        <w:t xml:space="preserve">Price sharpens every gap. Oliver (1980) implies that guests paying near £300 expect more than guests paying £117 [VERIFY], so the same worn lift reads as character at one price and neglect at the other (Bitner, 1992; Timothy and Boyd, 2003). Lemon and Verhoef (2016) add that guests remember the weakest touchpoint, so one tarnished lift can outweigh an excellent breakfast. That is the strongest argument for treating small fixes as strategic: they protect the investment already made in the public spaces.</w:t>
      </w:r>
    </w:p>
    <w:p>
      <w:pPr>
        <w:pStyle w:val="BodyText"/>
      </w:pPr>
      <w:r>
        <w:t xml:space="preserve">Overall, the strategy works at the headline touchpoints and underdelivers on consistency. In Gaps Model terms the hotel has probably set the right standards, since the public spaces show clear design intent, but it does not yet deliver them evenly. The weakness is mainly Gap 3, with a smaller Gap 4 around the Mediterranean promise in rooms. That is encouraging, because Gap 3 failures respond to routine checklist control, not capital spend. The findings describe upkeep of a repositioning that largely succeeded, not a case for rethinking it.</w:t>
      </w:r>
    </w:p>
    <w:bookmarkEnd w:id="24"/>
    <w:bookmarkStart w:id="25" w:name="recommendations"/>
    <w:p>
      <w:pPr>
        <w:pStyle w:val="Heading1"/>
      </w:pPr>
      <w:r>
        <w:t xml:space="preserve">6. Recommendations</w:t>
      </w:r>
    </w:p>
    <w:p>
      <w:pPr>
        <w:pStyle w:val="FirstParagraph"/>
      </w:pPr>
      <w:r>
        <w:t xml:space="preserve">All costs and timings are my own estimates. Actions are ranked by impact against effort, and Table 1 summarises them.</w:t>
      </w:r>
    </w:p>
    <w:p>
      <w:pPr>
        <w:pStyle w:val="BodyText"/>
      </w:pPr>
      <w:r>
        <w:rPr>
          <w:bCs/>
          <w:b/>
        </w:rPr>
        <w:t xml:space="preserve">1. Breakfast service-recovery protocol (low cost, about one month).</w:t>
      </w:r>
      <w:r>
        <w:t xml:space="preserve"> </w:t>
      </w:r>
      <w:r>
        <w:t xml:space="preserve">Train staff to respond to disruption and set clear compensation. The evidence is the offsite-breakfast review; Hart et al. (1990) and Tax et al. (1998) show that fair recovery can turn failure into goodwill. Measure complaint resolution rate and review response time. The risk is staff time. Because only one review supports the disruption, pilot the protocol and log its use to see whether the problem recurs.</w:t>
      </w:r>
    </w:p>
    <w:p>
      <w:pPr>
        <w:pStyle w:val="BodyText"/>
      </w:pPr>
      <w:r>
        <w:rPr>
          <w:bCs/>
          <w:b/>
        </w:rPr>
        <w:t xml:space="preserve">2. Weekly guest-facing condition check (low cost, one to three months).</w:t>
      </w:r>
      <w:r>
        <w:t xml:space="preserve"> </w:t>
      </w:r>
      <w:r>
        <w:t xml:space="preserve">Audit lifts, grilles and corridors against a simple tangibles checklist. The evidence is Figs. 1, 6 and 7, and the theory is SERVQUAL tangibles and Bitner (1992). Measure audit pass rate and the tangibles score in reviews. Some repairs may need listed-building consent, but polishing brass or cleaning grilles does not, so most of the check can start immediately.</w:t>
      </w:r>
    </w:p>
    <w:p>
      <w:pPr>
        <w:pStyle w:val="BodyText"/>
      </w:pPr>
      <w:r>
        <w:rPr>
          <w:bCs/>
          <w:b/>
        </w:rPr>
        <w:t xml:space="preserve">3. Clear room-tier descriptions (low cost, one to two months).</w:t>
      </w:r>
      <w:r>
        <w:t xml:space="preserve"> </w:t>
      </w:r>
      <w:r>
        <w:t xml:space="preserve">Describe tiers so expectations match price. The evidence is the £300 against £117 gap, and the theory is Oliver (1980) and yield management (Kimes, 1989). Measure reviews mentioning value. The risk is revenue dilution if clarity lowers bookings in lower tiers.</w:t>
      </w:r>
    </w:p>
    <w:p>
      <w:pPr>
        <w:pStyle w:val="BodyText"/>
      </w:pPr>
      <w:r>
        <w:rPr>
          <w:bCs/>
          <w:b/>
        </w:rPr>
        <w:t xml:space="preserve">4. Bring Arado into the rooms (low-to-medium cost, about three months).</w:t>
      </w:r>
      <w:r>
        <w:t xml:space="preserve"> </w:t>
      </w:r>
      <w:r>
        <w:t xml:space="preserve">Offer Spanish coffee or tea and a short local-products card. The evidence is Figs. 5 and 2, and the theory is Porter’s (1996) fit and Pine and Gilmore (1998) on staging experience. Measure in-room F&amp;B mentions and minibar spend. The risk is cost per room across a large room stock, so start with a pilot floor, which also gives the before-and-after evidence this study lacks. It is ranked last because it is the only action that changes the product and adds a recurring unit cost.</w:t>
      </w:r>
    </w:p>
    <w:p>
      <w:pPr>
        <w:pStyle w:val="BodyText"/>
      </w:pPr>
      <w:r>
        <w:rPr>
          <w:bCs/>
          <w:b/>
        </w:rPr>
        <w:t xml:space="preserve">Table 1: Action plan</w:t>
      </w:r>
    </w:p>
    <w:tbl>
      <w:tblPr>
        <w:tblStyle w:val="Table"/>
        <w:tblW w:type="pct" w:w="5000"/>
        <w:tblLook w:firstRow="1" w:lastRow="0" w:firstColumn="0" w:lastColumn="0" w:noHBand="0" w:noVBand="0" w:val="0020"/>
        <w:jc w:val="start"/>
      </w:tblPr>
      <w:tblGrid>
        <w:gridCol w:w="339"/>
        <w:gridCol w:w="905"/>
        <w:gridCol w:w="792"/>
        <w:gridCol w:w="905"/>
        <w:gridCol w:w="1470"/>
        <w:gridCol w:w="565"/>
        <w:gridCol w:w="2941"/>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Timing</w:t>
            </w:r>
          </w:p>
        </w:tc>
        <w:tc>
          <w:tcPr/>
          <w:p>
            <w:pPr>
              <w:pStyle w:val="Compact"/>
              <w:jc w:val="left"/>
            </w:pPr>
            <w:r>
              <w:t xml:space="preserve">Cost (est.)</w:t>
            </w:r>
          </w:p>
        </w:tc>
        <w:tc>
          <w:tcPr/>
          <w:p>
            <w:pPr>
              <w:pStyle w:val="Compact"/>
              <w:jc w:val="left"/>
            </w:pPr>
            <w:r>
              <w:t xml:space="preserve">KPI</w:t>
            </w:r>
          </w:p>
        </w:tc>
        <w:tc>
          <w:tcPr/>
          <w:p>
            <w:pPr>
              <w:pStyle w:val="Compact"/>
              <w:jc w:val="left"/>
            </w:pPr>
            <w:r>
              <w:t xml:space="preserve">Target after one quarter</w:t>
            </w:r>
          </w:p>
        </w:tc>
      </w:tr>
      <w:tr>
        <w:tc>
          <w:tcPr/>
          <w:p>
            <w:pPr>
              <w:pStyle w:val="Compact"/>
              <w:jc w:val="left"/>
            </w:pPr>
            <w:r>
              <w:t xml:space="preserve">1</w:t>
            </w:r>
          </w:p>
        </w:tc>
        <w:tc>
          <w:tcPr/>
          <w:p>
            <w:pPr>
              <w:pStyle w:val="Compact"/>
              <w:jc w:val="left"/>
            </w:pPr>
            <w:r>
              <w:t xml:space="preserve">Breakfast recovery protocol</w:t>
            </w:r>
          </w:p>
        </w:tc>
        <w:tc>
          <w:tcPr/>
          <w:p>
            <w:pPr>
              <w:pStyle w:val="Compact"/>
              <w:jc w:val="left"/>
            </w:pPr>
            <w:r>
              <w:t xml:space="preserve">Guest services / F&amp;B</w:t>
            </w:r>
          </w:p>
        </w:tc>
        <w:tc>
          <w:tcPr/>
          <w:p>
            <w:pPr>
              <w:pStyle w:val="Compact"/>
              <w:jc w:val="left"/>
            </w:pPr>
            <w:r>
              <w:t xml:space="preserve">~1 month</w:t>
            </w:r>
          </w:p>
        </w:tc>
        <w:tc>
          <w:tcPr/>
          <w:p>
            <w:pPr>
              <w:pStyle w:val="Compact"/>
              <w:jc w:val="left"/>
            </w:pPr>
            <w:r>
              <w:t xml:space="preserve">Low [ADD £ ESTIMATE]</w:t>
            </w:r>
          </w:p>
        </w:tc>
        <w:tc>
          <w:tcPr/>
          <w:p>
            <w:pPr>
              <w:pStyle w:val="Compact"/>
              <w:jc w:val="left"/>
            </w:pPr>
            <w:r>
              <w:t xml:space="preserve">Complaint resolution rate; review response time</w:t>
            </w:r>
          </w:p>
        </w:tc>
        <w:tc>
          <w:tcPr/>
          <w:p>
            <w:pPr>
              <w:pStyle w:val="Compact"/>
              <w:jc w:val="left"/>
            </w:pPr>
            <w:r>
              <w:t xml:space="preserve">[SET TARGET]</w:t>
            </w:r>
          </w:p>
        </w:tc>
      </w:tr>
      <w:tr>
        <w:tc>
          <w:tcPr/>
          <w:p>
            <w:pPr>
              <w:pStyle w:val="Compact"/>
              <w:jc w:val="left"/>
            </w:pPr>
            <w:r>
              <w:t xml:space="preserve">2</w:t>
            </w:r>
          </w:p>
        </w:tc>
        <w:tc>
          <w:tcPr/>
          <w:p>
            <w:pPr>
              <w:pStyle w:val="Compact"/>
              <w:jc w:val="left"/>
            </w:pPr>
            <w:r>
              <w:t xml:space="preserve">Weekly condition check</w:t>
            </w:r>
          </w:p>
        </w:tc>
        <w:tc>
          <w:tcPr/>
          <w:p>
            <w:pPr>
              <w:pStyle w:val="Compact"/>
              <w:jc w:val="left"/>
            </w:pPr>
            <w:r>
              <w:t xml:space="preserve">Housekeeping / engineering</w:t>
            </w:r>
          </w:p>
        </w:tc>
        <w:tc>
          <w:tcPr/>
          <w:p>
            <w:pPr>
              <w:pStyle w:val="Compact"/>
              <w:jc w:val="left"/>
            </w:pPr>
            <w:r>
              <w:t xml:space="preserve">1-3 months</w:t>
            </w:r>
          </w:p>
        </w:tc>
        <w:tc>
          <w:tcPr/>
          <w:p>
            <w:pPr>
              <w:pStyle w:val="Compact"/>
              <w:jc w:val="left"/>
            </w:pPr>
            <w:r>
              <w:t xml:space="preserve">Low [ADD £]</w:t>
            </w:r>
          </w:p>
        </w:tc>
        <w:tc>
          <w:tcPr/>
          <w:p>
            <w:pPr>
              <w:pStyle w:val="Compact"/>
              <w:jc w:val="left"/>
            </w:pPr>
            <w:r>
              <w:t xml:space="preserve">Audit pass rate; tangibles mentions in reviews</w:t>
            </w:r>
          </w:p>
        </w:tc>
        <w:tc>
          <w:tcPr/>
          <w:p>
            <w:pPr>
              <w:pStyle w:val="Compact"/>
              <w:jc w:val="left"/>
            </w:pPr>
            <w:r>
              <w:t xml:space="preserve">[SET TARGET]</w:t>
            </w:r>
          </w:p>
        </w:tc>
      </w:tr>
      <w:tr>
        <w:tc>
          <w:tcPr/>
          <w:p>
            <w:pPr>
              <w:pStyle w:val="Compact"/>
              <w:jc w:val="left"/>
            </w:pPr>
            <w:r>
              <w:t xml:space="preserve">3</w:t>
            </w:r>
          </w:p>
        </w:tc>
        <w:tc>
          <w:tcPr/>
          <w:p>
            <w:pPr>
              <w:pStyle w:val="Compact"/>
              <w:jc w:val="left"/>
            </w:pPr>
            <w:r>
              <w:t xml:space="preserve">Room-tier descriptions</w:t>
            </w:r>
          </w:p>
        </w:tc>
        <w:tc>
          <w:tcPr/>
          <w:p>
            <w:pPr>
              <w:pStyle w:val="Compact"/>
              <w:jc w:val="left"/>
            </w:pPr>
            <w:r>
              <w:t xml:space="preserve">Revenue management</w:t>
            </w:r>
          </w:p>
        </w:tc>
        <w:tc>
          <w:tcPr/>
          <w:p>
            <w:pPr>
              <w:pStyle w:val="Compact"/>
              <w:jc w:val="left"/>
            </w:pPr>
            <w:r>
              <w:t xml:space="preserve">1-2 months</w:t>
            </w:r>
          </w:p>
        </w:tc>
        <w:tc>
          <w:tcPr/>
          <w:p>
            <w:pPr>
              <w:pStyle w:val="Compact"/>
              <w:jc w:val="left"/>
            </w:pPr>
            <w:r>
              <w:t xml:space="preserve">Low [ADD £]</w:t>
            </w:r>
          </w:p>
        </w:tc>
        <w:tc>
          <w:tcPr/>
          <w:p>
            <w:pPr>
              <w:pStyle w:val="Compact"/>
              <w:jc w:val="left"/>
            </w:pPr>
            <w:r>
              <w:t xml:space="preserve">Value-for-money mentions</w:t>
            </w:r>
          </w:p>
        </w:tc>
        <w:tc>
          <w:tcPr/>
          <w:p>
            <w:pPr>
              <w:pStyle w:val="Compact"/>
              <w:jc w:val="left"/>
            </w:pPr>
            <w:r>
              <w:t xml:space="preserve">[SET TARGET]</w:t>
            </w:r>
          </w:p>
        </w:tc>
      </w:tr>
      <w:tr>
        <w:tc>
          <w:tcPr/>
          <w:p>
            <w:pPr>
              <w:pStyle w:val="Compact"/>
              <w:jc w:val="left"/>
            </w:pPr>
            <w:r>
              <w:t xml:space="preserve">4</w:t>
            </w:r>
          </w:p>
        </w:tc>
        <w:tc>
          <w:tcPr/>
          <w:p>
            <w:pPr>
              <w:pStyle w:val="Compact"/>
              <w:jc w:val="left"/>
            </w:pPr>
            <w:r>
              <w:t xml:space="preserve">Arado in rooms (pilot floor)</w:t>
            </w:r>
          </w:p>
        </w:tc>
        <w:tc>
          <w:tcPr/>
          <w:p>
            <w:pPr>
              <w:pStyle w:val="Compact"/>
              <w:jc w:val="left"/>
            </w:pPr>
            <w:r>
              <w:t xml:space="preserve">F&amp;B / rooms division</w:t>
            </w:r>
          </w:p>
        </w:tc>
        <w:tc>
          <w:tcPr/>
          <w:p>
            <w:pPr>
              <w:pStyle w:val="Compact"/>
              <w:jc w:val="left"/>
            </w:pPr>
            <w:r>
              <w:t xml:space="preserve">~3 months</w:t>
            </w:r>
          </w:p>
        </w:tc>
        <w:tc>
          <w:tcPr/>
          <w:p>
            <w:pPr>
              <w:pStyle w:val="Compact"/>
              <w:jc w:val="left"/>
            </w:pPr>
            <w:r>
              <w:t xml:space="preserve">Low-medium [ADD £ PER ROOM]</w:t>
            </w:r>
          </w:p>
        </w:tc>
        <w:tc>
          <w:tcPr/>
          <w:p>
            <w:pPr>
              <w:pStyle w:val="Compact"/>
              <w:jc w:val="left"/>
            </w:pPr>
            <w:r>
              <w:t xml:space="preserve">In-room F&amp;B mentions; minibar spend</w:t>
            </w:r>
          </w:p>
        </w:tc>
        <w:tc>
          <w:tcPr/>
          <w:p>
            <w:pPr>
              <w:pStyle w:val="Compact"/>
              <w:jc w:val="left"/>
            </w:pPr>
            <w:r>
              <w:t xml:space="preserve">[SET TARGET]</w:t>
            </w:r>
          </w:p>
        </w:tc>
      </w:tr>
    </w:tbl>
    <w:p>
      <w:pPr>
        <w:pStyle w:val="BodyText"/>
      </w:pPr>
      <w:r>
        <w:t xml:space="preserve">Actions 1 to 3 address reliability and expectation, the main sources of dissatisfaction in the evidence. They can run in parallel because they draw on different teams. Judge success after one quarter against these KPIs, using the same review-coding frame so results compare with this study’s baseline.</w:t>
      </w:r>
    </w:p>
    <w:bookmarkEnd w:id="25"/>
    <w:bookmarkStart w:id="26" w:name="conclusion"/>
    <w:p>
      <w:pPr>
        <w:pStyle w:val="Heading1"/>
      </w:pPr>
      <w:r>
        <w:t xml:space="preserve">7. Conclusion</w:t>
      </w:r>
    </w:p>
    <w:p>
      <w:pPr>
        <w:pStyle w:val="FirstParagraph"/>
      </w:pPr>
      <w:r>
        <w:t xml:space="preserve">The strategy largely delivers where guests look first (public spaces, breakfast and staff) but underdelivers on consistency. The premium promise leaks through small, repeated touchpoints, and they are inexpensive to fix. These findings rest on one hosted visit, perceptions only and self-selected reviews, so they indicate a pattern and do not prove it. Further work should test the pattern against a larger review set and management data.</w:t>
      </w:r>
    </w:p>
    <w:bookmarkEnd w:id="26"/>
    <w:bookmarkStart w:id="27" w:name="references"/>
    <w:p>
      <w:pPr>
        <w:pStyle w:val="Heading1"/>
      </w:pPr>
      <w:r>
        <w:t xml:space="preserve">References</w:t>
      </w:r>
    </w:p>
    <w:p>
      <w:pPr>
        <w:pStyle w:val="FirstParagraph"/>
      </w:pPr>
      <w:r>
        <w:t xml:space="preserve">Barney, J. (1991)</w:t>
      </w:r>
      <w:r>
        <w:t xml:space="preserve"> </w:t>
      </w:r>
      <w:r>
        <w:t xml:space="preserve">‘</w:t>
      </w:r>
      <w:r>
        <w:t xml:space="preserve">Firm resources and sustained competitive advantage</w:t>
      </w:r>
      <w:r>
        <w:t xml:space="preserve">’</w:t>
      </w:r>
      <w:r>
        <w:t xml:space="preserve">,</w:t>
      </w:r>
      <w:r>
        <w:t xml:space="preserve"> </w:t>
      </w:r>
      <w:r>
        <w:rPr>
          <w:iCs/>
          <w:i/>
        </w:rPr>
        <w:t xml:space="preserve">Journal of Management</w:t>
      </w:r>
      <w:r>
        <w:t xml:space="preserve">, 17(1), pp. 99-120.</w:t>
      </w:r>
    </w:p>
    <w:p>
      <w:pPr>
        <w:pStyle w:val="BodyText"/>
      </w:pPr>
      <w:r>
        <w:t xml:space="preserve">Bitner, M.J. (1992)</w:t>
      </w:r>
      <w:r>
        <w:t xml:space="preserve"> </w:t>
      </w:r>
      <w:r>
        <w:t xml:space="preserve">‘</w:t>
      </w:r>
      <w:r>
        <w:t xml:space="preserve">Servicescapes: the impact of physical surroundings on customers and employees</w:t>
      </w:r>
      <w:r>
        <w:t xml:space="preserve">’</w:t>
      </w:r>
      <w:r>
        <w:t xml:space="preserve">,</w:t>
      </w:r>
      <w:r>
        <w:t xml:space="preserve"> </w:t>
      </w:r>
      <w:r>
        <w:rPr>
          <w:iCs/>
          <w:i/>
        </w:rPr>
        <w:t xml:space="preserve">Journal of Marketing</w:t>
      </w:r>
      <w:r>
        <w:t xml:space="preserve">, 56(2), pp. 57-71.</w:t>
      </w:r>
    </w:p>
    <w:p>
      <w:pPr>
        <w:pStyle w:val="BodyText"/>
      </w:pPr>
      <w:r>
        <w:t xml:space="preserve">Block, P. (2011)</w:t>
      </w:r>
      <w:r>
        <w:t xml:space="preserve"> </w:t>
      </w:r>
      <w:r>
        <w:rPr>
          <w:iCs/>
          <w:i/>
        </w:rPr>
        <w:t xml:space="preserve">Flawless Consulting: A Guide to Getting Your Expertise Used</w:t>
      </w:r>
      <w:r>
        <w:t xml:space="preserve">. 3rd edn. San Francisco: Pfeiffer.</w:t>
      </w:r>
    </w:p>
    <w:p>
      <w:pPr>
        <w:pStyle w:val="BodyText"/>
      </w:pPr>
      <w:r>
        <w:t xml:space="preserve">Business Traveller (2024)</w:t>
      </w:r>
      <w:r>
        <w:t xml:space="preserve"> </w:t>
      </w:r>
      <w:r>
        <w:t xml:space="preserve">‘</w:t>
      </w:r>
      <w:r>
        <w:t xml:space="preserve">London’s Meliá White House introduces co-working spaces</w:t>
      </w:r>
      <w:r>
        <w:t xml:space="preserve">’</w:t>
      </w:r>
      <w:r>
        <w:t xml:space="preserve">, 21 April. Available at: https://www.businesstraveller.com/business-travel/2024/04/21/londons-melia-white-house-introduces-co-working-spaces/ (Accessed: 8 October 2026).</w:t>
      </w:r>
    </w:p>
    <w:p>
      <w:pPr>
        <w:pStyle w:val="BodyText"/>
      </w:pPr>
      <w:r>
        <w:t xml:space="preserve">Camden Council (2025) [ADD DOCUMENT TITLE]</w:t>
      </w:r>
      <w:r>
        <w:t xml:space="preserve"> </w:t>
      </w:r>
      <w:r>
        <w:rPr>
          <w:iCs/>
          <w:i/>
        </w:rPr>
        <w:t xml:space="preserve">White House Hotel, Albany Street: listed building consent supporting documents</w:t>
      </w:r>
      <w:r>
        <w:t xml:space="preserve">. Available at: https://camdocs.camden.gov.uk/CMWebDrawer/Record/7286405/file/document [CONFIRM THIS RECORD IS THE ONE YOU USED; A SECOND CANDIDATE IS RECORD 7718853] (Accessed: 8 October 2026).</w:t>
      </w:r>
    </w:p>
    <w:p>
      <w:pPr>
        <w:pStyle w:val="BodyText"/>
      </w:pPr>
      <w:r>
        <w:t xml:space="preserve">Cronin, J.J. and Taylor, S.A. (1992)</w:t>
      </w:r>
      <w:r>
        <w:t xml:space="preserve"> </w:t>
      </w:r>
      <w:r>
        <w:t xml:space="preserve">‘</w:t>
      </w:r>
      <w:r>
        <w:t xml:space="preserve">Measuring service quality: a reexamination and extension</w:t>
      </w:r>
      <w:r>
        <w:t xml:space="preserve">’</w:t>
      </w:r>
      <w:r>
        <w:t xml:space="preserve">,</w:t>
      </w:r>
      <w:r>
        <w:t xml:space="preserve"> </w:t>
      </w:r>
      <w:r>
        <w:rPr>
          <w:iCs/>
          <w:i/>
        </w:rPr>
        <w:t xml:space="preserve">Journal of Marketing</w:t>
      </w:r>
      <w:r>
        <w:t xml:space="preserve">, 56(3), pp. 55-68.</w:t>
      </w:r>
    </w:p>
    <w:p>
      <w:pPr>
        <w:pStyle w:val="BodyText"/>
      </w:pPr>
      <w:r>
        <w:t xml:space="preserve">Enz, C.A. (2010)</w:t>
      </w:r>
      <w:r>
        <w:t xml:space="preserve"> </w:t>
      </w:r>
      <w:r>
        <w:rPr>
          <w:iCs/>
          <w:i/>
        </w:rPr>
        <w:t xml:space="preserve">Hospitality Strategic Management: Concepts and Cases</w:t>
      </w:r>
      <w:r>
        <w:t xml:space="preserve">. 2nd edn. Hoboken: Wiley.</w:t>
      </w:r>
    </w:p>
    <w:p>
      <w:pPr>
        <w:pStyle w:val="BodyText"/>
      </w:pPr>
      <w:r>
        <w:t xml:space="preserve">Han, H., Hsu, L.-T. and Sheu, C. (2010)</w:t>
      </w:r>
      <w:r>
        <w:t xml:space="preserve"> </w:t>
      </w:r>
      <w:r>
        <w:t xml:space="preserve">‘</w:t>
      </w:r>
      <w:r>
        <w:t xml:space="preserve">Application of the theory of planned behavior to green hotel choice</w:t>
      </w:r>
      <w:r>
        <w:t xml:space="preserve">’</w:t>
      </w:r>
      <w:r>
        <w:t xml:space="preserve">,</w:t>
      </w:r>
      <w:r>
        <w:t xml:space="preserve"> </w:t>
      </w:r>
      <w:r>
        <w:rPr>
          <w:iCs/>
          <w:i/>
        </w:rPr>
        <w:t xml:space="preserve">Tourism Management</w:t>
      </w:r>
      <w:r>
        <w:t xml:space="preserve">, 31(3), pp. 325-334.</w:t>
      </w:r>
    </w:p>
    <w:p>
      <w:pPr>
        <w:pStyle w:val="BodyText"/>
      </w:pPr>
      <w:r>
        <w:t xml:space="preserve">Hart, C.W.L., Heskett, J.L. and Sasser, W.E. (1990)</w:t>
      </w:r>
      <w:r>
        <w:t xml:space="preserve"> </w:t>
      </w:r>
      <w:r>
        <w:t xml:space="preserve">‘</w:t>
      </w:r>
      <w:r>
        <w:t xml:space="preserve">The profitable art of service recovery</w:t>
      </w:r>
      <w:r>
        <w:t xml:space="preserve">’</w:t>
      </w:r>
      <w:r>
        <w:t xml:space="preserve">,</w:t>
      </w:r>
      <w:r>
        <w:t xml:space="preserve"> </w:t>
      </w:r>
      <w:r>
        <w:rPr>
          <w:iCs/>
          <w:i/>
        </w:rPr>
        <w:t xml:space="preserve">Harvard Business Review</w:t>
      </w:r>
      <w:r>
        <w:t xml:space="preserve">, 68(4), pp. 148-156.</w:t>
      </w:r>
    </w:p>
    <w:p>
      <w:pPr>
        <w:pStyle w:val="BodyText"/>
      </w:pPr>
      <w:r>
        <w:t xml:space="preserve">Heskett, J.L., Jones, T.O., Loveman, G.W., Sasser, W.E. and Schlesinger, L.A. (1994)</w:t>
      </w:r>
      <w:r>
        <w:t xml:space="preserve"> </w:t>
      </w:r>
      <w:r>
        <w:t xml:space="preserve">‘</w:t>
      </w:r>
      <w:r>
        <w:t xml:space="preserve">Putting the service-profit chain to work</w:t>
      </w:r>
      <w:r>
        <w:t xml:space="preserve">’</w:t>
      </w:r>
      <w:r>
        <w:t xml:space="preserve">,</w:t>
      </w:r>
      <w:r>
        <w:t xml:space="preserve"> </w:t>
      </w:r>
      <w:r>
        <w:rPr>
          <w:iCs/>
          <w:i/>
        </w:rPr>
        <w:t xml:space="preserve">Harvard Business Review</w:t>
      </w:r>
      <w:r>
        <w:t xml:space="preserve">, 72(2), pp. 164-174.</w:t>
      </w:r>
    </w:p>
    <w:p>
      <w:pPr>
        <w:pStyle w:val="BodyText"/>
      </w:pPr>
      <w:r>
        <w:t xml:space="preserve">Hospitality Net (2023)</w:t>
      </w:r>
      <w:r>
        <w:t xml:space="preserve"> </w:t>
      </w:r>
      <w:r>
        <w:rPr>
          <w:iCs/>
          <w:i/>
        </w:rPr>
        <w:t xml:space="preserve">Meliá White House</w:t>
      </w:r>
      <w:r>
        <w:t xml:space="preserve"> </w:t>
      </w:r>
      <w:r>
        <w:t xml:space="preserve">[press release]. Available at: https://www.hospitalitynet.org/announcement/41009454.html (Accessed: 8 October 2026) [CONFIRM PUBLICATION DATE ON THE PAGE].</w:t>
      </w:r>
    </w:p>
    <w:p>
      <w:pPr>
        <w:pStyle w:val="BodyText"/>
      </w:pPr>
      <w:r>
        <w:t xml:space="preserve">Journal des Palaces (2026)</w:t>
      </w:r>
      <w:r>
        <w:t xml:space="preserve"> </w:t>
      </w:r>
      <w:r>
        <w:t xml:space="preserve">‘</w:t>
      </w:r>
      <w:r>
        <w:t xml:space="preserve">Luxury focus drives Meliá into the world’s top 10 strongest hotel brands</w:t>
      </w:r>
      <w:r>
        <w:t xml:space="preserve">’</w:t>
      </w:r>
      <w:r>
        <w:t xml:space="preserve">, 3 August. Available at: https://www.journaldespalaces.com/en/pressrelease-79079-Luxury-focus-drives-Meliy-into-the-World-s-Top-10-Strongest-Hotel-Brands.html (Accessed: 8 October 2026).</w:t>
      </w:r>
    </w:p>
    <w:p>
      <w:pPr>
        <w:pStyle w:val="BodyText"/>
      </w:pPr>
      <w:r>
        <w:t xml:space="preserve">Kimes, S.E. (1989)</w:t>
      </w:r>
      <w:r>
        <w:t xml:space="preserve"> </w:t>
      </w:r>
      <w:r>
        <w:t xml:space="preserve">‘</w:t>
      </w:r>
      <w:r>
        <w:t xml:space="preserve">The basics of yield management</w:t>
      </w:r>
      <w:r>
        <w:t xml:space="preserve">’</w:t>
      </w:r>
      <w:r>
        <w:t xml:space="preserve">,</w:t>
      </w:r>
      <w:r>
        <w:t xml:space="preserve"> </w:t>
      </w:r>
      <w:r>
        <w:rPr>
          <w:iCs/>
          <w:i/>
        </w:rPr>
        <w:t xml:space="preserve">Cornell Hotel and Restaurant Administration Quarterly</w:t>
      </w:r>
      <w:r>
        <w:t xml:space="preserve">, 30(3), pp. 14-19.</w:t>
      </w:r>
    </w:p>
    <w:p>
      <w:pPr>
        <w:pStyle w:val="BodyText"/>
      </w:pPr>
      <w:r>
        <w:t xml:space="preserve">Kotler, P. (1973)</w:t>
      </w:r>
      <w:r>
        <w:t xml:space="preserve"> </w:t>
      </w:r>
      <w:r>
        <w:t xml:space="preserve">‘</w:t>
      </w:r>
      <w:r>
        <w:t xml:space="preserve">Atmospherics as a marketing tool</w:t>
      </w:r>
      <w:r>
        <w:t xml:space="preserve">’</w:t>
      </w:r>
      <w:r>
        <w:t xml:space="preserve">,</w:t>
      </w:r>
      <w:r>
        <w:t xml:space="preserve"> </w:t>
      </w:r>
      <w:r>
        <w:rPr>
          <w:iCs/>
          <w:i/>
        </w:rPr>
        <w:t xml:space="preserve">Journal of Retailing</w:t>
      </w:r>
      <w:r>
        <w:t xml:space="preserve">, 49(4), pp. 48-64.</w:t>
      </w:r>
    </w:p>
    <w:p>
      <w:pPr>
        <w:pStyle w:val="BodyText"/>
      </w:pPr>
      <w:r>
        <w:t xml:space="preserve">Kotler, P., Bowen, J.T. and Makens, J.C. (2017)</w:t>
      </w:r>
      <w:r>
        <w:t xml:space="preserve"> </w:t>
      </w:r>
      <w:r>
        <w:rPr>
          <w:iCs/>
          <w:i/>
        </w:rPr>
        <w:t xml:space="preserve">Marketing for Hospitality and Tourism</w:t>
      </w:r>
      <w:r>
        <w:t xml:space="preserve">. 7th edn. Harlow: Pearson [CHECK EDITION AND CO-AUTHORS AGAINST YOUR COPY].</w:t>
      </w:r>
    </w:p>
    <w:p>
      <w:pPr>
        <w:pStyle w:val="BodyText"/>
      </w:pPr>
      <w:r>
        <w:t xml:space="preserve">Kubr, M. (2002)</w:t>
      </w:r>
      <w:r>
        <w:t xml:space="preserve"> </w:t>
      </w:r>
      <w:r>
        <w:rPr>
          <w:iCs/>
          <w:i/>
        </w:rPr>
        <w:t xml:space="preserve">Management Consulting: A Guide to the Profession</w:t>
      </w:r>
      <w:r>
        <w:t xml:space="preserve">. 4th edn. Geneva: International Labour Office.</w:t>
      </w:r>
    </w:p>
    <w:p>
      <w:pPr>
        <w:pStyle w:val="BodyText"/>
      </w:pPr>
      <w:r>
        <w:t xml:space="preserve">Lemon, K.N. and Verhoef, P.C. (2016)</w:t>
      </w:r>
      <w:r>
        <w:t xml:space="preserve"> </w:t>
      </w:r>
      <w:r>
        <w:t xml:space="preserve">‘</w:t>
      </w:r>
      <w:r>
        <w:t xml:space="preserve">Understanding customer experience throughout the customer journey</w:t>
      </w:r>
      <w:r>
        <w:t xml:space="preserve">’</w:t>
      </w:r>
      <w:r>
        <w:t xml:space="preserve">,</w:t>
      </w:r>
      <w:r>
        <w:t xml:space="preserve"> </w:t>
      </w:r>
      <w:r>
        <w:rPr>
          <w:iCs/>
          <w:i/>
        </w:rPr>
        <w:t xml:space="preserve">Journal of Marketing</w:t>
      </w:r>
      <w:r>
        <w:t xml:space="preserve">, 80(6), pp. 69-96.</w:t>
      </w:r>
    </w:p>
    <w:p>
      <w:pPr>
        <w:pStyle w:val="BodyText"/>
      </w:pPr>
      <w:r>
        <w:t xml:space="preserve">Oliver, R.L. (1980)</w:t>
      </w:r>
      <w:r>
        <w:t xml:space="preserve"> </w:t>
      </w:r>
      <w:r>
        <w:t xml:space="preserve">‘</w:t>
      </w:r>
      <w:r>
        <w:t xml:space="preserve">A cognitive model of the antecedents and consequences of satisfaction decisions</w:t>
      </w:r>
      <w:r>
        <w:t xml:space="preserve">’</w:t>
      </w:r>
      <w:r>
        <w:t xml:space="preserve">,</w:t>
      </w:r>
      <w:r>
        <w:t xml:space="preserve"> </w:t>
      </w:r>
      <w:r>
        <w:rPr>
          <w:iCs/>
          <w:i/>
        </w:rPr>
        <w:t xml:space="preserve">Journal of Marketing Research</w:t>
      </w:r>
      <w:r>
        <w:t xml:space="preserve">, 17(4), pp. 460-469.</w:t>
      </w:r>
    </w:p>
    <w:p>
      <w:pPr>
        <w:pStyle w:val="BodyText"/>
      </w:pPr>
      <w:r>
        <w:t xml:space="preserve">Parasuraman, A., Zeithaml, V.A. and Berry, L.L. (1985)</w:t>
      </w:r>
      <w:r>
        <w:t xml:space="preserve"> </w:t>
      </w:r>
      <w:r>
        <w:t xml:space="preserve">‘</w:t>
      </w:r>
      <w:r>
        <w:t xml:space="preserve">A conceptual model of service quality and its implications for future research</w:t>
      </w:r>
      <w:r>
        <w:t xml:space="preserve">’</w:t>
      </w:r>
      <w:r>
        <w:t xml:space="preserve">,</w:t>
      </w:r>
      <w:r>
        <w:t xml:space="preserve"> </w:t>
      </w:r>
      <w:r>
        <w:rPr>
          <w:iCs/>
          <w:i/>
        </w:rPr>
        <w:t xml:space="preserve">Journal of Marketing</w:t>
      </w:r>
      <w:r>
        <w:t xml:space="preserve">, 49(4), pp. 41-50.</w:t>
      </w:r>
    </w:p>
    <w:p>
      <w:pPr>
        <w:pStyle w:val="BodyText"/>
      </w:pPr>
      <w:r>
        <w:t xml:space="preserve">Parasuraman, A., Zeithaml, V.A. and Berry, L.L. (1988)</w:t>
      </w:r>
      <w:r>
        <w:t xml:space="preserve"> </w:t>
      </w:r>
      <w:r>
        <w:t xml:space="preserve">‘</w:t>
      </w:r>
      <w:r>
        <w:t xml:space="preserve">SERVQUAL: a multiple-item scale for measuring consumer perceptions of service quality</w:t>
      </w:r>
      <w:r>
        <w:t xml:space="preserve">’</w:t>
      </w:r>
      <w:r>
        <w:t xml:space="preserve">,</w:t>
      </w:r>
      <w:r>
        <w:t xml:space="preserve"> </w:t>
      </w:r>
      <w:r>
        <w:rPr>
          <w:iCs/>
          <w:i/>
        </w:rPr>
        <w:t xml:space="preserve">Journal of Retailing</w:t>
      </w:r>
      <w:r>
        <w:t xml:space="preserve">, 64(1), pp. 12-40.</w:t>
      </w:r>
    </w:p>
    <w:p>
      <w:pPr>
        <w:pStyle w:val="BodyText"/>
      </w:pPr>
      <w:r>
        <w:t xml:space="preserve">Pine, B.J. and Gilmore, J.H. (1998)</w:t>
      </w:r>
      <w:r>
        <w:t xml:space="preserve"> </w:t>
      </w:r>
      <w:r>
        <w:t xml:space="preserve">‘</w:t>
      </w:r>
      <w:r>
        <w:t xml:space="preserve">Welcome to the experience economy</w:t>
      </w:r>
      <w:r>
        <w:t xml:space="preserve">’</w:t>
      </w:r>
      <w:r>
        <w:t xml:space="preserve">,</w:t>
      </w:r>
      <w:r>
        <w:t xml:space="preserve"> </w:t>
      </w:r>
      <w:r>
        <w:rPr>
          <w:iCs/>
          <w:i/>
        </w:rPr>
        <w:t xml:space="preserve">Harvard Business Review</w:t>
      </w:r>
      <w:r>
        <w:t xml:space="preserve">, 76(4), pp. 97-105.</w:t>
      </w:r>
    </w:p>
    <w:p>
      <w:pPr>
        <w:pStyle w:val="BodyText"/>
      </w:pPr>
      <w:r>
        <w:t xml:space="preserve">Porter, M.E. (1985)</w:t>
      </w:r>
      <w:r>
        <w:t xml:space="preserve"> </w:t>
      </w:r>
      <w:r>
        <w:rPr>
          <w:iCs/>
          <w:i/>
        </w:rPr>
        <w:t xml:space="preserve">Competitive Advantage</w:t>
      </w:r>
      <w:r>
        <w:t xml:space="preserve">. New York: Free Press.</w:t>
      </w:r>
    </w:p>
    <w:p>
      <w:pPr>
        <w:pStyle w:val="BodyText"/>
      </w:pPr>
      <w:r>
        <w:t xml:space="preserve">Porter, M.E. (1996)</w:t>
      </w:r>
      <w:r>
        <w:t xml:space="preserve"> </w:t>
      </w:r>
      <w:r>
        <w:t xml:space="preserve">‘</w:t>
      </w:r>
      <w:r>
        <w:t xml:space="preserve">What is strategy?</w:t>
      </w:r>
      <w:r>
        <w:t xml:space="preserve">’</w:t>
      </w:r>
      <w:r>
        <w:t xml:space="preserve">,</w:t>
      </w:r>
      <w:r>
        <w:t xml:space="preserve"> </w:t>
      </w:r>
      <w:r>
        <w:rPr>
          <w:iCs/>
          <w:i/>
        </w:rPr>
        <w:t xml:space="preserve">Harvard Business Review</w:t>
      </w:r>
      <w:r>
        <w:t xml:space="preserve">, 74(6), pp. 61-78.</w:t>
      </w:r>
    </w:p>
    <w:p>
      <w:pPr>
        <w:pStyle w:val="BodyText"/>
      </w:pPr>
      <w:r>
        <w:t xml:space="preserve">Saunders, M., Lewis, P. and Thornhill, A. (2019)</w:t>
      </w:r>
      <w:r>
        <w:t xml:space="preserve"> </w:t>
      </w:r>
      <w:r>
        <w:rPr>
          <w:iCs/>
          <w:i/>
        </w:rPr>
        <w:t xml:space="preserve">Research Methods for Business Students</w:t>
      </w:r>
      <w:r>
        <w:t xml:space="preserve">. 8th edn. Harlow: Pearson.</w:t>
      </w:r>
    </w:p>
    <w:p>
      <w:pPr>
        <w:pStyle w:val="BodyText"/>
      </w:pPr>
      <w:r>
        <w:t xml:space="preserve">Schein, E.H. (1999)</w:t>
      </w:r>
      <w:r>
        <w:t xml:space="preserve"> </w:t>
      </w:r>
      <w:r>
        <w:rPr>
          <w:iCs/>
          <w:i/>
        </w:rPr>
        <w:t xml:space="preserve">Process Consultation Revisited</w:t>
      </w:r>
      <w:r>
        <w:t xml:space="preserve">. Reading, MA: Addison-Wesley.</w:t>
      </w:r>
    </w:p>
    <w:p>
      <w:pPr>
        <w:pStyle w:val="BodyText"/>
      </w:pPr>
      <w:r>
        <w:t xml:space="preserve">Tax, S.S., Brown, S.W. and Chandrashekaran, M. (1998)</w:t>
      </w:r>
      <w:r>
        <w:t xml:space="preserve"> </w:t>
      </w:r>
      <w:r>
        <w:t xml:space="preserve">‘</w:t>
      </w:r>
      <w:r>
        <w:t xml:space="preserve">Customer evaluations of service complaint experiences</w:t>
      </w:r>
      <w:r>
        <w:t xml:space="preserve">’</w:t>
      </w:r>
      <w:r>
        <w:t xml:space="preserve">,</w:t>
      </w:r>
      <w:r>
        <w:t xml:space="preserve"> </w:t>
      </w:r>
      <w:r>
        <w:rPr>
          <w:iCs/>
          <w:i/>
        </w:rPr>
        <w:t xml:space="preserve">Journal of Marketing</w:t>
      </w:r>
      <w:r>
        <w:t xml:space="preserve">, 62(2), pp. 60-76.</w:t>
      </w:r>
    </w:p>
    <w:p>
      <w:pPr>
        <w:pStyle w:val="BodyText"/>
      </w:pPr>
      <w:r>
        <w:t xml:space="preserve">Teece, D.J., Pisano, G. and Shuen, A. (1997)</w:t>
      </w:r>
      <w:r>
        <w:t xml:space="preserve"> </w:t>
      </w:r>
      <w:r>
        <w:t xml:space="preserve">‘</w:t>
      </w:r>
      <w:r>
        <w:t xml:space="preserve">Dynamic capabilities and strategic management</w:t>
      </w:r>
      <w:r>
        <w:t xml:space="preserve">’</w:t>
      </w:r>
      <w:r>
        <w:t xml:space="preserve">,</w:t>
      </w:r>
      <w:r>
        <w:t xml:space="preserve"> </w:t>
      </w:r>
      <w:r>
        <w:rPr>
          <w:iCs/>
          <w:i/>
        </w:rPr>
        <w:t xml:space="preserve">Strategic Management Journal</w:t>
      </w:r>
      <w:r>
        <w:t xml:space="preserve">, 18(7), pp. 509-533.</w:t>
      </w:r>
    </w:p>
    <w:p>
      <w:pPr>
        <w:pStyle w:val="BodyText"/>
      </w:pPr>
      <w:r>
        <w:t xml:space="preserve">Timothy, D.J. and Boyd, S.W. (2003)</w:t>
      </w:r>
      <w:r>
        <w:t xml:space="preserve"> </w:t>
      </w:r>
      <w:r>
        <w:rPr>
          <w:iCs/>
          <w:i/>
        </w:rPr>
        <w:t xml:space="preserve">Heritage Tourism</w:t>
      </w:r>
      <w:r>
        <w:t xml:space="preserve">. Harlow: Pearson.</w:t>
      </w:r>
    </w:p>
    <w:bookmarkEnd w:id="27"/>
    <w:bookmarkStart w:id="34" w:name="appendices"/>
    <w:p>
      <w:pPr>
        <w:pStyle w:val="Heading1"/>
      </w:pPr>
      <w:r>
        <w:t xml:space="preserve">Appendices</w:t>
      </w:r>
    </w:p>
    <w:bookmarkStart w:id="28" w:name="appendix-1-photographs-figs.-1-8"/>
    <w:p>
      <w:pPr>
        <w:pStyle w:val="Heading2"/>
      </w:pPr>
      <w:r>
        <w:t xml:space="preserve">Appendix 1: Photographs (Figs. 1-8)</w:t>
      </w:r>
    </w:p>
    <w:p>
      <w:pPr>
        <w:pStyle w:val="FirstParagraph"/>
      </w:pPr>
      <w:r>
        <w:t xml:space="preserve">[INSERT YOUR OWN PHOTOS WITH THESE CAPTIONS. No identifiable staff or guests.]</w:t>
      </w:r>
    </w:p>
    <w:p>
      <w:pPr>
        <w:numPr>
          <w:ilvl w:val="0"/>
          <w:numId w:val="1003"/>
        </w:numPr>
        <w:pStyle w:val="Compact"/>
      </w:pPr>
      <w:r>
        <w:t xml:space="preserve">Fig. 1: Lift lobby (black marble, brass door)</w:t>
      </w:r>
    </w:p>
    <w:p>
      <w:pPr>
        <w:numPr>
          <w:ilvl w:val="0"/>
          <w:numId w:val="1003"/>
        </w:numPr>
        <w:pStyle w:val="Compact"/>
      </w:pPr>
      <w:r>
        <w:t xml:space="preserve">Fig. 2: Breakfast buffet counter</w:t>
      </w:r>
    </w:p>
    <w:p>
      <w:pPr>
        <w:numPr>
          <w:ilvl w:val="0"/>
          <w:numId w:val="1003"/>
        </w:numPr>
        <w:pStyle w:val="Compact"/>
      </w:pPr>
      <w:r>
        <w:t xml:space="preserve">Fig. 3: Wine and cava ice buckets</w:t>
      </w:r>
    </w:p>
    <w:p>
      <w:pPr>
        <w:numPr>
          <w:ilvl w:val="0"/>
          <w:numId w:val="1003"/>
        </w:numPr>
        <w:pStyle w:val="Compact"/>
      </w:pPr>
      <w:r>
        <w:t xml:space="preserve">Fig. 4: Lounge and communal table</w:t>
      </w:r>
    </w:p>
    <w:p>
      <w:pPr>
        <w:numPr>
          <w:ilvl w:val="0"/>
          <w:numId w:val="1003"/>
        </w:numPr>
        <w:pStyle w:val="Compact"/>
      </w:pPr>
      <w:r>
        <w:t xml:space="preserve">Fig. 5: Room with in-room tea and coffee</w:t>
      </w:r>
    </w:p>
    <w:p>
      <w:pPr>
        <w:numPr>
          <w:ilvl w:val="0"/>
          <w:numId w:val="1003"/>
        </w:numPr>
        <w:pStyle w:val="Compact"/>
      </w:pPr>
      <w:r>
        <w:t xml:space="preserve">Fig. 6: Gym AC grille and cornice</w:t>
      </w:r>
    </w:p>
    <w:p>
      <w:pPr>
        <w:numPr>
          <w:ilvl w:val="0"/>
          <w:numId w:val="1003"/>
        </w:numPr>
        <w:pStyle w:val="Compact"/>
      </w:pPr>
      <w:r>
        <w:t xml:space="preserve">Fig. 7: Corridor with linen cart</w:t>
      </w:r>
    </w:p>
    <w:p>
      <w:pPr>
        <w:numPr>
          <w:ilvl w:val="0"/>
          <w:numId w:val="1003"/>
        </w:numPr>
        <w:pStyle w:val="Compact"/>
      </w:pPr>
      <w:r>
        <w:t xml:space="preserve">Fig. 8: ’35 Bar and Lounge</w:t>
      </w:r>
    </w:p>
    <w:bookmarkEnd w:id="28"/>
    <w:bookmarkStart w:id="29" w:name="appendix-2-table-a-source-triangulation"/>
    <w:p>
      <w:pPr>
        <w:pStyle w:val="Heading2"/>
      </w:pPr>
      <w:r>
        <w:t xml:space="preserve">Appendix 2: Table A, source triangulation</w:t>
      </w:r>
    </w:p>
    <w:tbl>
      <w:tblPr>
        <w:tblStyle w:val="Table"/>
        <w:tblW w:type="pct" w:w="5000"/>
        <w:tblLook w:firstRow="1" w:lastRow="0" w:firstColumn="0" w:lastColumn="0" w:noHBand="0" w:noVBand="0" w:val="0020"/>
        <w:jc w:val="start"/>
      </w:tblPr>
      <w:tblGrid>
        <w:gridCol w:w="1397"/>
        <w:gridCol w:w="1863"/>
        <w:gridCol w:w="2329"/>
        <w:gridCol w:w="2329"/>
      </w:tblGrid>
      <w:tr>
        <w:trPr>
          <w:tblHeader w:val="true"/>
        </w:trPr>
        <w:tc>
          <w:tcPr/>
          <w:p>
            <w:pPr>
              <w:pStyle w:val="Compact"/>
              <w:jc w:val="left"/>
            </w:pPr>
            <w:r>
              <w:t xml:space="preserve">Type</w:t>
            </w:r>
          </w:p>
        </w:tc>
        <w:tc>
          <w:tcPr/>
          <w:p>
            <w:pPr>
              <w:pStyle w:val="Compact"/>
              <w:jc w:val="left"/>
            </w:pPr>
            <w:r>
              <w:t xml:space="preserve">Source</w:t>
            </w:r>
          </w:p>
        </w:tc>
        <w:tc>
          <w:tcPr/>
          <w:p>
            <w:pPr>
              <w:pStyle w:val="Compact"/>
              <w:jc w:val="left"/>
            </w:pPr>
            <w:r>
              <w:t xml:space="preserve">Strength</w:t>
            </w:r>
          </w:p>
        </w:tc>
        <w:tc>
          <w:tcPr/>
          <w:p>
            <w:pPr>
              <w:pStyle w:val="Compact"/>
              <w:jc w:val="left"/>
            </w:pPr>
            <w:r>
              <w:t xml:space="preserve">Weakness</w:t>
            </w:r>
          </w:p>
        </w:tc>
      </w:tr>
      <w:tr>
        <w:tc>
          <w:tcPr/>
          <w:p>
            <w:pPr>
              <w:pStyle w:val="Compact"/>
              <w:jc w:val="left"/>
            </w:pPr>
            <w:r>
              <w:t xml:space="preserve">Primary</w:t>
            </w:r>
          </w:p>
        </w:tc>
        <w:tc>
          <w:tcPr/>
          <w:p>
            <w:pPr>
              <w:pStyle w:val="Compact"/>
              <w:jc w:val="left"/>
            </w:pPr>
            <w:r>
              <w:t xml:space="preserve">Visit observation and photos, 9 September 2025 [CONFIRM]</w:t>
            </w:r>
          </w:p>
        </w:tc>
        <w:tc>
          <w:tcPr/>
          <w:p>
            <w:pPr>
              <w:pStyle w:val="Compact"/>
              <w:jc w:val="left"/>
            </w:pPr>
            <w:r>
              <w:t xml:space="preserve">First-hand</w:t>
            </w:r>
          </w:p>
        </w:tc>
        <w:tc>
          <w:tcPr/>
          <w:p>
            <w:pPr>
              <w:pStyle w:val="Compact"/>
              <w:jc w:val="left"/>
            </w:pPr>
            <w:r>
              <w:t xml:space="preserve">Hosted tour, single day</w:t>
            </w:r>
          </w:p>
        </w:tc>
      </w:tr>
      <w:tr>
        <w:tc>
          <w:tcPr/>
          <w:p>
            <w:pPr>
              <w:pStyle w:val="Compact"/>
              <w:jc w:val="left"/>
            </w:pPr>
            <w:r>
              <w:t xml:space="preserve">Primary</w:t>
            </w:r>
          </w:p>
        </w:tc>
        <w:tc>
          <w:tcPr/>
          <w:p>
            <w:pPr>
              <w:pStyle w:val="Compact"/>
              <w:jc w:val="left"/>
            </w:pPr>
            <w:r>
              <w:t xml:space="preserve">Staff conversation (informal)</w:t>
            </w:r>
          </w:p>
        </w:tc>
        <w:tc>
          <w:tcPr/>
          <w:p>
            <w:pPr>
              <w:pStyle w:val="Compact"/>
              <w:jc w:val="left"/>
            </w:pPr>
            <w:r>
              <w:t xml:space="preserve">Management view</w:t>
            </w:r>
          </w:p>
        </w:tc>
        <w:tc>
          <w:tcPr/>
          <w:p>
            <w:pPr>
              <w:pStyle w:val="Compact"/>
              <w:jc w:val="left"/>
            </w:pPr>
            <w:r>
              <w:t xml:space="preserve">Careers-focused, informal</w:t>
            </w:r>
          </w:p>
        </w:tc>
      </w:tr>
      <w:tr>
        <w:tc>
          <w:tcPr/>
          <w:p>
            <w:pPr>
              <w:pStyle w:val="Compact"/>
              <w:jc w:val="left"/>
            </w:pPr>
            <w:r>
              <w:t xml:space="preserve">Secondary, planning</w:t>
            </w:r>
          </w:p>
        </w:tc>
        <w:tc>
          <w:tcPr/>
          <w:p>
            <w:pPr>
              <w:pStyle w:val="Compact"/>
              <w:jc w:val="left"/>
            </w:pPr>
            <w:r>
              <w:t xml:space="preserve">Camden Council planning and listed-building documents</w:t>
            </w:r>
          </w:p>
        </w:tc>
        <w:tc>
          <w:tcPr/>
          <w:p>
            <w:pPr>
              <w:pStyle w:val="Compact"/>
              <w:jc w:val="left"/>
            </w:pPr>
            <w:r>
              <w:t xml:space="preserve">Official facts (listing, room count)</w:t>
            </w:r>
          </w:p>
        </w:tc>
        <w:tc>
          <w:tcPr/>
          <w:p>
            <w:pPr>
              <w:pStyle w:val="Compact"/>
              <w:jc w:val="left"/>
            </w:pPr>
            <w:r>
              <w:t xml:space="preserve">Technical, dates unclear</w:t>
            </w:r>
          </w:p>
        </w:tc>
      </w:tr>
      <w:tr>
        <w:tc>
          <w:tcPr/>
          <w:p>
            <w:pPr>
              <w:pStyle w:val="Compact"/>
              <w:jc w:val="left"/>
            </w:pPr>
            <w:r>
              <w:t xml:space="preserve">Secondary, corporate</w:t>
            </w:r>
          </w:p>
        </w:tc>
        <w:tc>
          <w:tcPr/>
          <w:p>
            <w:pPr>
              <w:pStyle w:val="Compact"/>
              <w:jc w:val="left"/>
            </w:pPr>
            <w:r>
              <w:t xml:space="preserve">Meliá press release (Hospitality Net, 2023)</w:t>
            </w:r>
          </w:p>
        </w:tc>
        <w:tc>
          <w:tcPr/>
          <w:p>
            <w:pPr>
              <w:pStyle w:val="Compact"/>
              <w:jc w:val="left"/>
            </w:pPr>
            <w:r>
              <w:t xml:space="preserve">Strategy</w:t>
            </w:r>
          </w:p>
        </w:tc>
        <w:tc>
          <w:tcPr/>
          <w:p>
            <w:pPr>
              <w:pStyle w:val="Compact"/>
              <w:jc w:val="left"/>
            </w:pPr>
            <w:r>
              <w:t xml:space="preserve">Promotional</w:t>
            </w:r>
          </w:p>
        </w:tc>
      </w:tr>
      <w:tr>
        <w:tc>
          <w:tcPr/>
          <w:p>
            <w:pPr>
              <w:pStyle w:val="Compact"/>
              <w:jc w:val="left"/>
            </w:pPr>
            <w:r>
              <w:t xml:space="preserve">Secondary, trade press</w:t>
            </w:r>
          </w:p>
        </w:tc>
        <w:tc>
          <w:tcPr/>
          <w:p>
            <w:pPr>
              <w:pStyle w:val="Compact"/>
              <w:jc w:val="left"/>
            </w:pPr>
            <w:r>
              <w:t xml:space="preserve">Business Traveller (2024)</w:t>
            </w:r>
          </w:p>
        </w:tc>
        <w:tc>
          <w:tcPr/>
          <w:p>
            <w:pPr>
              <w:pStyle w:val="Compact"/>
              <w:jc w:val="left"/>
            </w:pPr>
            <w:r>
              <w:t xml:space="preserve">Independent report on co-working</w:t>
            </w:r>
          </w:p>
        </w:tc>
        <w:tc>
          <w:tcPr/>
          <w:p>
            <w:pPr>
              <w:pStyle w:val="Compact"/>
              <w:jc w:val="left"/>
            </w:pPr>
            <w:r>
              <w:t xml:space="preserve">Partner PR input possible</w:t>
            </w:r>
          </w:p>
        </w:tc>
      </w:tr>
      <w:tr>
        <w:tc>
          <w:tcPr/>
          <w:p>
            <w:pPr>
              <w:pStyle w:val="Compact"/>
              <w:jc w:val="left"/>
            </w:pPr>
            <w:r>
              <w:t xml:space="preserve">Secondary, reviews</w:t>
            </w:r>
          </w:p>
        </w:tc>
        <w:tc>
          <w:tcPr/>
          <w:p>
            <w:pPr>
              <w:pStyle w:val="Compact"/>
              <w:jc w:val="left"/>
            </w:pPr>
            <w:r>
              <w:t xml:space="preserve">Google, TripAdvisor, a booking site</w:t>
            </w:r>
          </w:p>
        </w:tc>
        <w:tc>
          <w:tcPr/>
          <w:p>
            <w:pPr>
              <w:pStyle w:val="Compact"/>
              <w:jc w:val="left"/>
            </w:pPr>
            <w:r>
              <w:t xml:space="preserve">Guest voice</w:t>
            </w:r>
          </w:p>
        </w:tc>
        <w:tc>
          <w:tcPr/>
          <w:p>
            <w:pPr>
              <w:pStyle w:val="Compact"/>
              <w:jc w:val="left"/>
            </w:pPr>
            <w:r>
              <w:t xml:space="preserve">Self-selection</w:t>
            </w:r>
          </w:p>
        </w:tc>
      </w:tr>
    </w:tbl>
    <w:bookmarkEnd w:id="29"/>
    <w:bookmarkStart w:id="30" w:name="X6cb28f17f111172757149029ea4056e871e645f"/>
    <w:p>
      <w:pPr>
        <w:pStyle w:val="Heading2"/>
      </w:pPr>
      <w:r>
        <w:t xml:space="preserve">Appendix 3: Table B, fact check (as checked on 8 October 2026)</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Fact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£40m renovation, five years, all 581 bedrooms and suites</w:t>
            </w:r>
          </w:p>
        </w:tc>
        <w:tc>
          <w:tcPr/>
          <w:p>
            <w:pPr>
              <w:pStyle w:val="Compact"/>
              <w:jc w:val="left"/>
            </w:pPr>
            <w:r>
              <w:t xml:space="preserve">Hospitality Net (2023) press release</w:t>
            </w:r>
          </w:p>
        </w:tc>
        <w:tc>
          <w:tcPr/>
          <w:p>
            <w:pPr>
              <w:pStyle w:val="Compact"/>
              <w:jc w:val="left"/>
            </w:pPr>
            <w:r>
              <w:t xml:space="preserve">Confirmed in search summaries of the release; re-read the release itself before submitting</w:t>
            </w:r>
          </w:p>
        </w:tc>
      </w:tr>
      <w:tr>
        <w:tc>
          <w:tcPr/>
          <w:p>
            <w:pPr>
              <w:pStyle w:val="Compact"/>
              <w:jc w:val="left"/>
            </w:pPr>
            <w:r>
              <w:t xml:space="preserve">Completion in April 2023</w:t>
            </w:r>
          </w:p>
        </w:tc>
        <w:tc>
          <w:tcPr/>
          <w:p>
            <w:pPr>
              <w:pStyle w:val="Compact"/>
              <w:jc w:val="left"/>
            </w:pPr>
            <w:r>
              <w:t xml:space="preserve">Business Traveller (2024)</w:t>
            </w:r>
          </w:p>
        </w:tc>
        <w:tc>
          <w:tcPr/>
          <w:p>
            <w:pPr>
              <w:pStyle w:val="Compact"/>
              <w:jc w:val="left"/>
            </w:pPr>
            <w:r>
              <w:t xml:space="preserve">Reported there. A 2013 release describes an earlier phase (200 of 581 rooms, from 2011), and Camden filings show works in 2025, so describe the main programme as complete, not the whole site</w:t>
            </w:r>
          </w:p>
        </w:tc>
      </w:tr>
      <w:tr>
        <w:tc>
          <w:tcPr/>
          <w:p>
            <w:pPr>
              <w:pStyle w:val="Compact"/>
              <w:jc w:val="left"/>
            </w:pPr>
            <w:r>
              <w:t xml:space="preserve">Co-working: ten workspaces from £40 a day; 10% off at Arado and ’35 Bar</w:t>
            </w:r>
          </w:p>
        </w:tc>
        <w:tc>
          <w:tcPr/>
          <w:p>
            <w:pPr>
              <w:pStyle w:val="Compact"/>
              <w:jc w:val="left"/>
            </w:pPr>
            <w:r>
              <w:t xml:space="preserve">Business Traveller (2024)</w:t>
            </w:r>
          </w:p>
        </w:tc>
        <w:tc>
          <w:tcPr/>
          <w:p>
            <w:pPr>
              <w:pStyle w:val="Compact"/>
              <w:jc w:val="left"/>
            </w:pPr>
            <w:r>
              <w:t xml:space="preserve">Confirmed; prices may have changed since April 2024</w:t>
            </w:r>
          </w:p>
        </w:tc>
      </w:tr>
      <w:tr>
        <w:tc>
          <w:tcPr/>
          <w:p>
            <w:pPr>
              <w:pStyle w:val="Compact"/>
              <w:jc w:val="left"/>
            </w:pPr>
            <w:r>
              <w:t xml:space="preserve">Grade II listed, 1930s building</w:t>
            </w:r>
          </w:p>
        </w:tc>
        <w:tc>
          <w:tcPr/>
          <w:p>
            <w:pPr>
              <w:pStyle w:val="Compact"/>
              <w:jc w:val="left"/>
            </w:pPr>
            <w:r>
              <w:t xml:space="preserve">Camden planning documents; trade press</w:t>
            </w:r>
          </w:p>
        </w:tc>
        <w:tc>
          <w:tcPr/>
          <w:p>
            <w:pPr>
              <w:pStyle w:val="Compact"/>
              <w:jc w:val="left"/>
            </w:pPr>
            <w:r>
              <w:t xml:space="preserve">Consistent across sources; confirm the grade in the Camden record</w:t>
            </w:r>
          </w:p>
        </w:tc>
      </w:tr>
      <w:tr>
        <w:tc>
          <w:tcPr/>
          <w:p>
            <w:pPr>
              <w:pStyle w:val="Compact"/>
              <w:jc w:val="left"/>
            </w:pPr>
            <w:r>
              <w:t xml:space="preserve">Room count</w:t>
            </w:r>
          </w:p>
        </w:tc>
        <w:tc>
          <w:tcPr/>
          <w:p>
            <w:pPr>
              <w:pStyle w:val="Compact"/>
              <w:jc w:val="left"/>
            </w:pPr>
            <w:r>
              <w:t xml:space="preserve">Hospitality Net (2023): 581; Camden Council (2025): 548</w:t>
            </w:r>
          </w:p>
        </w:tc>
        <w:tc>
          <w:tcPr/>
          <w:p>
            <w:pPr>
              <w:pStyle w:val="Compact"/>
              <w:jc w:val="left"/>
            </w:pPr>
            <w:r>
              <w:t xml:space="preserve">Sources conflict. Report both and name the sources</w:t>
            </w:r>
          </w:p>
        </w:tc>
      </w:tr>
      <w:tr>
        <w:tc>
          <w:tcPr/>
          <w:p>
            <w:pPr>
              <w:pStyle w:val="Compact"/>
              <w:jc w:val="left"/>
            </w:pPr>
            <w:r>
              <w:t xml:space="preserve">Meliá seventh in Brand Finance luxury hotel brand ranking, Hotels 50 2026</w:t>
            </w:r>
          </w:p>
        </w:tc>
        <w:tc>
          <w:tcPr/>
          <w:p>
            <w:pPr>
              <w:pStyle w:val="Compact"/>
              <w:jc w:val="left"/>
            </w:pPr>
            <w:r>
              <w:t xml:space="preserve">Journal des Palaces (3 August 2026)</w:t>
            </w:r>
          </w:p>
        </w:tc>
        <w:tc>
          <w:tcPr/>
          <w:p>
            <w:pPr>
              <w:pStyle w:val="Compact"/>
              <w:jc w:val="left"/>
            </w:pPr>
            <w:r>
              <w:t xml:space="preserve">Confirmed in search summary of the release</w:t>
            </w:r>
          </w:p>
        </w:tc>
      </w:tr>
      <w:tr>
        <w:tc>
          <w:tcPr/>
          <w:p>
            <w:pPr>
              <w:pStyle w:val="Compact"/>
              <w:jc w:val="left"/>
            </w:pPr>
            <w:r>
              <w:t xml:space="preserve">Premium and luxury about 65% of portfolio</w:t>
            </w:r>
          </w:p>
        </w:tc>
        <w:tc>
          <w:tcPr/>
          <w:p>
            <w:pPr>
              <w:pStyle w:val="Compact"/>
              <w:jc w:val="left"/>
            </w:pPr>
            <w:r>
              <w:t xml:space="preserve">Not found in the Brand Finance coverage</w:t>
            </w:r>
          </w:p>
        </w:tc>
        <w:tc>
          <w:tcPr/>
          <w:p>
            <w:pPr>
              <w:pStyle w:val="Compact"/>
              <w:jc w:val="left"/>
            </w:pPr>
            <w:r>
              <w:t xml:space="preserve">NOT verified. Drop it or source it from Meliá investor material</w:t>
            </w:r>
          </w:p>
        </w:tc>
      </w:tr>
      <w:tr>
        <w:tc>
          <w:tcPr/>
          <w:p>
            <w:pPr>
              <w:pStyle w:val="Compact"/>
              <w:jc w:val="left"/>
            </w:pPr>
            <w:r>
              <w:t xml:space="preserve">Rooms from about £300; about £117 on booking sites</w:t>
            </w:r>
          </w:p>
        </w:tc>
        <w:tc>
          <w:tcPr/>
          <w:p>
            <w:pPr>
              <w:pStyle w:val="Compact"/>
              <w:jc w:val="left"/>
            </w:pPr>
            <w:r>
              <w:t xml:space="preserve">Staff comment; booking site</w:t>
            </w:r>
          </w:p>
        </w:tc>
        <w:tc>
          <w:tcPr/>
          <w:p>
            <w:pPr>
              <w:pStyle w:val="Compact"/>
              <w:jc w:val="left"/>
            </w:pPr>
            <w:r>
              <w:t xml:space="preserve">NOT verified. Record site and date of the £117 price</w:t>
            </w:r>
          </w:p>
        </w:tc>
      </w:tr>
    </w:tbl>
    <w:bookmarkEnd w:id="30"/>
    <w:bookmarkStart w:id="31" w:name="appendix-4-table-c-photo-evidence-log"/>
    <w:p>
      <w:pPr>
        <w:pStyle w:val="Heading2"/>
      </w:pPr>
      <w:r>
        <w:t xml:space="preserve">Appendix 4: Table C, photo evidence log</w:t>
      </w:r>
    </w:p>
    <w:tbl>
      <w:tblPr>
        <w:tblStyle w:val="Table"/>
        <w:tblW w:type="pct" w:w="5000"/>
        <w:tblLook w:firstRow="1" w:lastRow="0" w:firstColumn="0" w:lastColumn="0" w:noHBand="0" w:noVBand="0" w:val="0020"/>
        <w:jc w:val="start"/>
      </w:tblPr>
      <w:tblGrid>
        <w:gridCol w:w="950"/>
        <w:gridCol w:w="1108"/>
        <w:gridCol w:w="1742"/>
        <w:gridCol w:w="1425"/>
        <w:gridCol w:w="2692"/>
      </w:tblGrid>
      <w:tr>
        <w:trPr>
          <w:tblHeader w:val="true"/>
        </w:trPr>
        <w:tc>
          <w:tcPr/>
          <w:p>
            <w:pPr>
              <w:pStyle w:val="Compact"/>
              <w:jc w:val="left"/>
            </w:pPr>
            <w:r>
              <w:t xml:space="preserve">Fig.</w:t>
            </w:r>
          </w:p>
        </w:tc>
        <w:tc>
          <w:tcPr/>
          <w:p>
            <w:pPr>
              <w:pStyle w:val="Compact"/>
              <w:jc w:val="left"/>
            </w:pPr>
            <w:r>
              <w:t xml:space="preserve">Photo</w:t>
            </w:r>
          </w:p>
        </w:tc>
        <w:tc>
          <w:tcPr/>
          <w:p>
            <w:pPr>
              <w:pStyle w:val="Compact"/>
              <w:jc w:val="left"/>
            </w:pPr>
            <w:r>
              <w:t xml:space="preserve">Dimension</w:t>
            </w:r>
          </w:p>
        </w:tc>
        <w:tc>
          <w:tcPr/>
          <w:p>
            <w:pPr>
              <w:pStyle w:val="Compact"/>
              <w:jc w:val="left"/>
            </w:pPr>
            <w:r>
              <w:t xml:space="preserve">Reading</w:t>
            </w:r>
          </w:p>
        </w:tc>
        <w:tc>
          <w:tcPr/>
          <w:p>
            <w:pPr>
              <w:pStyle w:val="Compact"/>
              <w:jc w:val="left"/>
            </w:pPr>
            <w:r>
              <w:t xml:space="preserve">Strength or gap</w:t>
            </w:r>
          </w:p>
        </w:tc>
      </w:tr>
      <w:tr>
        <w:tc>
          <w:tcPr/>
          <w:p>
            <w:pPr>
              <w:pStyle w:val="Compact"/>
              <w:jc w:val="left"/>
            </w:pPr>
            <w:r>
              <w:t xml:space="preserve">1</w:t>
            </w:r>
          </w:p>
        </w:tc>
        <w:tc>
          <w:tcPr/>
          <w:p>
            <w:pPr>
              <w:pStyle w:val="Compact"/>
              <w:jc w:val="left"/>
            </w:pPr>
            <w:r>
              <w:t xml:space="preserve">Lift lobby (black marble, brass door)</w:t>
            </w:r>
          </w:p>
        </w:tc>
        <w:tc>
          <w:tcPr/>
          <w:p>
            <w:pPr>
              <w:pStyle w:val="Compact"/>
              <w:jc w:val="left"/>
            </w:pPr>
            <w:r>
              <w:t xml:space="preserve">Tangibles / servicescape</w:t>
            </w:r>
          </w:p>
        </w:tc>
        <w:tc>
          <w:tcPr/>
          <w:p>
            <w:pPr>
              <w:pStyle w:val="Compact"/>
              <w:jc w:val="left"/>
            </w:pPr>
            <w:r>
              <w:t xml:space="preserve">Heritage glamour, but door looks tarnished</w:t>
            </w:r>
          </w:p>
        </w:tc>
        <w:tc>
          <w:tcPr/>
          <w:p>
            <w:pPr>
              <w:pStyle w:val="Compact"/>
              <w:jc w:val="left"/>
            </w:pPr>
            <w:r>
              <w:t xml:space="preserve">Gap (maintenance)</w:t>
            </w:r>
          </w:p>
        </w:tc>
      </w:tr>
      <w:tr>
        <w:tc>
          <w:tcPr/>
          <w:p>
            <w:pPr>
              <w:pStyle w:val="Compact"/>
              <w:jc w:val="left"/>
            </w:pPr>
            <w:r>
              <w:t xml:space="preserve">2</w:t>
            </w:r>
          </w:p>
        </w:tc>
        <w:tc>
          <w:tcPr/>
          <w:p>
            <w:pPr>
              <w:pStyle w:val="Compact"/>
              <w:jc w:val="left"/>
            </w:pPr>
            <w:r>
              <w:t xml:space="preserve">Breakfast buffet counter</w:t>
            </w:r>
          </w:p>
        </w:tc>
        <w:tc>
          <w:tcPr/>
          <w:p>
            <w:pPr>
              <w:pStyle w:val="Compact"/>
              <w:jc w:val="left"/>
            </w:pPr>
            <w:r>
              <w:t xml:space="preserve">Tangibles / F&amp;B</w:t>
            </w:r>
          </w:p>
        </w:tc>
        <w:tc>
          <w:tcPr/>
          <w:p>
            <w:pPr>
              <w:pStyle w:val="Compact"/>
              <w:jc w:val="left"/>
            </w:pPr>
            <w:r>
              <w:t xml:space="preserve">Lit shelving, linen bags, GMED oils, Real Crisps</w:t>
            </w:r>
          </w:p>
        </w:tc>
        <w:tc>
          <w:tcPr/>
          <w:p>
            <w:pPr>
              <w:pStyle w:val="Compact"/>
              <w:jc w:val="left"/>
            </w:pPr>
            <w:r>
              <w:t xml:space="preserve">Strength</w:t>
            </w:r>
          </w:p>
        </w:tc>
      </w:tr>
      <w:tr>
        <w:tc>
          <w:tcPr/>
          <w:p>
            <w:pPr>
              <w:pStyle w:val="Compact"/>
              <w:jc w:val="left"/>
            </w:pPr>
            <w:r>
              <w:t xml:space="preserve">3</w:t>
            </w:r>
          </w:p>
        </w:tc>
        <w:tc>
          <w:tcPr/>
          <w:p>
            <w:pPr>
              <w:pStyle w:val="Compact"/>
              <w:jc w:val="left"/>
            </w:pPr>
            <w:r>
              <w:t xml:space="preserve">Wine and cava ice buckets</w:t>
            </w:r>
          </w:p>
        </w:tc>
        <w:tc>
          <w:tcPr/>
          <w:p>
            <w:pPr>
              <w:pStyle w:val="Compact"/>
              <w:jc w:val="left"/>
            </w:pPr>
            <w:r>
              <w:t xml:space="preserve">Servicescape / F&amp;B</w:t>
            </w:r>
          </w:p>
        </w:tc>
        <w:tc>
          <w:tcPr/>
          <w:p>
            <w:pPr>
              <w:pStyle w:val="Compact"/>
              <w:jc w:val="left"/>
            </w:pPr>
            <w:r>
              <w:t xml:space="preserve">Spanish provenance, organic cava</w:t>
            </w:r>
          </w:p>
        </w:tc>
        <w:tc>
          <w:tcPr/>
          <w:p>
            <w:pPr>
              <w:pStyle w:val="Compact"/>
              <w:jc w:val="left"/>
            </w:pPr>
            <w:r>
              <w:t xml:space="preserve">Strength</w:t>
            </w:r>
          </w:p>
        </w:tc>
      </w:tr>
      <w:tr>
        <w:tc>
          <w:tcPr/>
          <w:p>
            <w:pPr>
              <w:pStyle w:val="Compact"/>
              <w:jc w:val="left"/>
            </w:pPr>
            <w:r>
              <w:t xml:space="preserve">4</w:t>
            </w:r>
          </w:p>
        </w:tc>
        <w:tc>
          <w:tcPr/>
          <w:p>
            <w:pPr>
              <w:pStyle w:val="Compact"/>
              <w:jc w:val="left"/>
            </w:pPr>
            <w:r>
              <w:t xml:space="preserve">Lounge and communal table</w:t>
            </w:r>
          </w:p>
        </w:tc>
        <w:tc>
          <w:tcPr/>
          <w:p>
            <w:pPr>
              <w:pStyle w:val="Compact"/>
              <w:jc w:val="left"/>
            </w:pPr>
            <w:r>
              <w:t xml:space="preserve">Experience</w:t>
            </w:r>
          </w:p>
        </w:tc>
        <w:tc>
          <w:tcPr/>
          <w:p>
            <w:pPr>
              <w:pStyle w:val="Compact"/>
              <w:jc w:val="left"/>
            </w:pPr>
            <w:r>
              <w:t xml:space="preserve">Flexible work-and-dine space</w:t>
            </w:r>
          </w:p>
        </w:tc>
        <w:tc>
          <w:tcPr/>
          <w:p>
            <w:pPr>
              <w:pStyle w:val="Compact"/>
              <w:jc w:val="left"/>
            </w:pPr>
            <w:r>
              <w:t xml:space="preserve">Strength (enterprise)</w:t>
            </w:r>
          </w:p>
        </w:tc>
      </w:tr>
      <w:tr>
        <w:tc>
          <w:tcPr/>
          <w:p>
            <w:pPr>
              <w:pStyle w:val="Compact"/>
              <w:jc w:val="left"/>
            </w:pPr>
            <w:r>
              <w:t xml:space="preserve">5</w:t>
            </w:r>
          </w:p>
        </w:tc>
        <w:tc>
          <w:tcPr/>
          <w:p>
            <w:pPr>
              <w:pStyle w:val="Compact"/>
              <w:jc w:val="left"/>
            </w:pPr>
            <w:r>
              <w:t xml:space="preserve">Room with in-room tea and coffee</w:t>
            </w:r>
          </w:p>
        </w:tc>
        <w:tc>
          <w:tcPr/>
          <w:p>
            <w:pPr>
              <w:pStyle w:val="Compact"/>
              <w:jc w:val="left"/>
            </w:pPr>
            <w:r>
              <w:t xml:space="preserve">Consistency</w:t>
            </w:r>
          </w:p>
        </w:tc>
        <w:tc>
          <w:tcPr/>
          <w:p>
            <w:pPr>
              <w:pStyle w:val="Compact"/>
              <w:jc w:val="left"/>
            </w:pPr>
            <w:r>
              <w:t xml:space="preserve">Instant coffee, smeared marble</w:t>
            </w:r>
          </w:p>
        </w:tc>
        <w:tc>
          <w:tcPr/>
          <w:p>
            <w:pPr>
              <w:pStyle w:val="Compact"/>
              <w:jc w:val="left"/>
            </w:pPr>
            <w:r>
              <w:t xml:space="preserve">Gap</w:t>
            </w:r>
          </w:p>
        </w:tc>
      </w:tr>
      <w:tr>
        <w:tc>
          <w:tcPr/>
          <w:p>
            <w:pPr>
              <w:pStyle w:val="Compact"/>
              <w:jc w:val="left"/>
            </w:pPr>
            <w:r>
              <w:t xml:space="preserve">6</w:t>
            </w:r>
          </w:p>
        </w:tc>
        <w:tc>
          <w:tcPr/>
          <w:p>
            <w:pPr>
              <w:pStyle w:val="Compact"/>
              <w:jc w:val="left"/>
            </w:pPr>
            <w:r>
              <w:t xml:space="preserve">Gym AC grille and cornice</w:t>
            </w:r>
          </w:p>
        </w:tc>
        <w:tc>
          <w:tcPr/>
          <w:p>
            <w:pPr>
              <w:pStyle w:val="Compact"/>
              <w:jc w:val="left"/>
            </w:pPr>
            <w:r>
              <w:t xml:space="preserve">Tangibles</w:t>
            </w:r>
          </w:p>
        </w:tc>
        <w:tc>
          <w:tcPr/>
          <w:p>
            <w:pPr>
              <w:pStyle w:val="Compact"/>
              <w:jc w:val="left"/>
            </w:pPr>
            <w:r>
              <w:t xml:space="preserve">Dusty grille, patched plaster</w:t>
            </w:r>
          </w:p>
        </w:tc>
        <w:tc>
          <w:tcPr/>
          <w:p>
            <w:pPr>
              <w:pStyle w:val="Compact"/>
              <w:jc w:val="left"/>
            </w:pPr>
            <w:r>
              <w:t xml:space="preserve">Gap</w:t>
            </w:r>
          </w:p>
        </w:tc>
      </w:tr>
      <w:tr>
        <w:tc>
          <w:tcPr/>
          <w:p>
            <w:pPr>
              <w:pStyle w:val="Compact"/>
              <w:jc w:val="left"/>
            </w:pPr>
            <w:r>
              <w:t xml:space="preserve">7</w:t>
            </w:r>
          </w:p>
        </w:tc>
        <w:tc>
          <w:tcPr/>
          <w:p>
            <w:pPr>
              <w:pStyle w:val="Compact"/>
              <w:jc w:val="left"/>
            </w:pPr>
            <w:r>
              <w:t xml:space="preserve">Corridor with linen cart</w:t>
            </w:r>
          </w:p>
        </w:tc>
        <w:tc>
          <w:tcPr/>
          <w:p>
            <w:pPr>
              <w:pStyle w:val="Compact"/>
              <w:jc w:val="left"/>
            </w:pPr>
            <w:r>
              <w:t xml:space="preserve">Servicescape</w:t>
            </w:r>
          </w:p>
        </w:tc>
        <w:tc>
          <w:tcPr/>
          <w:p>
            <w:pPr>
              <w:pStyle w:val="Compact"/>
              <w:jc w:val="left"/>
            </w:pPr>
            <w:r>
              <w:t xml:space="preserve">Back-of-house visible</w:t>
            </w:r>
          </w:p>
        </w:tc>
        <w:tc>
          <w:tcPr/>
          <w:p>
            <w:pPr>
              <w:pStyle w:val="Compact"/>
              <w:jc w:val="left"/>
            </w:pPr>
            <w:r>
              <w:t xml:space="preserve">Minor gap</w:t>
            </w:r>
          </w:p>
        </w:tc>
      </w:tr>
      <w:tr>
        <w:tc>
          <w:tcPr/>
          <w:p>
            <w:pPr>
              <w:pStyle w:val="Compact"/>
              <w:jc w:val="left"/>
            </w:pPr>
            <w:r>
              <w:t xml:space="preserve">8</w:t>
            </w:r>
          </w:p>
        </w:tc>
        <w:tc>
          <w:tcPr/>
          <w:p>
            <w:pPr>
              <w:pStyle w:val="Compact"/>
              <w:jc w:val="left"/>
            </w:pPr>
            <w:r>
              <w:t xml:space="preserve">’35 Bar and Lounge</w:t>
            </w:r>
          </w:p>
        </w:tc>
        <w:tc>
          <w:tcPr/>
          <w:p>
            <w:pPr>
              <w:pStyle w:val="Compact"/>
              <w:jc w:val="left"/>
            </w:pPr>
            <w:r>
              <w:t xml:space="preserve">F&amp;B</w:t>
            </w:r>
          </w:p>
        </w:tc>
        <w:tc>
          <w:tcPr/>
          <w:p>
            <w:pPr>
              <w:pStyle w:val="Compact"/>
              <w:jc w:val="left"/>
            </w:pPr>
            <w:r>
              <w:t xml:space="preserve">Distinct design, second outlet</w:t>
            </w:r>
          </w:p>
        </w:tc>
        <w:tc>
          <w:tcPr/>
          <w:p>
            <w:pPr>
              <w:pStyle w:val="Compact"/>
              <w:jc w:val="left"/>
            </w:pPr>
            <w:r>
              <w:t xml:space="preserve">Strength, usage unknown</w:t>
            </w:r>
          </w:p>
        </w:tc>
      </w:tr>
    </w:tbl>
    <w:p>
      <w:pPr>
        <w:pStyle w:val="BodyText"/>
      </w:pPr>
      <w:r>
        <w:t xml:space="preserve">This log records visit notes. Check each row against your actual photographs before submitting.</w:t>
      </w:r>
    </w:p>
    <w:bookmarkEnd w:id="31"/>
    <w:bookmarkStart w:id="32" w:name="appendix-5-table-d-review-coding"/>
    <w:p>
      <w:pPr>
        <w:pStyle w:val="Heading2"/>
      </w:pPr>
      <w:r>
        <w:t xml:space="preserve">Appendix 5: Table D, review coding</w:t>
      </w:r>
    </w:p>
    <w:p>
      <w:pPr>
        <w:pStyle w:val="FirstParagraph"/>
      </w:pPr>
      <w:r>
        <w:t xml:space="preserve">This table needs your own review sample. Method to follow: take 40 recent reviews (15 TripAdvisor, 15 Google, 10 booking site), code each against the categories below, and record counts. Then copy the totals into Section 5 and add a bar chart under the table.</w:t>
      </w:r>
    </w:p>
    <w:tbl>
      <w:tblPr>
        <w:tblStyle w:val="Table"/>
        <w:tblW w:type="pct" w:w="5000"/>
        <w:tblLook w:firstRow="1" w:lastRow="0" w:firstColumn="0" w:lastColumn="0" w:noHBand="0" w:noVBand="0" w:val="0020"/>
        <w:jc w:val="start"/>
      </w:tblPr>
      <w:tblGrid>
        <w:gridCol w:w="1115"/>
        <w:gridCol w:w="1115"/>
        <w:gridCol w:w="1115"/>
        <w:gridCol w:w="2565"/>
        <w:gridCol w:w="2007"/>
      </w:tblGrid>
      <w:tr>
        <w:trPr>
          <w:tblHeader w:val="true"/>
        </w:trPr>
        <w:tc>
          <w:tcPr/>
          <w:p>
            <w:pPr>
              <w:pStyle w:val="Compact"/>
              <w:jc w:val="left"/>
            </w:pPr>
            <w:r>
              <w:t xml:space="preserve">Category</w:t>
            </w:r>
          </w:p>
        </w:tc>
        <w:tc>
          <w:tcPr/>
          <w:p>
            <w:pPr>
              <w:pStyle w:val="Compact"/>
              <w:jc w:val="left"/>
            </w:pPr>
            <w:r>
              <w:t xml:space="preserve">Positive</w:t>
            </w:r>
          </w:p>
        </w:tc>
        <w:tc>
          <w:tcPr/>
          <w:p>
            <w:pPr>
              <w:pStyle w:val="Compact"/>
              <w:jc w:val="left"/>
            </w:pPr>
            <w:r>
              <w:t xml:space="preserve">Negative</w:t>
            </w:r>
          </w:p>
        </w:tc>
        <w:tc>
          <w:tcPr/>
          <w:p>
            <w:pPr>
              <w:pStyle w:val="Compact"/>
              <w:jc w:val="left"/>
            </w:pPr>
            <w:r>
              <w:t xml:space="preserve">Example (paraphrased)</w:t>
            </w:r>
          </w:p>
        </w:tc>
        <w:tc>
          <w:tcPr/>
          <w:p>
            <w:pPr>
              <w:pStyle w:val="Compact"/>
              <w:jc w:val="left"/>
            </w:pPr>
            <w:r>
              <w:t xml:space="preserve">Platform / month</w:t>
            </w:r>
          </w:p>
        </w:tc>
      </w:tr>
      <w:tr>
        <w:tc>
          <w:tcPr/>
          <w:p>
            <w:pPr>
              <w:pStyle w:val="Compact"/>
              <w:jc w:val="left"/>
            </w:pPr>
            <w:r>
              <w:t xml:space="preserve">Tangibles (rooms, lifts, corridors, gym)</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Reliability (faults, disruption, consistency)</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Responsiveness and recovery</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Staff (named or general)</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F&amp;B quality (breakfast, Arado, ’35 Bar)</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Value for money</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rPr>
                <w:bCs/>
                <w:b/>
              </w:rPr>
              <w:t xml:space="preserve">Total</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bl>
    <w:bookmarkEnd w:id="32"/>
    <w:bookmarkStart w:id="33" w:name="appendix-6-table-e-gap-analysis"/>
    <w:p>
      <w:pPr>
        <w:pStyle w:val="Heading2"/>
      </w:pPr>
      <w:r>
        <w:t xml:space="preserve">Appendix 6: Table E, gap analysis</w:t>
      </w:r>
    </w:p>
    <w:tbl>
      <w:tblPr>
        <w:tblStyle w:val="Table"/>
        <w:tblW w:type="pct" w:w="5000"/>
        <w:tblLook w:firstRow="1" w:lastRow="0" w:firstColumn="0" w:lastColumn="0" w:noHBand="0" w:noVBand="0" w:val="0020"/>
        <w:jc w:val="start"/>
      </w:tblPr>
      <w:tblGrid>
        <w:gridCol w:w="2677"/>
        <w:gridCol w:w="1896"/>
        <w:gridCol w:w="1115"/>
        <w:gridCol w:w="1115"/>
        <w:gridCol w:w="1115"/>
      </w:tblGrid>
      <w:tr>
        <w:trPr>
          <w:tblHeader w:val="true"/>
        </w:trPr>
        <w:tc>
          <w:tcPr/>
          <w:p>
            <w:pPr>
              <w:pStyle w:val="Compact"/>
              <w:jc w:val="left"/>
            </w:pPr>
            <w:r>
              <w:t xml:space="preserve">Brand promise (source)</w:t>
            </w:r>
          </w:p>
        </w:tc>
        <w:tc>
          <w:tcPr/>
          <w:p>
            <w:pPr>
              <w:pStyle w:val="Compact"/>
              <w:jc w:val="left"/>
            </w:pPr>
            <w:r>
              <w:t xml:space="preserve">Observed (Fig.)</w:t>
            </w:r>
          </w:p>
        </w:tc>
        <w:tc>
          <w:tcPr/>
          <w:p>
            <w:pPr>
              <w:pStyle w:val="Compact"/>
              <w:jc w:val="left"/>
            </w:pPr>
            <w:r>
              <w:t xml:space="preserve">Gap type</w:t>
            </w:r>
          </w:p>
        </w:tc>
        <w:tc>
          <w:tcPr/>
          <w:p>
            <w:pPr>
              <w:pStyle w:val="Compact"/>
              <w:jc w:val="left"/>
            </w:pPr>
            <w:r>
              <w:t xml:space="preserve">Severity</w:t>
            </w:r>
          </w:p>
        </w:tc>
        <w:tc>
          <w:tcPr/>
          <w:p>
            <w:pPr>
              <w:pStyle w:val="Compact"/>
              <w:jc w:val="left"/>
            </w:pPr>
            <w:r>
              <w:t xml:space="preserve">Evidence</w:t>
            </w:r>
          </w:p>
        </w:tc>
      </w:tr>
      <w:tr>
        <w:tc>
          <w:tcPr/>
          <w:p>
            <w:pPr>
              <w:pStyle w:val="Compact"/>
              <w:jc w:val="left"/>
            </w:pPr>
            <w:r>
              <w:t xml:space="preserve">Premium,</w:t>
            </w:r>
            <w:r>
              <w:t xml:space="preserve"> </w:t>
            </w:r>
            <w:r>
              <w:t xml:space="preserve">“</w:t>
            </w:r>
            <w:r>
              <w:t xml:space="preserve">exceeds expectations</w:t>
            </w:r>
            <w:r>
              <w:t xml:space="preserve">”</w:t>
            </w:r>
            <w:r>
              <w:t xml:space="preserve"> </w:t>
            </w:r>
            <w:r>
              <w:t xml:space="preserve">(press release)</w:t>
            </w:r>
          </w:p>
        </w:tc>
        <w:tc>
          <w:tcPr/>
          <w:p>
            <w:pPr>
              <w:pStyle w:val="Compact"/>
              <w:jc w:val="left"/>
            </w:pPr>
            <w:r>
              <w:t xml:space="preserve">Tarnished lift, dusty grille (Figs. 1, 6)</w:t>
            </w:r>
          </w:p>
        </w:tc>
        <w:tc>
          <w:tcPr/>
          <w:p>
            <w:pPr>
              <w:pStyle w:val="Compact"/>
              <w:jc w:val="left"/>
            </w:pPr>
            <w:r>
              <w:t xml:space="preserve">Gap 3</w:t>
            </w:r>
          </w:p>
        </w:tc>
        <w:tc>
          <w:tcPr/>
          <w:p>
            <w:pPr>
              <w:pStyle w:val="Compact"/>
              <w:jc w:val="left"/>
            </w:pPr>
            <w:r>
              <w:t xml:space="preserve">Medium</w:t>
            </w:r>
          </w:p>
        </w:tc>
        <w:tc>
          <w:tcPr/>
          <w:p>
            <w:pPr>
              <w:pStyle w:val="Compact"/>
              <w:jc w:val="left"/>
            </w:pPr>
            <w:r>
              <w:t xml:space="preserve">Photos plus fault reviews</w:t>
            </w:r>
          </w:p>
        </w:tc>
      </w:tr>
      <w:tr>
        <w:tc>
          <w:tcPr/>
          <w:p>
            <w:pPr>
              <w:pStyle w:val="Compact"/>
              <w:jc w:val="left"/>
            </w:pPr>
            <w:r>
              <w:t xml:space="preserve">Mediterranean F&amp;B identity</w:t>
            </w:r>
          </w:p>
        </w:tc>
        <w:tc>
          <w:tcPr/>
          <w:p>
            <w:pPr>
              <w:pStyle w:val="Compact"/>
              <w:jc w:val="left"/>
            </w:pPr>
            <w:r>
              <w:t xml:space="preserve">Instant coffee in room (Fig. 5)</w:t>
            </w:r>
          </w:p>
        </w:tc>
        <w:tc>
          <w:tcPr/>
          <w:p>
            <w:pPr>
              <w:pStyle w:val="Compact"/>
              <w:jc w:val="left"/>
            </w:pPr>
            <w:r>
              <w:t xml:space="preserve">Gap 4</w:t>
            </w:r>
          </w:p>
        </w:tc>
        <w:tc>
          <w:tcPr/>
          <w:p>
            <w:pPr>
              <w:pStyle w:val="Compact"/>
              <w:jc w:val="left"/>
            </w:pPr>
            <w:r>
              <w:t xml:space="preserve">Low to medium</w:t>
            </w:r>
          </w:p>
        </w:tc>
        <w:tc>
          <w:tcPr/>
          <w:p>
            <w:pPr>
              <w:pStyle w:val="Compact"/>
              <w:jc w:val="left"/>
            </w:pPr>
            <w:r>
              <w:t xml:space="preserve">Photo</w:t>
            </w:r>
          </w:p>
        </w:tc>
      </w:tr>
      <w:tr>
        <w:tc>
          <w:tcPr/>
          <w:p>
            <w:pPr>
              <w:pStyle w:val="Compact"/>
              <w:jc w:val="left"/>
            </w:pPr>
            <w:r>
              <w:t xml:space="preserve">Consistent Meliá standard</w:t>
            </w:r>
          </w:p>
        </w:tc>
        <w:tc>
          <w:tcPr/>
          <w:p>
            <w:pPr>
              <w:pStyle w:val="Compact"/>
              <w:jc w:val="left"/>
            </w:pPr>
            <w:r>
              <w:t xml:space="preserve">Breakfast moved offsite, per a review</w:t>
            </w:r>
          </w:p>
        </w:tc>
        <w:tc>
          <w:tcPr/>
          <w:p>
            <w:pPr>
              <w:pStyle w:val="Compact"/>
              <w:jc w:val="left"/>
            </w:pPr>
            <w:r>
              <w:t xml:space="preserve">Gap 3</w:t>
            </w:r>
          </w:p>
        </w:tc>
        <w:tc>
          <w:tcPr/>
          <w:p>
            <w:pPr>
              <w:pStyle w:val="Compact"/>
              <w:jc w:val="left"/>
            </w:pPr>
            <w:r>
              <w:t xml:space="preserve">High (single review)</w:t>
            </w:r>
          </w:p>
        </w:tc>
        <w:tc>
          <w:tcPr/>
          <w:p>
            <w:pPr>
              <w:pStyle w:val="Compact"/>
              <w:jc w:val="left"/>
            </w:pPr>
            <w:r>
              <w:t xml:space="preserve">Review</w:t>
            </w:r>
          </w:p>
        </w:tc>
      </w:tr>
      <w:tr>
        <w:tc>
          <w:tcPr/>
          <w:p>
            <w:pPr>
              <w:pStyle w:val="Compact"/>
              <w:jc w:val="left"/>
            </w:pPr>
            <w:r>
              <w:t xml:space="preserve">Strong breakfast</w:t>
            </w:r>
          </w:p>
        </w:tc>
        <w:tc>
          <w:tcPr/>
          <w:p>
            <w:pPr>
              <w:pStyle w:val="Compact"/>
              <w:jc w:val="left"/>
            </w:pPr>
            <w:r>
              <w:t xml:space="preserve">Mostly praised, one review disappointed</w:t>
            </w:r>
          </w:p>
        </w:tc>
        <w:tc>
          <w:tcPr/>
          <w:p>
            <w:pPr>
              <w:pStyle w:val="Compact"/>
              <w:jc w:val="left"/>
            </w:pPr>
            <w:r>
              <w:t xml:space="preserve">n/a</w:t>
            </w:r>
          </w:p>
        </w:tc>
        <w:tc>
          <w:tcPr/>
          <w:p>
            <w:pPr>
              <w:pStyle w:val="Compact"/>
              <w:jc w:val="left"/>
            </w:pPr>
            <w:r>
              <w:t xml:space="preserve">Mixed</w:t>
            </w:r>
          </w:p>
        </w:tc>
        <w:tc>
          <w:tcPr/>
          <w:p>
            <w:pPr>
              <w:pStyle w:val="Compact"/>
              <w:jc w:val="left"/>
            </w:pPr>
            <w:r>
              <w:t xml:space="preserve">Reviews</w:t>
            </w:r>
          </w:p>
        </w:tc>
      </w:tr>
    </w:tbl>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Meliá White House: does the premium strategy deliver a consistent guest experience?</dc:title>
  <dc:creator/>
  <cp:keywords/>
  <dcterms:created xsi:type="dcterms:W3CDTF">2026-10-08T06:02:37Z</dcterms:created>
  <dcterms:modified xsi:type="dcterms:W3CDTF">2026-10-08T06:02:37Z</dcterms:modified>
</cp:coreProperties>
</file>

<file path=docProps/custom.xml><?xml version="1.0" encoding="utf-8"?>
<Properties xmlns="http://schemas.openxmlformats.org/officeDocument/2006/custom-properties" xmlns:vt="http://schemas.openxmlformats.org/officeDocument/2006/docPropsVTypes"/>
</file>