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a04853ef239a8a88bc7710dd0d325c089e9f14c"/>
    <w:p>
      <w:pPr>
        <w:pStyle w:val="Heading1"/>
      </w:pPr>
      <w:r>
        <w:t xml:space="preserve">DRAFT: Meliá White House Report (Sections 3 and 4 only)</w:t>
      </w:r>
    </w:p>
    <w:p>
      <w:pPr>
        <w:pStyle w:val="FirstParagraph"/>
      </w:pPr>
      <w:r>
        <w:rPr>
          <w:iCs/>
          <w:i/>
        </w:rPr>
        <w:t xml:space="preserve">Working draft. Not a final submission. Items marked [VERIFY] or [YOUR DATA] must be confirmed or filled by the student, and AI assistance must be disclosed per university policy.</w:t>
      </w:r>
    </w:p>
    <w:bookmarkStart w:id="20" w:name="theory-toolkit"/>
    <w:p>
      <w:pPr>
        <w:pStyle w:val="Heading2"/>
      </w:pPr>
      <w:r>
        <w:t xml:space="preserve">3. Theory toolkit</w:t>
      </w:r>
    </w:p>
    <w:p>
      <w:pPr>
        <w:pStyle w:val="FirstParagraph"/>
      </w:pPr>
      <w:r>
        <w:t xml:space="preserve">This report uses six theories, chosen because each maps to a decision or a gap observed at the hotel rather than because it is well known.</w:t>
      </w:r>
    </w:p>
    <w:p>
      <w:pPr>
        <w:pStyle w:val="BodyText"/>
      </w:pPr>
      <w:r>
        <w:rPr>
          <w:bCs/>
          <w:b/>
        </w:rPr>
        <w:t xml:space="preserve">Gaps Model.</w:t>
      </w:r>
      <w:r>
        <w:t xml:space="preserve"> </w:t>
      </w:r>
      <w:r>
        <w:t xml:space="preserve">Parasuraman, Zeithaml and Berry (1985) locate service failure in five gaps between expectation, specification and delivery. It is the master framework here because the problems found sit in Gap 3 (delivery against standard) and Gap 4 (what is promised against what is delivered). Its weakness is that it is provider-side and says little about how guests feel. The report therefore pairs it with guest-side theories below.</w:t>
      </w:r>
    </w:p>
    <w:p>
      <w:pPr>
        <w:pStyle w:val="BodyText"/>
      </w:pPr>
      <w:r>
        <w:rPr>
          <w:bCs/>
          <w:b/>
        </w:rPr>
        <w:t xml:space="preserve">SERVQUAL and SERVPERF.</w:t>
      </w:r>
      <w:r>
        <w:t xml:space="preserve"> </w:t>
      </w:r>
      <w:r>
        <w:t xml:space="preserve">Parasuraman, Zeithaml and Berry (1988) measure quality as perception minus expectation across five dimensions. Cronin and Taylor (1992) counter that perceptions alone predict quality better, and dimensions shift between settings. The available data are perceptions only (observation and reviews), so a SERVPERF-style approach is taken, with the five dimensions kept as a coding frame.</w:t>
      </w:r>
    </w:p>
    <w:p>
      <w:pPr>
        <w:pStyle w:val="BodyText"/>
      </w:pPr>
      <w:r>
        <w:rPr>
          <w:bCs/>
          <w:b/>
        </w:rPr>
        <w:t xml:space="preserve">Servicescape.</w:t>
      </w:r>
      <w:r>
        <w:t xml:space="preserve"> </w:t>
      </w:r>
      <w:r>
        <w:t xml:space="preserve">Bitner (1992), building on Kotler’s (1973) atmospherics, argues that physical surroundings shape guest judgement. The theory was built for controlled settings, and heritage complicates it: Timothy and Boyd (2003) show visible age can read as authenticity. Here it tests whether cornices and oak, or a tarnished lift door and a dusty grille, dominate impressions at a premium price.</w:t>
      </w:r>
    </w:p>
    <w:p>
      <w:pPr>
        <w:pStyle w:val="BodyText"/>
      </w:pPr>
      <w:r>
        <w:rPr>
          <w:bCs/>
          <w:b/>
        </w:rPr>
        <w:t xml:space="preserve">Expectation-disconfirmation.</w:t>
      </w:r>
      <w:r>
        <w:t xml:space="preserve"> </w:t>
      </w:r>
      <w:r>
        <w:t xml:space="preserve">Oliver (1980) holds that satisfaction depends on whether performance beats expectation. Critics note expectations are hard to measure and drift over time. It matters because staff quoted rooms from about £300, while booking sites show around £117 [VERIFY], so guests arrive with very different reference points.</w:t>
      </w:r>
    </w:p>
    <w:p>
      <w:pPr>
        <w:pStyle w:val="BodyText"/>
      </w:pPr>
      <w:r>
        <w:rPr>
          <w:bCs/>
          <w:b/>
        </w:rPr>
        <w:t xml:space="preserve">Differentiation and strategic fit.</w:t>
      </w:r>
      <w:r>
        <w:t xml:space="preserve"> </w:t>
      </w:r>
      <w:r>
        <w:t xml:space="preserve">Porter (1996) argues strategy lies in activities that reinforce each other, and distinguishes it from operational effectiveness (Porter, 1985). The</w:t>
      </w:r>
      <w:r>
        <w:t xml:space="preserve"> </w:t>
      </w:r>
      <w:r>
        <w:t xml:space="preserve">“</w:t>
      </w:r>
      <w:r>
        <w:t xml:space="preserve">stuck in the middle</w:t>
      </w:r>
      <w:r>
        <w:t xml:space="preserve">”</w:t>
      </w:r>
      <w:r>
        <w:t xml:space="preserve"> </w:t>
      </w:r>
      <w:r>
        <w:t xml:space="preserve">idea is contested. The test is whether the Mediterranean concept holds across every touchpoint, not only the visible ones.</w:t>
      </w:r>
    </w:p>
    <w:p>
      <w:pPr>
        <w:pStyle w:val="BodyText"/>
      </w:pPr>
      <w:r>
        <w:rPr>
          <w:bCs/>
          <w:b/>
        </w:rPr>
        <w:t xml:space="preserve">Service recovery.</w:t>
      </w:r>
      <w:r>
        <w:t xml:space="preserve"> </w:t>
      </w:r>
      <w:r>
        <w:t xml:space="preserve">Hart, Heskett and Sasser (1990) argue a well-handled failure can build loyalty; Tax, Brown and Chandrashekaran (1998) tie this to perceived fairness. Recovery cannot replace reliability, and fairness judgements vary between guests. It is used to assess the breakfast disruption.</w:t>
      </w:r>
    </w:p>
    <w:bookmarkEnd w:id="20"/>
    <w:bookmarkStart w:id="21" w:name="analysis-of-four-hotel-decisions"/>
    <w:p>
      <w:pPr>
        <w:pStyle w:val="Heading2"/>
      </w:pPr>
      <w:r>
        <w:t xml:space="preserve">4. Analysis of four hotel decisions</w:t>
      </w:r>
    </w:p>
    <w:p>
      <w:pPr>
        <w:pStyle w:val="FirstParagraph"/>
      </w:pPr>
      <w:r>
        <w:rPr>
          <w:bCs/>
          <w:b/>
        </w:rPr>
        <w:t xml:space="preserve">Decision 1: a five-year, £40m repositioning while trading.</w:t>
      </w:r>
      <w:r>
        <w:t xml:space="preserve"> </w:t>
      </w:r>
      <w:r>
        <w:t xml:space="preserve">The renovation, reported at £40m and completed in April 2023 (Business Traveller, 2024) [VERIFY], bet on the building itself. Barney (1991) would treat a Grade II listed, star-shaped 1936 building as rare and hard to imitate, which suggests the hotel holds a genuine advantage. Teece, Pisano and Shuen (1997) add that renovating while open is a dynamic capability, since it keeps revenue flowing. Yet trading through works has a cost. Reviews that mention faults or disruption [YOUR DATA: count from Table D] suggest guests absorbed that cost. The judgement is that the asset justifies the investment, but the phased approach exposed Gap 3: standards promised were not always delivered during works.</w:t>
      </w:r>
    </w:p>
    <w:p>
      <w:pPr>
        <w:pStyle w:val="BodyText"/>
      </w:pPr>
      <w:r>
        <w:rPr>
          <w:bCs/>
          <w:b/>
        </w:rPr>
        <w:t xml:space="preserve">Decision 2: the Mediterranean F&amp;B concept.</w:t>
      </w:r>
      <w:r>
        <w:t xml:space="preserve"> </w:t>
      </w:r>
      <w:r>
        <w:t xml:space="preserve">Arado, a buffet and Spanish wines and cava form a coherent offer. In Porter’s (1996) terms, strategic fit means the activities reinforce one another, and the buffet counter with GMED oils and Real Crisps, and the organic Codorníu cava on ice (Figs. 2 and 3), show that fit where guests can see it. Kotler, Bowen and Makens’s positioning logic points the same way. Breakfast is the most praised element in reviews [YOUR DATA]. The concept breaks at the room: instant coffee (Fig. 5) contradicts the premium and Spanish identity. The judgement is that this is a fit failure, a Gap 4 promise-delivery mismatch, rather than a housekeeping slip.</w:t>
      </w:r>
    </w:p>
    <w:p>
      <w:pPr>
        <w:pStyle w:val="BodyText"/>
      </w:pPr>
      <w:r>
        <w:rPr>
          <w:bCs/>
          <w:b/>
        </w:rPr>
        <w:t xml:space="preserve">Decision 3: diversification through The Level and public co-working.</w:t>
      </w:r>
      <w:r>
        <w:t xml:space="preserve"> </w:t>
      </w:r>
      <w:r>
        <w:t xml:space="preserve">Business Traveller (2024) reports ten workspaces from £40 a day with 10% off at Arado and ’35 Bar [VERIFY]. This is enterprise behaviour: a new income stream from underused space, plus cross-selling into F&amp;B, consistent with Enz’s (2010) account of strategy and new revenue. The lounge and communal table (Fig. 4) and ’35 Bar (Fig. 8) show a flexible space with a distinct second outlet. The judgement is that this is a sound use of space, but no usage or revenue data were available, so success cannot be claimed. The evidence supports intent, not performance.</w:t>
      </w:r>
    </w:p>
    <w:p>
      <w:pPr>
        <w:pStyle w:val="BodyText"/>
      </w:pPr>
      <w:r>
        <w:rPr>
          <w:bCs/>
          <w:b/>
        </w:rPr>
        <w:t xml:space="preserve">Decision 4: group premium strategy and sustainability.</w:t>
      </w:r>
      <w:r>
        <w:t xml:space="preserve"> </w:t>
      </w:r>
      <w:r>
        <w:t xml:space="preserve">Brand Finance coverage reports that premium and luxury make up about 65% of Meliá’s portfolio (Journal des Palaces, 2026) [VERIFY and attribute as a corporate claim]. Han, Hsu and Sheu (2010) show an attitude-behaviour gap: guests favour green hotels more readily than they pay for them. The only visit evidence is organic cava. The judgement is that sustainability is supporting value, not the lead, and that group claims come from promotional sources and should be treated as such.</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2026-10-08T05:51:29Z</dcterms:created>
  <dcterms:modified xsi:type="dcterms:W3CDTF">2026-10-08T05:51:29Z</dcterms:modified>
</cp:coreProperties>
</file>

<file path=docProps/custom.xml><?xml version="1.0" encoding="utf-8"?>
<Properties xmlns="http://schemas.openxmlformats.org/officeDocument/2006/custom-properties" xmlns:vt="http://schemas.openxmlformats.org/officeDocument/2006/docPropsVTypes"/>
</file>