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B04E8"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b/>
          <w:bCs/>
          <w:szCs w:val="24"/>
        </w:rPr>
        <w:t>Task 1: Reflective Learning</w:t>
      </w:r>
    </w:p>
    <w:p w14:paraId="23F826E1"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In Activity 1, social skills were my strongest emotional intelligence component and self-awareness was my weakest. In a group project, I missed a teammate’s concern that tasks were shared unevenly. They carried extra work, and we lost the chance to fix it early. My thesis is that I build rapport well but do not always notice how my actions affect others.</w:t>
      </w:r>
    </w:p>
    <w:p w14:paraId="01F83D1D"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In Goleman’s (1998) terms, strong social skill without self-awareness means I influence people without checking how I come across. My default style resembled the affiliative one, which Goleman (2000) warns can avoid difficult conversations. It did not fit: the group needed challenge, not harmony. I also delegated tasks but kept the final say, which probably left teammates little room to speak. This view has limits. Antonakis, Ashkanasy and Dasborough (2009) argue that emotional intelligence is poorly defined and measured, so my self-rating may depend on the model used.</w:t>
      </w:r>
    </w:p>
    <w:p w14:paraId="2B4D3DEE"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My strength is real: teammates often asked me to clarify task requirements and solve technical problems. The gap had a cost. A teammate carried a problem alone, and trust built more on ability than benevolence (Mayer, Davis and Schoorman, 1995) gave them less reason to tell me.</w:t>
      </w:r>
    </w:p>
    <w:p w14:paraId="4D4D9660"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 xml:space="preserve">I once believed leadership was a natural trait. Activity 1 and the workbook changed my mind: self-awareness can be developed, and noticing others </w:t>
      </w:r>
      <w:r w:rsidRPr="008C2FB5">
        <w:rPr>
          <w:rFonts w:eastAsia="Times New Roman" w:cs="Arial"/>
          <w:szCs w:val="24"/>
        </w:rPr>
        <w:lastRenderedPageBreak/>
        <w:t>achieves little unless I act on it. I now see empathy as information for better decisions, not just being kind.</w:t>
      </w:r>
    </w:p>
    <w:p w14:paraId="348EB339"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My potential is credible but unproven, provided I seek the feedback I lack. During the next team project, a trusted teammate will observe two meetings and give written feedback on how I respond to concerns, reviewed after four weeks. Success means a teammate raising a concern with me unprompted.</w:t>
      </w:r>
    </w:p>
    <w:p w14:paraId="116EE569" w14:textId="77777777" w:rsidR="008D4E83" w:rsidRPr="000D7752" w:rsidRDefault="000D7752" w:rsidP="000D7752">
      <w:pPr>
        <w:pStyle w:val="Heading1"/>
        <w:jc w:val="both"/>
        <w:rPr>
          <w:rFonts w:ascii="Arial" w:hAnsi="Arial" w:cs="Arial"/>
          <w:sz w:val="24"/>
          <w:szCs w:val="24"/>
        </w:rPr>
      </w:pPr>
      <w:r w:rsidRPr="000D7752">
        <w:rPr>
          <w:rFonts w:ascii="Arial" w:hAnsi="Arial" w:cs="Arial"/>
          <w:sz w:val="24"/>
          <w:szCs w:val="24"/>
        </w:rPr>
        <w:t>Task 2: Summative Plan</w:t>
      </w:r>
    </w:p>
    <w:p w14:paraId="7E82A09A"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b/>
          <w:bCs/>
          <w:szCs w:val="24"/>
        </w:rPr>
        <w:t>Overview</w:t>
      </w:r>
    </w:p>
    <w:p w14:paraId="74582D1A"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I will argue that leadership and management overlap more than the classic distinction allows, and test this through Satya Nadella (AC1) and Indra Nooyi (AC3), using transformational leadership and intersectionality.</w:t>
      </w:r>
    </w:p>
    <w:p w14:paraId="75C733B5"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b/>
          <w:bCs/>
          <w:szCs w:val="24"/>
        </w:rPr>
        <w:t>AC1: Understanding Leadership</w:t>
      </w:r>
    </w:p>
    <w:p w14:paraId="76178AEE"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Zaleznik (1977) and Kotter (1990) separate leaders (vision, change) from managers (stability, complexity), which frames the debate. My working position is that leadership and management are different functions that one person often does, so definitions must allow for overlap. Mintzberg (1973) complicates it: observed managers performed interpersonal and informational roles, so overlap is normal. I will use Bass (1985) on transformational leadership because it connects to AC3. Alvesson and Spicer (2012) question assumptions taken for granted in leadership studies, a check against treating either distinction as settled. I chose this spine because the classic distinction frames the debate, Mintzberg tests it, and transformational theory gives the lens for AC3.</w:t>
      </w:r>
    </w:p>
    <w:p w14:paraId="0039C71F"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Nadella at Microsoft tests whether a transformational culture shift depended on management systems. Choosing an example that may complicate the theory is deliberate. His own account (Nadella, 2017) is leader-written, so I will check it against independent academic and business-press sources (O’Reilly, 2024; Sharma, 2026).</w:t>
      </w:r>
    </w:p>
    <w:p w14:paraId="4398B113"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b/>
          <w:bCs/>
          <w:szCs w:val="24"/>
        </w:rPr>
        <w:t>AC3: Diverse Leader</w:t>
      </w:r>
    </w:p>
    <w:p w14:paraId="53CE0450"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I chose Nooyi, former PepsiCo chief executive, against three criteria: documented leadership philosophy (Nooyi, 2021); an intersectional position (gender, ethnicity, migration); and a record with both achievement and criticism, which allows evaluation, not admiration. I rejected Nadella to avoid overlap, and because gender does not apply to him.</w:t>
      </w:r>
    </w:p>
    <w:p w14:paraId="21885432"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Crenshaw’s (1989) intersectionality, with Rosette et al. (2016) on combined race and gender effects, will show how overlapping identities shaped her context. Bass (1985) shows what she did. I will examine speeches, strategic decisions and stakeholder outcomes, treating decisions that contradict a transformational reading as counter-evidence. Limits: intersectionality is hard to apply to one case and invites over-attribution; evidence is retrospective and media-filtered; transformational theory is leader-centred. I will analyse decisions in context, not Nooyi as a category representative.</w:t>
      </w:r>
    </w:p>
    <w:p w14:paraId="0612C18F"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b/>
          <w:bCs/>
          <w:szCs w:val="24"/>
        </w:rPr>
        <w:t>Integration and risks</w:t>
      </w:r>
    </w:p>
    <w:p w14:paraId="189831B1"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Both parts test one claim: if leadership and management overlap, transformational success should rely on management systems, and identity should shape how leadership is recognised. The main risk is hero-narrative bias from sources written by the leaders, so I will check them against independent analyses (Hegde, 2026; Sonnenfeld, 2018). A second is identity reductionism, reduced by focusing on decisions and outcomes. If Nooyi’s identity changed no decisions, or outcomes owed more to systems than to her, I would qualify the lens.</w:t>
      </w:r>
    </w:p>
    <w:p w14:paraId="46121B44" w14:textId="35BBAEC1" w:rsidR="008D4E83" w:rsidRPr="000D7752"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lastRenderedPageBreak/>
        <w:t>The sources disagree: Kotter separates leadership from management, whereas Mintzberg’s empirical work finds leadership inside management. Much of the evidence is old, so I will weigh classic practitioner arguments against recent peer-reviewed critique.</w:t>
      </w:r>
    </w:p>
    <w:p w14:paraId="3FACE156" w14:textId="77777777" w:rsidR="008D4E83" w:rsidRPr="000D7752" w:rsidRDefault="000D7752" w:rsidP="000D7752">
      <w:pPr>
        <w:pStyle w:val="Heading1"/>
        <w:rPr>
          <w:rFonts w:ascii="Arial" w:hAnsi="Arial" w:cs="Arial"/>
          <w:sz w:val="24"/>
          <w:szCs w:val="24"/>
        </w:rPr>
      </w:pPr>
      <w:r w:rsidRPr="000D7752">
        <w:rPr>
          <w:rFonts w:ascii="Arial" w:hAnsi="Arial" w:cs="Arial"/>
          <w:sz w:val="24"/>
          <w:szCs w:val="24"/>
        </w:rPr>
        <w:t>Reference List</w:t>
      </w:r>
    </w:p>
    <w:p w14:paraId="664D6DB7" w14:textId="77777777" w:rsidR="008D4E83" w:rsidRPr="000D7752" w:rsidRDefault="000D7752" w:rsidP="000D7752">
      <w:pPr>
        <w:rPr>
          <w:rFonts w:cs="Arial"/>
          <w:szCs w:val="24"/>
        </w:rPr>
      </w:pPr>
      <w:r w:rsidRPr="000D7752">
        <w:rPr>
          <w:rFonts w:cs="Arial"/>
          <w:szCs w:val="24"/>
        </w:rPr>
        <w:t>Alvesson, M. and Spice</w:t>
      </w:r>
      <w:r w:rsidRPr="000D7752">
        <w:rPr>
          <w:rFonts w:cs="Arial"/>
          <w:szCs w:val="24"/>
        </w:rPr>
        <w:t xml:space="preserve">r, A. (2012) 'Critical leadership studies: the case for critical performativity', </w:t>
      </w:r>
      <w:r w:rsidRPr="000D7752">
        <w:rPr>
          <w:rFonts w:cs="Arial"/>
          <w:i/>
          <w:szCs w:val="24"/>
        </w:rPr>
        <w:t>Human Relations</w:t>
      </w:r>
      <w:r w:rsidRPr="000D7752">
        <w:rPr>
          <w:rFonts w:cs="Arial"/>
          <w:szCs w:val="24"/>
        </w:rPr>
        <w:t>, 65(3), pp. 367–390.</w:t>
      </w:r>
    </w:p>
    <w:p w14:paraId="4376FEA4" w14:textId="77777777" w:rsidR="008D4E83" w:rsidRPr="000D7752" w:rsidRDefault="000D7752" w:rsidP="000D7752">
      <w:pPr>
        <w:rPr>
          <w:rFonts w:cs="Arial"/>
          <w:szCs w:val="24"/>
        </w:rPr>
      </w:pPr>
      <w:r w:rsidRPr="000D7752">
        <w:rPr>
          <w:rFonts w:cs="Arial"/>
          <w:szCs w:val="24"/>
        </w:rPr>
        <w:t xml:space="preserve">Antonakis, J., Ashkanasy, N.M. and Dasborough, M.T. (2009) 'Does leadership need emotional intelligence?', </w:t>
      </w:r>
      <w:r w:rsidRPr="000D7752">
        <w:rPr>
          <w:rFonts w:cs="Arial"/>
          <w:i/>
          <w:szCs w:val="24"/>
        </w:rPr>
        <w:t>The Leadership Quarterly</w:t>
      </w:r>
      <w:r w:rsidRPr="000D7752">
        <w:rPr>
          <w:rFonts w:cs="Arial"/>
          <w:szCs w:val="24"/>
        </w:rPr>
        <w:t>, 20(2</w:t>
      </w:r>
      <w:r w:rsidRPr="000D7752">
        <w:rPr>
          <w:rFonts w:cs="Arial"/>
          <w:szCs w:val="24"/>
        </w:rPr>
        <w:t>), pp. 247–261.</w:t>
      </w:r>
    </w:p>
    <w:p w14:paraId="4713A867" w14:textId="77777777" w:rsidR="008D4E83" w:rsidRPr="000D7752" w:rsidRDefault="000D7752" w:rsidP="000D7752">
      <w:pPr>
        <w:rPr>
          <w:rFonts w:cs="Arial"/>
          <w:szCs w:val="24"/>
        </w:rPr>
      </w:pPr>
      <w:r w:rsidRPr="000D7752">
        <w:rPr>
          <w:rFonts w:cs="Arial"/>
          <w:szCs w:val="24"/>
        </w:rPr>
        <w:t xml:space="preserve">Bass, B.M. (1985) </w:t>
      </w:r>
      <w:r w:rsidRPr="000D7752">
        <w:rPr>
          <w:rFonts w:cs="Arial"/>
          <w:i/>
          <w:szCs w:val="24"/>
        </w:rPr>
        <w:t>Leadership and performance beyond expectations</w:t>
      </w:r>
      <w:r w:rsidRPr="000D7752">
        <w:rPr>
          <w:rFonts w:cs="Arial"/>
          <w:szCs w:val="24"/>
        </w:rPr>
        <w:t>. New York: Free Press.</w:t>
      </w:r>
    </w:p>
    <w:p w14:paraId="5830548D" w14:textId="77777777" w:rsidR="008D4E83" w:rsidRPr="000D7752" w:rsidRDefault="000D7752" w:rsidP="000D7752">
      <w:pPr>
        <w:rPr>
          <w:rFonts w:cs="Arial"/>
          <w:szCs w:val="24"/>
        </w:rPr>
      </w:pPr>
      <w:r w:rsidRPr="000D7752">
        <w:rPr>
          <w:rFonts w:cs="Arial"/>
          <w:szCs w:val="24"/>
        </w:rPr>
        <w:t>Crenshaw, K. (1989) 'Demarginalizing the intersection of race and sex: a black feminist critique of antidiscrimination doctrine, feminist theory and ant</w:t>
      </w:r>
      <w:r w:rsidRPr="000D7752">
        <w:rPr>
          <w:rFonts w:cs="Arial"/>
          <w:szCs w:val="24"/>
        </w:rPr>
        <w:t xml:space="preserve">iracist politics', </w:t>
      </w:r>
      <w:r w:rsidRPr="000D7752">
        <w:rPr>
          <w:rFonts w:cs="Arial"/>
          <w:i/>
          <w:szCs w:val="24"/>
        </w:rPr>
        <w:t>University of Chicago Legal Forum</w:t>
      </w:r>
      <w:r w:rsidRPr="000D7752">
        <w:rPr>
          <w:rFonts w:cs="Arial"/>
          <w:szCs w:val="24"/>
        </w:rPr>
        <w:t>, 1989(1), pp. 139–167.</w:t>
      </w:r>
    </w:p>
    <w:p w14:paraId="51289CF5" w14:textId="77777777" w:rsidR="008D4E83" w:rsidRPr="000D7752" w:rsidRDefault="000D7752" w:rsidP="000D7752">
      <w:pPr>
        <w:rPr>
          <w:rFonts w:cs="Arial"/>
          <w:szCs w:val="24"/>
        </w:rPr>
      </w:pPr>
      <w:r w:rsidRPr="000D7752">
        <w:rPr>
          <w:rFonts w:cs="Arial"/>
          <w:szCs w:val="24"/>
        </w:rPr>
        <w:t xml:space="preserve">Goleman, D. (1998) 'What makes a leader?', </w:t>
      </w:r>
      <w:r w:rsidRPr="000D7752">
        <w:rPr>
          <w:rFonts w:cs="Arial"/>
          <w:i/>
          <w:szCs w:val="24"/>
        </w:rPr>
        <w:t>Harvard Business Review</w:t>
      </w:r>
      <w:r w:rsidRPr="000D7752">
        <w:rPr>
          <w:rFonts w:cs="Arial"/>
          <w:szCs w:val="24"/>
        </w:rPr>
        <w:t>, 76(6), pp. 93–102.</w:t>
      </w:r>
    </w:p>
    <w:p w14:paraId="1E1A46E3" w14:textId="77777777" w:rsidR="008D4E83" w:rsidRPr="000D7752" w:rsidRDefault="000D7752" w:rsidP="000D7752">
      <w:pPr>
        <w:rPr>
          <w:rFonts w:cs="Arial"/>
          <w:szCs w:val="24"/>
        </w:rPr>
      </w:pPr>
      <w:r w:rsidRPr="000D7752">
        <w:rPr>
          <w:rFonts w:cs="Arial"/>
          <w:szCs w:val="24"/>
        </w:rPr>
        <w:t xml:space="preserve">Goleman, D. (2000) 'Leadership that gets results', </w:t>
      </w:r>
      <w:r w:rsidRPr="000D7752">
        <w:rPr>
          <w:rFonts w:cs="Arial"/>
          <w:i/>
          <w:szCs w:val="24"/>
        </w:rPr>
        <w:t>Harvard Business Review</w:t>
      </w:r>
      <w:r w:rsidRPr="000D7752">
        <w:rPr>
          <w:rFonts w:cs="Arial"/>
          <w:szCs w:val="24"/>
        </w:rPr>
        <w:t>, 78(2), pp. 78–90.</w:t>
      </w:r>
    </w:p>
    <w:p w14:paraId="5EB64C07" w14:textId="77777777" w:rsidR="00A22A14" w:rsidRPr="00A22A14" w:rsidRDefault="00A22A14" w:rsidP="000D7752">
      <w:pPr>
        <w:spacing w:before="100" w:beforeAutospacing="1" w:after="100" w:afterAutospacing="1"/>
        <w:rPr>
          <w:rFonts w:eastAsia="Times New Roman" w:cs="Arial"/>
          <w:szCs w:val="24"/>
        </w:rPr>
      </w:pPr>
      <w:r w:rsidRPr="00A22A14">
        <w:rPr>
          <w:rFonts w:eastAsia="Times New Roman" w:cs="Arial"/>
          <w:szCs w:val="24"/>
        </w:rPr>
        <w:t xml:space="preserve">Hegde, R.S. (2026) ‘Finishing the business: disentangled narratives of gendered success, diasporic citizenship and the ongoing quest for balance’, International Journal of Cultural Studies, 29(1). Available at: </w:t>
      </w:r>
      <w:hyperlink r:id="rId9" w:history="1">
        <w:r w:rsidRPr="00A22A14">
          <w:rPr>
            <w:rFonts w:eastAsia="Times New Roman" w:cs="Arial"/>
            <w:color w:val="0000FF"/>
            <w:szCs w:val="24"/>
            <w:u w:val="single"/>
          </w:rPr>
          <w:t>https://doi.org/10.1177/13678779251352117</w:t>
        </w:r>
      </w:hyperlink>
      <w:r w:rsidRPr="00A22A14">
        <w:rPr>
          <w:rFonts w:eastAsia="Times New Roman" w:cs="Arial"/>
          <w:szCs w:val="24"/>
        </w:rPr>
        <w:t>.</w:t>
      </w:r>
    </w:p>
    <w:p w14:paraId="711E2ACF" w14:textId="77777777" w:rsidR="008D4E83" w:rsidRPr="000D7752" w:rsidRDefault="000D7752" w:rsidP="000D7752">
      <w:pPr>
        <w:rPr>
          <w:rFonts w:cs="Arial"/>
          <w:szCs w:val="24"/>
        </w:rPr>
      </w:pPr>
      <w:r w:rsidRPr="000D7752">
        <w:rPr>
          <w:rFonts w:cs="Arial"/>
          <w:szCs w:val="24"/>
        </w:rPr>
        <w:t xml:space="preserve">Kotter, J.P. (1990) 'What leaders really do', </w:t>
      </w:r>
      <w:r w:rsidRPr="000D7752">
        <w:rPr>
          <w:rFonts w:cs="Arial"/>
          <w:i/>
          <w:szCs w:val="24"/>
        </w:rPr>
        <w:t>Harvard Business Review</w:t>
      </w:r>
      <w:r w:rsidRPr="000D7752">
        <w:rPr>
          <w:rFonts w:cs="Arial"/>
          <w:szCs w:val="24"/>
        </w:rPr>
        <w:t>, 68(3), pp. 103–111.</w:t>
      </w:r>
    </w:p>
    <w:p w14:paraId="2D5D37D1" w14:textId="77777777" w:rsidR="008D4E83" w:rsidRPr="000D7752" w:rsidRDefault="000D7752" w:rsidP="000D7752">
      <w:pPr>
        <w:rPr>
          <w:rFonts w:cs="Arial"/>
          <w:szCs w:val="24"/>
        </w:rPr>
      </w:pPr>
      <w:r w:rsidRPr="000D7752">
        <w:rPr>
          <w:rFonts w:cs="Arial"/>
          <w:szCs w:val="24"/>
        </w:rPr>
        <w:t>Mayer, R.C., Davis, J.H. and Schoorman, F.D. (1995) 'An integrative mod</w:t>
      </w:r>
      <w:r w:rsidRPr="000D7752">
        <w:rPr>
          <w:rFonts w:cs="Arial"/>
          <w:szCs w:val="24"/>
        </w:rPr>
        <w:t xml:space="preserve">el of organizational trust', </w:t>
      </w:r>
      <w:r w:rsidRPr="000D7752">
        <w:rPr>
          <w:rFonts w:cs="Arial"/>
          <w:i/>
          <w:szCs w:val="24"/>
        </w:rPr>
        <w:t>Academy of Management Review</w:t>
      </w:r>
      <w:r w:rsidRPr="000D7752">
        <w:rPr>
          <w:rFonts w:cs="Arial"/>
          <w:szCs w:val="24"/>
        </w:rPr>
        <w:t>, 20(3), pp. 709–734.</w:t>
      </w:r>
    </w:p>
    <w:p w14:paraId="6C332710" w14:textId="77777777" w:rsidR="008D4E83" w:rsidRPr="000D7752" w:rsidRDefault="000D7752" w:rsidP="000D7752">
      <w:pPr>
        <w:rPr>
          <w:rFonts w:cs="Arial"/>
          <w:szCs w:val="24"/>
        </w:rPr>
      </w:pPr>
      <w:r w:rsidRPr="000D7752">
        <w:rPr>
          <w:rFonts w:cs="Arial"/>
          <w:szCs w:val="24"/>
        </w:rPr>
        <w:t xml:space="preserve">Mintzberg, H. (1973) </w:t>
      </w:r>
      <w:r w:rsidRPr="000D7752">
        <w:rPr>
          <w:rFonts w:cs="Arial"/>
          <w:i/>
          <w:szCs w:val="24"/>
        </w:rPr>
        <w:t>The nature of managerial work</w:t>
      </w:r>
      <w:r w:rsidRPr="000D7752">
        <w:rPr>
          <w:rFonts w:cs="Arial"/>
          <w:szCs w:val="24"/>
        </w:rPr>
        <w:t>. New York: Harper &amp; Row.</w:t>
      </w:r>
    </w:p>
    <w:p w14:paraId="016E7E5D" w14:textId="77777777" w:rsidR="008D4E83" w:rsidRPr="000D7752" w:rsidRDefault="000D7752" w:rsidP="000D7752">
      <w:pPr>
        <w:rPr>
          <w:rFonts w:cs="Arial"/>
          <w:szCs w:val="24"/>
        </w:rPr>
      </w:pPr>
      <w:r w:rsidRPr="000D7752">
        <w:rPr>
          <w:rFonts w:cs="Arial"/>
          <w:szCs w:val="24"/>
        </w:rPr>
        <w:t xml:space="preserve">Nadella, S. (2017) </w:t>
      </w:r>
      <w:r w:rsidRPr="000D7752">
        <w:rPr>
          <w:rFonts w:cs="Arial"/>
          <w:i/>
          <w:szCs w:val="24"/>
        </w:rPr>
        <w:t xml:space="preserve">Hit refresh: the quest to rediscover Microsoft's soul and imagine a better future </w:t>
      </w:r>
      <w:r w:rsidRPr="000D7752">
        <w:rPr>
          <w:rFonts w:cs="Arial"/>
          <w:i/>
          <w:szCs w:val="24"/>
        </w:rPr>
        <w:t>for everyone</w:t>
      </w:r>
      <w:r w:rsidRPr="000D7752">
        <w:rPr>
          <w:rFonts w:cs="Arial"/>
          <w:szCs w:val="24"/>
        </w:rPr>
        <w:t>. New York: HarperBusiness.</w:t>
      </w:r>
    </w:p>
    <w:p w14:paraId="06F2587B" w14:textId="77777777" w:rsidR="008D4E83" w:rsidRPr="000D7752" w:rsidRDefault="000D7752" w:rsidP="000D7752">
      <w:pPr>
        <w:rPr>
          <w:rFonts w:cs="Arial"/>
          <w:szCs w:val="24"/>
        </w:rPr>
      </w:pPr>
      <w:r w:rsidRPr="000D7752">
        <w:rPr>
          <w:rFonts w:cs="Arial"/>
          <w:szCs w:val="24"/>
        </w:rPr>
        <w:lastRenderedPageBreak/>
        <w:t xml:space="preserve">Nooyi, I. (2021) </w:t>
      </w:r>
      <w:r w:rsidRPr="000D7752">
        <w:rPr>
          <w:rFonts w:cs="Arial"/>
          <w:i/>
          <w:szCs w:val="24"/>
        </w:rPr>
        <w:t>My life in full: work, family, and our future</w:t>
      </w:r>
      <w:r w:rsidRPr="000D7752">
        <w:rPr>
          <w:rFonts w:cs="Arial"/>
          <w:szCs w:val="24"/>
        </w:rPr>
        <w:t>. New York: Portfolio.</w:t>
      </w:r>
    </w:p>
    <w:p w14:paraId="4A527754" w14:textId="17FCDE54" w:rsidR="00A22A14" w:rsidRPr="00A22A14" w:rsidRDefault="00A22A14" w:rsidP="000D7752">
      <w:pPr>
        <w:spacing w:before="100" w:beforeAutospacing="1" w:after="100" w:afterAutospacing="1"/>
        <w:rPr>
          <w:rFonts w:eastAsia="Times New Roman" w:cs="Arial"/>
          <w:szCs w:val="24"/>
        </w:rPr>
      </w:pPr>
      <w:r w:rsidRPr="00A22A14">
        <w:rPr>
          <w:rFonts w:eastAsia="Times New Roman" w:cs="Arial"/>
          <w:szCs w:val="24"/>
        </w:rPr>
        <w:t xml:space="preserve">O’Reilly, C. (2024) ‘How Microsoft transformed its culture: five levers for organizational cultural change’, Management and Business Review, 4(1), pp. 41–50. Available at: </w:t>
      </w:r>
      <w:hyperlink r:id="rId7" w:history="1">
        <w:r w:rsidRPr="00A22A14">
          <w:rPr>
            <w:rFonts w:eastAsia="Times New Roman" w:cs="Arial"/>
            <w:color w:val="0000FF"/>
            <w:szCs w:val="24"/>
            <w:u w:val="single"/>
          </w:rPr>
          <w:t>https://doi.org/10.1177/2694105820240401006</w:t>
        </w:r>
      </w:hyperlink>
      <w:r w:rsidRPr="00A22A14">
        <w:rPr>
          <w:rFonts w:eastAsia="Times New Roman" w:cs="Arial"/>
          <w:szCs w:val="24"/>
        </w:rPr>
        <w:t>.</w:t>
      </w:r>
    </w:p>
    <w:p w14:paraId="1A391DFC" w14:textId="77777777" w:rsidR="008D4E83" w:rsidRPr="000D7752" w:rsidRDefault="000D7752" w:rsidP="000D7752">
      <w:pPr>
        <w:rPr>
          <w:rFonts w:cs="Arial"/>
          <w:szCs w:val="24"/>
        </w:rPr>
      </w:pPr>
      <w:r w:rsidRPr="000D7752">
        <w:rPr>
          <w:rFonts w:cs="Arial"/>
          <w:szCs w:val="24"/>
        </w:rPr>
        <w:t>Rosette, A.S., Koval, C.Z., Ma, A. and Livingston, R. (2016) 'Race matters for women leaders: intersectional effects on agentic def</w:t>
      </w:r>
      <w:r w:rsidRPr="000D7752">
        <w:rPr>
          <w:rFonts w:cs="Arial"/>
          <w:szCs w:val="24"/>
        </w:rPr>
        <w:t xml:space="preserve">iciencies and penalties', </w:t>
      </w:r>
      <w:r w:rsidRPr="000D7752">
        <w:rPr>
          <w:rFonts w:cs="Arial"/>
          <w:i/>
          <w:szCs w:val="24"/>
        </w:rPr>
        <w:t>The Leadership Quarterly</w:t>
      </w:r>
      <w:r w:rsidRPr="000D7752">
        <w:rPr>
          <w:rFonts w:cs="Arial"/>
          <w:szCs w:val="24"/>
        </w:rPr>
        <w:t>, 27(3), pp. 429–445.</w:t>
      </w:r>
    </w:p>
    <w:p w14:paraId="34F13D3F" w14:textId="77777777" w:rsidR="00A22A14" w:rsidRPr="00A22A14" w:rsidRDefault="00A22A14" w:rsidP="000D7752">
      <w:pPr>
        <w:spacing w:before="100" w:beforeAutospacing="1" w:after="100" w:afterAutospacing="1"/>
        <w:rPr>
          <w:rFonts w:eastAsia="Times New Roman" w:cs="Arial"/>
          <w:szCs w:val="24"/>
        </w:rPr>
      </w:pPr>
      <w:r w:rsidRPr="00A22A14">
        <w:rPr>
          <w:rFonts w:eastAsia="Times New Roman" w:cs="Arial"/>
          <w:szCs w:val="24"/>
        </w:rPr>
        <w:t xml:space="preserve">Sharma, N. (2026) ‘Strategic transformation at Microsoft under Satya Nadella: a platform-oriented model of dynamic renewal’, Journal of Business Strategy, 47(2), pp. 246–271. Available at: </w:t>
      </w:r>
      <w:hyperlink r:id="rId6" w:history="1">
        <w:r w:rsidRPr="00A22A14">
          <w:rPr>
            <w:rFonts w:eastAsia="Times New Roman" w:cs="Arial"/>
            <w:color w:val="0000FF"/>
            <w:szCs w:val="24"/>
            <w:u w:val="single"/>
          </w:rPr>
          <w:t>https://doi.org/10.1108/JBS-06-2025-0128</w:t>
        </w:r>
      </w:hyperlink>
      <w:r w:rsidRPr="00A22A14">
        <w:rPr>
          <w:rFonts w:eastAsia="Times New Roman" w:cs="Arial"/>
          <w:szCs w:val="24"/>
        </w:rPr>
        <w:t>.</w:t>
      </w:r>
    </w:p>
    <w:p w14:paraId="42361557" w14:textId="77777777" w:rsidR="00A22A14" w:rsidRPr="00A22A14" w:rsidRDefault="00A22A14" w:rsidP="000D7752">
      <w:pPr>
        <w:spacing w:before="100" w:beforeAutospacing="1" w:after="100" w:afterAutospacing="1"/>
        <w:rPr>
          <w:rFonts w:eastAsia="Times New Roman" w:cs="Arial"/>
          <w:szCs w:val="24"/>
        </w:rPr>
      </w:pPr>
      <w:r w:rsidRPr="00A22A14">
        <w:rPr>
          <w:rFonts w:eastAsia="Times New Roman" w:cs="Arial"/>
          <w:szCs w:val="24"/>
        </w:rPr>
        <w:t xml:space="preserve">Sonnenfeld, J.A. (2018) ‘Departing PepsiCo CEO Indra Nooyi did it her way’, Yale Insights, 7 August. Available at: </w:t>
      </w:r>
      <w:hyperlink r:id="rId8" w:history="1">
        <w:r w:rsidRPr="00A22A14">
          <w:rPr>
            <w:rFonts w:eastAsia="Times New Roman" w:cs="Arial"/>
            <w:color w:val="0000FF"/>
            <w:szCs w:val="24"/>
            <w:u w:val="single"/>
          </w:rPr>
          <w:t>https://insights.som.yale.edu/insights/departing-pepsico-ceo-indra-nooyi-did-it-her-way</w:t>
        </w:r>
      </w:hyperlink>
      <w:r w:rsidRPr="00A22A14">
        <w:rPr>
          <w:rFonts w:eastAsia="Times New Roman" w:cs="Arial"/>
          <w:szCs w:val="24"/>
        </w:rPr>
        <w:t xml:space="preserve"> (Accessed: 15 October 2026).</w:t>
      </w:r>
    </w:p>
    <w:p w14:paraId="1C400D7A" w14:textId="77777777" w:rsidR="008D4E83" w:rsidRPr="000D7752" w:rsidRDefault="000D7752" w:rsidP="000D7752">
      <w:pPr>
        <w:rPr>
          <w:rFonts w:cs="Arial"/>
          <w:szCs w:val="24"/>
        </w:rPr>
      </w:pPr>
      <w:r w:rsidRPr="000D7752">
        <w:rPr>
          <w:rFonts w:cs="Arial"/>
          <w:szCs w:val="24"/>
        </w:rPr>
        <w:t xml:space="preserve">Zaleznik, A. (1977) 'Managers and leaders: are they different?', </w:t>
      </w:r>
      <w:r w:rsidRPr="000D7752">
        <w:rPr>
          <w:rFonts w:cs="Arial"/>
          <w:i/>
          <w:szCs w:val="24"/>
        </w:rPr>
        <w:t>Harvard Business Review</w:t>
      </w:r>
      <w:r w:rsidRPr="000D7752">
        <w:rPr>
          <w:rFonts w:cs="Arial"/>
          <w:szCs w:val="24"/>
        </w:rPr>
        <w:t>, 55(5), pp. 67–78.</w:t>
      </w:r>
    </w:p>
    <w:p w14:paraId="6AED30BD" w14:textId="312863A9" w:rsidR="008D4E83" w:rsidRPr="000D7752" w:rsidRDefault="008D4E83" w:rsidP="000D7752">
      <w:pPr>
        <w:jc w:val="both"/>
        <w:rPr>
          <w:rFonts w:cs="Arial"/>
          <w:szCs w:val="24"/>
        </w:rPr>
      </w:pPr>
    </w:p>
    <w:sectPr w:rsidR="008D4E83" w:rsidRPr="000D7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752"/>
    <w:rsid w:val="0015074B"/>
    <w:rsid w:val="0029639D"/>
    <w:rsid w:val="00326F90"/>
    <w:rsid w:val="007039BC"/>
    <w:rsid w:val="008C2FB5"/>
    <w:rsid w:val="008D4E83"/>
    <w:rsid w:val="00A22A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8A941"/>
  <w14:defaultImageDpi w14:val="300"/>
  <w15:docId w15:val="{40EDB19C-C84E-4BF6-8516-DBB3CC00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2A14"/>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A22A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75058">
      <w:bodyDiv w:val="1"/>
      <w:marLeft w:val="0"/>
      <w:marRight w:val="0"/>
      <w:marTop w:val="0"/>
      <w:marBottom w:val="0"/>
      <w:divBdr>
        <w:top w:val="none" w:sz="0" w:space="0" w:color="auto"/>
        <w:left w:val="none" w:sz="0" w:space="0" w:color="auto"/>
        <w:bottom w:val="none" w:sz="0" w:space="0" w:color="auto"/>
        <w:right w:val="none" w:sz="0" w:space="0" w:color="auto"/>
      </w:divBdr>
    </w:div>
    <w:div w:id="568615130">
      <w:bodyDiv w:val="1"/>
      <w:marLeft w:val="0"/>
      <w:marRight w:val="0"/>
      <w:marTop w:val="0"/>
      <w:marBottom w:val="0"/>
      <w:divBdr>
        <w:top w:val="none" w:sz="0" w:space="0" w:color="auto"/>
        <w:left w:val="none" w:sz="0" w:space="0" w:color="auto"/>
        <w:bottom w:val="none" w:sz="0" w:space="0" w:color="auto"/>
        <w:right w:val="none" w:sz="0" w:space="0" w:color="auto"/>
      </w:divBdr>
    </w:div>
    <w:div w:id="852690460">
      <w:bodyDiv w:val="1"/>
      <w:marLeft w:val="0"/>
      <w:marRight w:val="0"/>
      <w:marTop w:val="0"/>
      <w:marBottom w:val="0"/>
      <w:divBdr>
        <w:top w:val="none" w:sz="0" w:space="0" w:color="auto"/>
        <w:left w:val="none" w:sz="0" w:space="0" w:color="auto"/>
        <w:bottom w:val="none" w:sz="0" w:space="0" w:color="auto"/>
        <w:right w:val="none" w:sz="0" w:space="0" w:color="auto"/>
      </w:divBdr>
    </w:div>
    <w:div w:id="1147629995">
      <w:bodyDiv w:val="1"/>
      <w:marLeft w:val="0"/>
      <w:marRight w:val="0"/>
      <w:marTop w:val="0"/>
      <w:marBottom w:val="0"/>
      <w:divBdr>
        <w:top w:val="none" w:sz="0" w:space="0" w:color="auto"/>
        <w:left w:val="none" w:sz="0" w:space="0" w:color="auto"/>
        <w:bottom w:val="none" w:sz="0" w:space="0" w:color="auto"/>
        <w:right w:val="none" w:sz="0" w:space="0" w:color="auto"/>
      </w:divBdr>
    </w:div>
    <w:div w:id="1559241134">
      <w:bodyDiv w:val="1"/>
      <w:marLeft w:val="0"/>
      <w:marRight w:val="0"/>
      <w:marTop w:val="0"/>
      <w:marBottom w:val="0"/>
      <w:divBdr>
        <w:top w:val="none" w:sz="0" w:space="0" w:color="auto"/>
        <w:left w:val="none" w:sz="0" w:space="0" w:color="auto"/>
        <w:bottom w:val="none" w:sz="0" w:space="0" w:color="auto"/>
        <w:right w:val="none" w:sz="0" w:space="0" w:color="auto"/>
      </w:divBdr>
    </w:div>
    <w:div w:id="1797916881">
      <w:bodyDiv w:val="1"/>
      <w:marLeft w:val="0"/>
      <w:marRight w:val="0"/>
      <w:marTop w:val="0"/>
      <w:marBottom w:val="0"/>
      <w:divBdr>
        <w:top w:val="none" w:sz="0" w:space="0" w:color="auto"/>
        <w:left w:val="none" w:sz="0" w:space="0" w:color="auto"/>
        <w:bottom w:val="none" w:sz="0" w:space="0" w:color="auto"/>
        <w:right w:val="none" w:sz="0" w:space="0" w:color="auto"/>
      </w:divBdr>
    </w:div>
    <w:div w:id="1855461795">
      <w:bodyDiv w:val="1"/>
      <w:marLeft w:val="0"/>
      <w:marRight w:val="0"/>
      <w:marTop w:val="0"/>
      <w:marBottom w:val="0"/>
      <w:divBdr>
        <w:top w:val="none" w:sz="0" w:space="0" w:color="auto"/>
        <w:left w:val="none" w:sz="0" w:space="0" w:color="auto"/>
        <w:bottom w:val="none" w:sz="0" w:space="0" w:color="auto"/>
        <w:right w:val="none" w:sz="0" w:space="0" w:color="auto"/>
      </w:divBdr>
    </w:div>
    <w:div w:id="1856773024">
      <w:bodyDiv w:val="1"/>
      <w:marLeft w:val="0"/>
      <w:marRight w:val="0"/>
      <w:marTop w:val="0"/>
      <w:marBottom w:val="0"/>
      <w:divBdr>
        <w:top w:val="none" w:sz="0" w:space="0" w:color="auto"/>
        <w:left w:val="none" w:sz="0" w:space="0" w:color="auto"/>
        <w:bottom w:val="none" w:sz="0" w:space="0" w:color="auto"/>
        <w:right w:val="none" w:sz="0" w:space="0" w:color="auto"/>
      </w:divBdr>
    </w:div>
    <w:div w:id="1875580348">
      <w:bodyDiv w:val="1"/>
      <w:marLeft w:val="0"/>
      <w:marRight w:val="0"/>
      <w:marTop w:val="0"/>
      <w:marBottom w:val="0"/>
      <w:divBdr>
        <w:top w:val="none" w:sz="0" w:space="0" w:color="auto"/>
        <w:left w:val="none" w:sz="0" w:space="0" w:color="auto"/>
        <w:bottom w:val="none" w:sz="0" w:space="0" w:color="auto"/>
        <w:right w:val="none" w:sz="0" w:space="0" w:color="auto"/>
      </w:divBdr>
      <w:divsChild>
        <w:div w:id="841045424">
          <w:marLeft w:val="0"/>
          <w:marRight w:val="0"/>
          <w:marTop w:val="0"/>
          <w:marBottom w:val="0"/>
          <w:divBdr>
            <w:top w:val="none" w:sz="0" w:space="0" w:color="auto"/>
            <w:left w:val="none" w:sz="0" w:space="0" w:color="auto"/>
            <w:bottom w:val="none" w:sz="0" w:space="0" w:color="auto"/>
            <w:right w:val="none" w:sz="0" w:space="0" w:color="auto"/>
          </w:divBdr>
          <w:divsChild>
            <w:div w:id="1875538181">
              <w:marLeft w:val="0"/>
              <w:marRight w:val="0"/>
              <w:marTop w:val="0"/>
              <w:marBottom w:val="0"/>
              <w:divBdr>
                <w:top w:val="none" w:sz="0" w:space="0" w:color="auto"/>
                <w:left w:val="none" w:sz="0" w:space="0" w:color="auto"/>
                <w:bottom w:val="none" w:sz="0" w:space="0" w:color="auto"/>
                <w:right w:val="none" w:sz="0" w:space="0" w:color="auto"/>
              </w:divBdr>
              <w:divsChild>
                <w:div w:id="1651669313">
                  <w:marLeft w:val="0"/>
                  <w:marRight w:val="0"/>
                  <w:marTop w:val="0"/>
                  <w:marBottom w:val="0"/>
                  <w:divBdr>
                    <w:top w:val="none" w:sz="0" w:space="0" w:color="auto"/>
                    <w:left w:val="none" w:sz="0" w:space="0" w:color="auto"/>
                    <w:bottom w:val="none" w:sz="0" w:space="0" w:color="auto"/>
                    <w:right w:val="none" w:sz="0" w:space="0" w:color="auto"/>
                  </w:divBdr>
                </w:div>
              </w:divsChild>
            </w:div>
            <w:div w:id="1406877768">
              <w:marLeft w:val="0"/>
              <w:marRight w:val="0"/>
              <w:marTop w:val="0"/>
              <w:marBottom w:val="0"/>
              <w:divBdr>
                <w:top w:val="none" w:sz="0" w:space="0" w:color="auto"/>
                <w:left w:val="none" w:sz="0" w:space="0" w:color="auto"/>
                <w:bottom w:val="none" w:sz="0" w:space="0" w:color="auto"/>
                <w:right w:val="none" w:sz="0" w:space="0" w:color="auto"/>
              </w:divBdr>
              <w:divsChild>
                <w:div w:id="27918733">
                  <w:marLeft w:val="0"/>
                  <w:marRight w:val="0"/>
                  <w:marTop w:val="0"/>
                  <w:marBottom w:val="0"/>
                  <w:divBdr>
                    <w:top w:val="none" w:sz="0" w:space="0" w:color="auto"/>
                    <w:left w:val="none" w:sz="0" w:space="0" w:color="auto"/>
                    <w:bottom w:val="none" w:sz="0" w:space="0" w:color="auto"/>
                    <w:right w:val="none" w:sz="0" w:space="0" w:color="auto"/>
                  </w:divBdr>
                </w:div>
                <w:div w:id="3801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ghts.som.yale.edu/insights/departing-pepsico-ceo-indra-nooyi-did-it-her-way" TargetMode="External"/><Relationship Id="rId3" Type="http://schemas.openxmlformats.org/officeDocument/2006/relationships/styles" Target="styles.xml"/><Relationship Id="rId7" Type="http://schemas.openxmlformats.org/officeDocument/2006/relationships/hyperlink" Target="https://doi.org/10.1177/26941058202404010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8/JBS-06-2025-012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13678779251352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Raj Giri</cp:lastModifiedBy>
  <cp:revision>3</cp:revision>
  <dcterms:created xsi:type="dcterms:W3CDTF">2013-12-23T23:15:00Z</dcterms:created>
  <dcterms:modified xsi:type="dcterms:W3CDTF">2026-10-15T12:05:00Z</dcterms:modified>
  <cp:category/>
</cp:coreProperties>
</file>