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rPr>
          <w:rFonts w:ascii="Arial" w:hAnsi="Arial" w:cs="Arial"/>
        </w:rPr>
      </w:pPr>
      <w:r>
        <w:rPr>
          <w:rFonts w:ascii="Arial" w:hAnsi="Arial" w:cs="Arial"/>
          <w:b/>
        </w:rPr>
        <w:t xml:space="preserve">Adidas Supply Chain Report: Building Flexible Sourcing to Reduce Asia Concentration</w:t>
      </w:r>
    </w:p>
    <w:p>
      <w:pPr>
        <w:jc w:val="center"/>
        <w:rPr>
          <w:rFonts w:ascii="Arial" w:hAnsi="Arial" w:cs="Arial"/>
        </w:rPr>
      </w:pPr>
      <w:r>
        <w:rPr>
          <w:rFonts w:ascii="Arial" w:hAnsi="Arial" w:cs="Arial"/>
        </w:rPr>
        <w:t xml:space="preserve">Module Code: [enter module code]</w:t>
      </w:r>
    </w:p>
    <w:p>
      <w:pPr>
        <w:jc w:val="center"/>
        <w:rPr>
          <w:rFonts w:ascii="Arial" w:hAnsi="Arial" w:cs="Arial"/>
        </w:rPr>
      </w:pPr>
      <w:r>
        <w:rPr>
          <w:rFonts w:ascii="Arial" w:hAnsi="Arial" w:cs="Arial"/>
        </w:rPr>
        <w:t xml:space="preserve">Tutor / Module Leader: [enter name]</w:t>
      </w:r>
    </w:p>
    <w:p>
      <w:pPr>
        <w:jc w:val="center"/>
        <w:rPr>
          <w:rFonts w:ascii="Arial" w:hAnsi="Arial" w:cs="Arial"/>
        </w:rPr>
      </w:pPr>
      <w:r>
        <w:rPr>
          <w:rFonts w:ascii="Arial" w:hAnsi="Arial" w:cs="Arial"/>
        </w:rPr>
        <w:t xml:space="preserve">Word Count: 2,736 (body text, excluding cover, contents, tables, figures and code, references and appendices)</w:t>
      </w:r>
    </w:p>
    <w:p>
      <w:pPr>
        <w:jc w:val="center"/>
        <w:rPr>
          <w:rFonts w:ascii="Arial" w:hAnsi="Arial" w:cs="Arial"/>
        </w:rPr>
      </w:pPr>
      <w:r>
        <w:rPr>
          <w:rFonts w:ascii="Arial" w:hAnsi="Arial" w:cs="Arial"/>
        </w:rPr>
        <w:t xml:space="preserve">Your Course Title: [enter course title]</w:t>
      </w:r>
    </w:p>
    <w:p>
      <w:pPr>
        <w:jc w:val="center"/>
        <w:rPr>
          <w:rFonts w:ascii="Arial" w:hAnsi="Arial" w:cs="Arial"/>
        </w:rPr>
      </w:pPr>
      <w:r>
        <w:rPr>
          <w:rFonts w:ascii="Arial" w:hAnsi="Arial" w:cs="Arial"/>
        </w:rPr>
        <w:t xml:space="preserve">Student Name and ID: [enter name and student ID]</w:t>
      </w:r>
    </w:p>
    <w:p>
      <w:pPr>
        <w:jc w:val="center"/>
        <w:rPr>
          <w:rFonts w:ascii="Arial" w:hAnsi="Arial" w:cs="Arial"/>
        </w:rPr>
      </w:pPr>
    </w:p>
    <w:p>
      <w:pPr>
        <w:jc w:val="center"/>
        <w:rPr>
          <w:rFonts w:ascii="Arial" w:hAnsi="Arial" w:cs="Arial"/>
        </w:rPr>
      </w:pPr>
      <w:r>
        <w:rPr>
          <w:rFonts w:ascii="Arial" w:hAnsi="Arial" w:cs="Arial"/>
          <w:b/>
        </w:rPr>
        <w:t xml:space="preserve">Statement of Authenticity</w:t>
      </w:r>
    </w:p>
    <w:p>
      <w:pPr>
        <w:pStyle w:val="NoSpacing"/>
        <w:spacing w:after="120" w:line="276" w:lineRule="auto"/>
        <w:jc w:val="center"/>
      </w:pPr>
      <w:r>
        <w:rPr>
          <w:rFonts w:ascii="Arial" w:hAnsi="Arial" w:cs="Arial"/>
          <w:sz w:val="20"/>
          <w:szCs w:val="20"/>
        </w:rPr>
        <w:t xml:space="preserve">☐ I confirm that this assessment is my own work, that I have read and understood the University's regulations on academic misconduct, and that every source I have used is acknowledged in the reference list. (Tick the box and add your name and the date before you submit.)</w:t>
      </w:r>
    </w:p>
    <w:p>
      <w:pPr>
        <w:pStyle w:val="NoSpacing"/>
      </w:pPr>
      <w:r>
        <w:br w:type="page"/>
      </w:r>
    </w:p>
    <w:p>
      <w:pPr>
        <w:pStyle w:val="Heading1"/>
        <w:outlineLvl w:val="9"/>
      </w:pPr>
      <w:r>
        <w:t>Table of Content</w:t>
      </w:r>
    </w:p>
    <w:p>
      <w:pPr>
        <w:pStyle w:val="TOC1"/>
        <w:tabs>
          <w:tab w:val="right" w:leader="dot" w:pos="9016"/>
        </w:tabs>
      </w:pPr>
      <w:r>
        <w:fldChar w:fldCharType="begin"/>
      </w:r>
      <w:r>
        <w:instrText xml:space="preserve"> TOC \o "1-1" \h \z \u </w:instrText>
      </w:r>
      <w:r>
        <w:fldChar w:fldCharType="separate"/>
      </w:r>
      <w:r>
        <w:rPr>
          <w:rFonts w:ascii="Arial" w:hAnsi="Arial" w:cs="Arial"/>
        </w:rPr>
        <w:t>Executive Summary</w:t>
      </w:r>
      <w:r>
        <w:tab/>
      </w:r>
      <w:r>
        <w:rPr>
          <w:rFonts w:ascii="Arial" w:hAnsi="Arial" w:cs="Arial"/>
        </w:rPr>
        <w:t>3</w:t>
      </w:r>
    </w:p>
    <w:p>
      <w:pPr>
        <w:pStyle w:val="TOC1"/>
        <w:tabs>
          <w:tab w:val="right" w:leader="dot" w:pos="9016"/>
        </w:tabs>
      </w:pPr>
      <w:r>
        <w:rPr>
          <w:rFonts w:ascii="Arial" w:hAnsi="Arial" w:cs="Arial"/>
        </w:rPr>
        <w:t>Introduction</w:t>
      </w:r>
      <w:r>
        <w:tab/>
      </w:r>
      <w:r>
        <w:rPr>
          <w:rFonts w:ascii="Arial" w:hAnsi="Arial" w:cs="Arial"/>
        </w:rPr>
        <w:t>4</w:t>
      </w:r>
    </w:p>
    <w:p>
      <w:pPr>
        <w:pStyle w:val="TOC1"/>
        <w:tabs>
          <w:tab w:val="right" w:leader="dot" w:pos="9016"/>
        </w:tabs>
      </w:pPr>
      <w:r>
        <w:rPr>
          <w:rFonts w:ascii="Arial" w:hAnsi="Arial" w:cs="Arial"/>
        </w:rPr>
        <w:t>Upstream Supply Chain Management</w:t>
      </w:r>
      <w:r>
        <w:tab/>
      </w:r>
      <w:r>
        <w:rPr>
          <w:rFonts w:ascii="Arial" w:hAnsi="Arial" w:cs="Arial"/>
        </w:rPr>
        <w:t>5</w:t>
      </w:r>
    </w:p>
    <w:p>
      <w:pPr>
        <w:pStyle w:val="TOC1"/>
        <w:tabs>
          <w:tab w:val="right" w:leader="dot" w:pos="9016"/>
        </w:tabs>
      </w:pPr>
      <w:r>
        <w:rPr>
          <w:rFonts w:ascii="Arial" w:hAnsi="Arial" w:cs="Arial"/>
        </w:rPr>
        <w:t>Operations Management</w:t>
      </w:r>
      <w:r>
        <w:tab/>
      </w:r>
      <w:r>
        <w:rPr>
          <w:rFonts w:ascii="Arial" w:hAnsi="Arial" w:cs="Arial"/>
        </w:rPr>
        <w:t>6</w:t>
      </w:r>
    </w:p>
    <w:p>
      <w:pPr>
        <w:pStyle w:val="TOC1"/>
        <w:tabs>
          <w:tab w:val="right" w:leader="dot" w:pos="9016"/>
        </w:tabs>
      </w:pPr>
      <w:r>
        <w:rPr>
          <w:rFonts w:ascii="Arial" w:hAnsi="Arial" w:cs="Arial"/>
        </w:rPr>
        <w:t>Downstream Supply Chain Management</w:t>
      </w:r>
      <w:r>
        <w:tab/>
      </w:r>
      <w:r>
        <w:rPr>
          <w:rFonts w:ascii="Arial" w:hAnsi="Arial" w:cs="Arial"/>
        </w:rPr>
        <w:t>7</w:t>
      </w:r>
    </w:p>
    <w:p>
      <w:pPr>
        <w:pStyle w:val="TOC1"/>
        <w:tabs>
          <w:tab w:val="right" w:leader="dot" w:pos="9016"/>
        </w:tabs>
      </w:pPr>
      <w:r>
        <w:rPr>
          <w:rFonts w:ascii="Arial" w:hAnsi="Arial" w:cs="Arial"/>
        </w:rPr>
        <w:t>Improving the Supply Chain</w:t>
      </w:r>
      <w:r>
        <w:tab/>
      </w:r>
      <w:r>
        <w:rPr>
          <w:rFonts w:ascii="Arial" w:hAnsi="Arial" w:cs="Arial"/>
        </w:rPr>
        <w:t>8</w:t>
      </w:r>
    </w:p>
    <w:p>
      <w:pPr>
        <w:pStyle w:val="TOC1"/>
        <w:tabs>
          <w:tab w:val="right" w:leader="dot" w:pos="9016"/>
        </w:tabs>
      </w:pPr>
      <w:r>
        <w:rPr>
          <w:rFonts w:ascii="Arial" w:hAnsi="Arial" w:cs="Arial"/>
        </w:rPr>
        <w:t>Project Planning</w:t>
      </w:r>
      <w:r>
        <w:tab/>
      </w:r>
      <w:r>
        <w:rPr>
          <w:rFonts w:ascii="Arial" w:hAnsi="Arial" w:cs="Arial"/>
        </w:rPr>
        <w:t>9</w:t>
      </w:r>
    </w:p>
    <w:p>
      <w:pPr>
        <w:pStyle w:val="TOC1"/>
        <w:tabs>
          <w:tab w:val="right" w:leader="dot" w:pos="9016"/>
        </w:tabs>
      </w:pPr>
      <w:r>
        <w:rPr>
          <w:rFonts w:ascii="Arial" w:hAnsi="Arial" w:cs="Arial"/>
        </w:rPr>
        <w:t>Conclusion</w:t>
      </w:r>
      <w:r>
        <w:tab/>
      </w:r>
      <w:r>
        <w:rPr>
          <w:rFonts w:ascii="Arial" w:hAnsi="Arial" w:cs="Arial"/>
        </w:rPr>
        <w:t>14</w:t>
      </w:r>
    </w:p>
    <w:p>
      <w:pPr>
        <w:pStyle w:val="TOC1"/>
        <w:tabs>
          <w:tab w:val="right" w:leader="dot" w:pos="9016"/>
        </w:tabs>
      </w:pPr>
      <w:r>
        <w:rPr>
          <w:rFonts w:ascii="Arial" w:hAnsi="Arial" w:cs="Arial"/>
        </w:rPr>
        <w:t>References</w:t>
      </w:r>
      <w:r>
        <w:tab/>
      </w:r>
      <w:r>
        <w:rPr>
          <w:rFonts w:ascii="Arial" w:hAnsi="Arial" w:cs="Arial"/>
        </w:rPr>
        <w:t>15</w:t>
      </w:r>
    </w:p>
    <w:p>
      <w:pPr>
        <w:pStyle w:val="TOC1"/>
        <w:tabs>
          <w:tab w:val="right" w:leader="dot" w:pos="9016"/>
        </w:tabs>
      </w:pPr>
      <w:r>
        <w:rPr>
          <w:rFonts w:ascii="Arial" w:hAnsi="Arial" w:cs="Arial"/>
        </w:rPr>
        <w:t>Appendices</w:t>
      </w:r>
      <w:r>
        <w:tab/>
      </w:r>
      <w:r>
        <w:rPr>
          <w:rFonts w:ascii="Arial" w:hAnsi="Arial" w:cs="Arial"/>
        </w:rPr>
        <w:t>17</w:t>
      </w:r>
      <w:r>
        <w:fldChar w:fldCharType="end"/>
      </w:r>
    </w:p>
    <w:p>
      <w:pPr>
        <w:pStyle w:val="NoSpacing"/>
        <w:spacing w:after="120"/>
        <w:jc w:val="left"/>
      </w:pPr>
      <w:r>
        <w:rPr>
          <w:rFonts w:ascii="Arial" w:hAnsi="Arial" w:cs="Arial"/>
          <w:i/>
          <w:sz w:val="16"/>
          <w:szCs w:val="16"/>
        </w:rPr>
        <w:t xml:space="preserve">Right-click the table and choose Update Field if page numbers move after you edit.</w:t>
      </w:r>
    </w:p>
    <w:p>
      <w:pPr>
        <w:pStyle w:val="NoSpacing"/>
      </w:pPr>
      <w:r>
        <w:br w:type="page"/>
      </w:r>
    </w:p>
    <w:p>
      <w:pPr>
        <w:pStyle w:val="Heading1"/>
      </w:pPr>
      <w:r>
        <w:t>Executive Summary</w:t>
      </w:r>
    </w:p>
    <w:p>
      <w:pPr>
        <w:pStyle w:val="NoSpacing"/>
        <w:spacing w:after="120"/>
      </w:pPr>
      <w:r>
        <w:rPr>
          <w:rFonts w:ascii="Arial" w:hAnsi="Arial" w:cs="Arial"/>
        </w:rPr>
        <w:t xml:space="preserve">Adidas designs and sells sportswear but owns almost no factories. In 2025 it reported sales of about €24.8bn at a 51.6% gross margin (adidas AG, 2026). That asset-light model chose efficiency, and the choice is the source of the exposure examined here. Adidas outsources almost all production to a highly concentrated Asian base, which makes it efficient but exposed to tariffs and geopolitical shocks; the best response is a time-bound, budget-capped flexible sourcing project, planned and risk-managed with the tools in the Project Planning section.</w:t>
      </w:r>
    </w:p>
    <w:p>
      <w:pPr>
        <w:pStyle w:val="NoSpacing"/>
        <w:spacing w:after="120"/>
      </w:pPr>
      <w:r>
        <w:rPr>
          <w:rFonts w:ascii="Arial" w:hAnsi="Arial" w:cs="Arial"/>
        </w:rPr>
        <w:t xml:space="preserve">Asia holds 92% of volume, and Vietnam, Indonesia and China hold 61%. The largest factory carries only about 6%, so risk is spread across plants but concentrated by country, as US tariff changes during 2025 showed.</w:t>
      </w:r>
    </w:p>
    <w:p>
      <w:pPr>
        <w:pStyle w:val="NoSpacing"/>
        <w:spacing w:after="120"/>
      </w:pPr>
      <w:r>
        <w:rPr>
          <w:rFonts w:ascii="Arial" w:hAnsi="Arial" w:cs="Arial"/>
        </w:rPr>
        <w:t xml:space="preserve">We recommend Project FLEX: a multi-tier visibility platform, pre-qualified second sources and a tested switching playbook for US-bound footwear, capped at €12.0m (about 0.05% of sales) and 18 months. Success means Tier 2 visibility of at least 50% of footwear volume, a style moved between factories in 45 days or fewer, and at least 60% of US-bound volume with an approved second source.</w:t>
      </w:r>
    </w:p>
    <w:p>
      <w:pPr>
        <w:pStyle w:val="NoSpacing"/>
        <w:spacing w:after="120"/>
      </w:pPr>
      <w:r>
        <w:rPr>
          <w:rFonts w:ascii="Arial" w:hAnsi="Arial" w:cs="Arial"/>
        </w:rPr>
        <w:t xml:space="preserve">The main risk is that second-source trials slip; a four-week buffer and extra candidate factories respond. If risks combine, time stretches first and scope is trimmed second, so the budget holds. Planning figures are assumptions because Adidas publishes no supplier-level data.</w:t>
      </w:r>
    </w:p>
    <w:p>
      <w:pPr>
        <w:pStyle w:val="NoSpacing"/>
      </w:pPr>
      <w:r>
        <w:br w:type="page"/>
      </w:r>
    </w:p>
    <w:p>
      <w:pPr>
        <w:pStyle w:val="Heading1"/>
      </w:pPr>
      <w:r>
        <w:t>Introduction</w:t>
      </w:r>
    </w:p>
    <w:p>
      <w:pPr>
        <w:pStyle w:val="NoSpacing"/>
        <w:spacing w:after="120"/>
      </w:pPr>
      <w:r>
        <w:rPr>
          <w:rFonts w:ascii="Arial" w:hAnsi="Arial" w:cs="Arial"/>
        </w:rPr>
        <w:t xml:space="preserve">Adidas is one of the world's largest sportswear companies. In FY2025 it reported record sales of about €24.8bn and a gross margin of 51.6% (adidas AG, 2026). Its defining feature is that almost 100% of production is outsourced to independent manufacturing partners (adidas AG, 2026). Adidas keeps brand, design, planning and sourcing, and rents the factory floor. This asset-light model is a deliberate choice for efficiency and flexibility. It is also, as this report argues, the source of the company's exposure (Gereffi, Humphrey and Sturgeon, 2005).</w:t>
      </w:r>
    </w:p>
    <w:p>
      <w:pPr>
        <w:pStyle w:val="NoSpacing"/>
        <w:spacing w:after="120"/>
      </w:pPr>
      <w:r>
        <w:rPr>
          <w:rFonts w:ascii="Arial" w:hAnsi="Arial" w:cs="Arial"/>
        </w:rPr>
        <w:t xml:space="preserve">The report covers the Adidas Group's global chain using FY2025 data, with Europe and the United States as the main demand lens. Its thesis is: Adidas outsources almost all production to a highly concentrated Asian base, which makes it efficient but exposed to tariffs and geopolitical shocks; the best response is a time-bound, budget-capped flexible sourcing project, planned and risk-managed with the tools in the Project Planning section.</w:t>
      </w:r>
    </w:p>
    <w:p>
      <w:pPr>
        <w:pStyle w:val="NoSpacing"/>
        <w:spacing w:after="120"/>
      </w:pPr>
      <w:r>
        <w:rPr>
          <w:rFonts w:ascii="Arial" w:hAnsi="Arial" w:cs="Arial"/>
        </w:rPr>
        <w:t xml:space="preserve">A supply chain spans upstream suppliers, operations and downstream customers (Mentzer et al., 2001). Figure 1 maps the chain. The next three sections apply named models to Adidas decisions upstream, in operations and downstream. Improving the Supply Chain then selects one project and bounds it with the Triple Constraint (Figure 2). Project Planning builds that project with a stakeholder grid (Figure 3), work breakdown structure (Figure 4), schedule (Figure 5) and risk heat map (Figure 6), all derived from one task list.</w:t>
      </w:r>
    </w:p>
    <w:p>
      <w:pPr>
        <w:pStyle w:val="Caption"/>
      </w:pPr>
      <w:r>
        <w:t xml:space="preserve">Figure 1: Adidas controls brand, design and distribution but not production, and 92% of volume sits in Asia</w:t>
      </w:r>
    </w:p>
    <w:p>
      <w:pPr>
        <w:pStyle w:val="NoSpacing"/>
        <w:spacing w:after="60"/>
        <w:jc w:val="left"/>
      </w:pPr>
      <w:r>
        <w:rPr>
          <w:rFonts w:ascii="Arial" w:hAnsi="Arial" w:cs="Arial"/>
          <w:i/>
          <w:sz w:val="16"/>
          <w:szCs w:val="16"/>
        </w:rPr>
        <w:t xml:space="preserve">Code in place of the figure (Python 3 with matplotlib). Save as fig1_supply_chain_map.py, run it with python fig1_supply_chain_map.py,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1 - Adidas supply chain map (physical, information and financial flows)."""</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from matplotlib.patches import FancyBboxPatch, FancyArrowPatch</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fig, ax = plt.subplots(figsize=(13, 6.6))</w:t>
      </w:r>
    </w:p>
    <w:p>
      <w:pPr>
        <w:pStyle w:val="NoSpacing"/>
        <w:shd w:val="clear" w:color="auto" w:fill="F2F2F2"/>
        <w:spacing w:after="0" w:line="240" w:lineRule="auto"/>
        <w:ind w:left="120" w:right="120"/>
        <w:jc w:val="left"/>
      </w:pPr>
      <w:r>
        <w:rPr>
          <w:rFonts w:ascii="Courier New" w:hAnsi="Courier New" w:cs="Courier New"/>
          <w:sz w:val="13"/>
          <w:szCs w:val="13"/>
        </w:rPr>
        <w:t xml:space="preserve">ax.set_xlim(0, 13); ax.set_ylim(-0.2, 6.7); ax.axis("off")</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def box(x, y, w, h, text, fill="white", bold=False, size=8.5, ls="-"):</w:t>
      </w:r>
    </w:p>
    <w:p>
      <w:pPr>
        <w:pStyle w:val="NoSpacing"/>
        <w:shd w:val="clear" w:color="auto" w:fill="F2F2F2"/>
        <w:spacing w:after="0" w:line="240" w:lineRule="auto"/>
        <w:ind w:left="120" w:right="120"/>
        <w:jc w:val="left"/>
      </w:pPr>
      <w:r>
        <w:rPr>
          <w:rFonts w:ascii="Courier New" w:hAnsi="Courier New" w:cs="Courier New"/>
          <w:sz w:val="13"/>
          <w:szCs w:val="13"/>
        </w:rPr>
        <w:t xml:space="preserve">    ax.add_patch(FancyBboxPatch((x, y), w, h, boxstyle="round,pad=0.02,rounding_size=0.08",</w:t>
      </w:r>
    </w:p>
    <w:p>
      <w:pPr>
        <w:pStyle w:val="NoSpacing"/>
        <w:shd w:val="clear" w:color="auto" w:fill="F2F2F2"/>
        <w:spacing w:after="0" w:line="240" w:lineRule="auto"/>
        <w:ind w:left="120" w:right="120"/>
        <w:jc w:val="left"/>
      </w:pPr>
      <w:r>
        <w:rPr>
          <w:rFonts w:ascii="Courier New" w:hAnsi="Courier New" w:cs="Courier New"/>
          <w:sz w:val="13"/>
          <w:szCs w:val="13"/>
        </w:rPr>
        <w:t xml:space="preserve">                                fc=fill, ec="black", lw=1.1, ls=ls))</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 w / 2, y + h / 2, text, ha="center", va="center", fontsize=size,</w:t>
      </w:r>
    </w:p>
    <w:p>
      <w:pPr>
        <w:pStyle w:val="NoSpacing"/>
        <w:shd w:val="clear" w:color="auto" w:fill="F2F2F2"/>
        <w:spacing w:after="0" w:line="240" w:lineRule="auto"/>
        <w:ind w:left="120" w:right="120"/>
        <w:jc w:val="left"/>
      </w:pPr>
      <w:r>
        <w:rPr>
          <w:rFonts w:ascii="Courier New" w:hAnsi="Courier New" w:cs="Courier New"/>
          <w:sz w:val="13"/>
          <w:szCs w:val="13"/>
        </w:rPr>
        <w:t xml:space="preserve">            fontweight="bold" if bold else "normal", linespacing=1.25)</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def arrow(p, q, style="phys", rad=0.0):</w:t>
      </w:r>
    </w:p>
    <w:p>
      <w:pPr>
        <w:pStyle w:val="NoSpacing"/>
        <w:shd w:val="clear" w:color="auto" w:fill="F2F2F2"/>
        <w:spacing w:after="0" w:line="240" w:lineRule="auto"/>
        <w:ind w:left="120" w:right="120"/>
        <w:jc w:val="left"/>
      </w:pPr>
      <w:r>
        <w:rPr>
          <w:rFonts w:ascii="Courier New" w:hAnsi="Courier New" w:cs="Courier New"/>
          <w:sz w:val="13"/>
          <w:szCs w:val="13"/>
        </w:rPr>
        <w:t xml:space="preserve">    ls, lw = {"phys": ("-", 2.0), "info": ((0, (5, 3)), 1.3), "fin": ((0, (1, 2)), 1.5)}[style]</w:t>
      </w:r>
    </w:p>
    <w:p>
      <w:pPr>
        <w:pStyle w:val="NoSpacing"/>
        <w:shd w:val="clear" w:color="auto" w:fill="F2F2F2"/>
        <w:spacing w:after="0" w:line="240" w:lineRule="auto"/>
        <w:ind w:left="120" w:right="120"/>
        <w:jc w:val="left"/>
      </w:pPr>
      <w:r>
        <w:rPr>
          <w:rFonts w:ascii="Courier New" w:hAnsi="Courier New" w:cs="Courier New"/>
          <w:sz w:val="13"/>
          <w:szCs w:val="13"/>
        </w:rPr>
        <w:t xml:space="preserve">    ax.add_patch(FancyArrowPatch(p, q, arrowstyle="-|&gt;", mutation_scale=12, lw=lw, ls=ls,</w:t>
      </w:r>
    </w:p>
    <w:p>
      <w:pPr>
        <w:pStyle w:val="NoSpacing"/>
        <w:shd w:val="clear" w:color="auto" w:fill="F2F2F2"/>
        <w:spacing w:after="0" w:line="240" w:lineRule="auto"/>
        <w:ind w:left="120" w:right="120"/>
        <w:jc w:val="left"/>
      </w:pPr>
      <w:r>
        <w:rPr>
          <w:rFonts w:ascii="Courier New" w:hAnsi="Courier New" w:cs="Courier New"/>
          <w:sz w:val="13"/>
          <w:szCs w:val="13"/>
        </w:rPr>
        <w:t xml:space="preserve">                                 color="black", connectionstyle=f"arc3,rad={rad}"))</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Stage headers</w:t>
      </w:r>
    </w:p>
    <w:p>
      <w:pPr>
        <w:pStyle w:val="NoSpacing"/>
        <w:shd w:val="clear" w:color="auto" w:fill="F2F2F2"/>
        <w:spacing w:after="0" w:line="240" w:lineRule="auto"/>
        <w:ind w:left="120" w:right="120"/>
        <w:jc w:val="left"/>
      </w:pPr>
      <w:r>
        <w:rPr>
          <w:rFonts w:ascii="Courier New" w:hAnsi="Courier New" w:cs="Courier New"/>
          <w:sz w:val="13"/>
          <w:szCs w:val="13"/>
        </w:rPr>
        <w:t xml:space="preserve">for x, t in [(0.9, "UPSTREAM"), (4.35, "MANUFACTURE (outsourced)"), (7.55, "DISTRIBUTE"),</w:t>
      </w:r>
    </w:p>
    <w:p>
      <w:pPr>
        <w:pStyle w:val="NoSpacing"/>
        <w:shd w:val="clear" w:color="auto" w:fill="F2F2F2"/>
        <w:spacing w:after="0" w:line="240" w:lineRule="auto"/>
        <w:ind w:left="120" w:right="120"/>
        <w:jc w:val="left"/>
      </w:pPr>
      <w:r>
        <w:rPr>
          <w:rFonts w:ascii="Courier New" w:hAnsi="Courier New" w:cs="Courier New"/>
          <w:sz w:val="13"/>
          <w:szCs w:val="13"/>
        </w:rPr>
        <w:t xml:space="preserve">             (9.85, "SELL"), (12.1, "")]:</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6.05, t, ha="center", fontsize=9, fontweight="bold", color="#444444")</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Control centre (what Adidas keeps)</w:t>
      </w:r>
    </w:p>
    <w:p>
      <w:pPr>
        <w:pStyle w:val="NoSpacing"/>
        <w:shd w:val="clear" w:color="auto" w:fill="F2F2F2"/>
        <w:spacing w:after="0" w:line="240" w:lineRule="auto"/>
        <w:ind w:left="120" w:right="120"/>
        <w:jc w:val="left"/>
      </w:pPr>
      <w:r>
        <w:rPr>
          <w:rFonts w:ascii="Courier New" w:hAnsi="Courier New" w:cs="Courier New"/>
          <w:sz w:val="13"/>
          <w:szCs w:val="13"/>
        </w:rPr>
        <w:t xml:space="preserve">box(2.2, 5.1, 7.4, 0.8, "adidas HQ: brand, design, demand planning, sourcing\n(what Adidas controls)", fill="#d9d9d9", bold=True, size=9)</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Upstream</w:t>
      </w:r>
    </w:p>
    <w:p>
      <w:pPr>
        <w:pStyle w:val="NoSpacing"/>
        <w:shd w:val="clear" w:color="auto" w:fill="F2F2F2"/>
        <w:spacing w:after="0" w:line="240" w:lineRule="auto"/>
        <w:ind w:left="120" w:right="120"/>
        <w:jc w:val="left"/>
      </w:pPr>
      <w:r>
        <w:rPr>
          <w:rFonts w:ascii="Courier New" w:hAnsi="Courier New" w:cs="Courier New"/>
          <w:sz w:val="13"/>
          <w:szCs w:val="13"/>
        </w:rPr>
        <w:t xml:space="preserve">box(0.1, 2.3, 1.6, 1.9, "Raw materials\nand Tier 2 mills\n(textiles, rubber,\nchemicals)\nlimited visibility", fill="#f2f2f2")</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Tier 1 country boxes</w:t>
      </w:r>
    </w:p>
    <w:p>
      <w:pPr>
        <w:pStyle w:val="NoSpacing"/>
        <w:shd w:val="clear" w:color="auto" w:fill="F2F2F2"/>
        <w:spacing w:after="0" w:line="240" w:lineRule="auto"/>
        <w:ind w:left="120" w:right="120"/>
        <w:jc w:val="left"/>
      </w:pPr>
      <w:r>
        <w:rPr>
          <w:rFonts w:ascii="Courier New" w:hAnsi="Courier New" w:cs="Courier New"/>
          <w:sz w:val="13"/>
          <w:szCs w:val="13"/>
        </w:rPr>
        <w:t xml:space="preserve">box(2.55, 1.0, 3.6, 3.7, "", fill="white")</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ax.text(4.35, 4.35, "Tier 1 independent manufacturing partners\n(almost 100% of production; largest factory about 6%)",</w:t>
      </w:r>
    </w:p>
    <w:p>
      <w:pPr>
        <w:pStyle w:val="NoSpacing"/>
        <w:shd w:val="clear" w:color="auto" w:fill="F2F2F2"/>
        <w:spacing w:after="0" w:line="240" w:lineRule="auto"/>
        <w:ind w:left="120" w:right="120"/>
        <w:jc w:val="left"/>
      </w:pPr>
      <w:r>
        <w:rPr>
          <w:rFonts w:ascii="Courier New" w:hAnsi="Courier New" w:cs="Courier New"/>
          <w:sz w:val="13"/>
          <w:szCs w:val="13"/>
        </w:rPr>
        <w:t xml:space="preserve">        ha="center", fontsize=8.3, fontweight="bold")</w:t>
      </w:r>
    </w:p>
    <w:p>
      <w:pPr>
        <w:pStyle w:val="NoSpacing"/>
        <w:shd w:val="clear" w:color="auto" w:fill="F2F2F2"/>
        <w:spacing w:after="0" w:line="240" w:lineRule="auto"/>
        <w:ind w:left="120" w:right="120"/>
        <w:jc w:val="left"/>
      </w:pPr>
      <w:r>
        <w:rPr>
          <w:rFonts w:ascii="Courier New" w:hAnsi="Courier New" w:cs="Courier New"/>
          <w:sz w:val="13"/>
          <w:szCs w:val="13"/>
        </w:rPr>
        <w:t xml:space="preserve">rows = [("Vietnam 27%", 3.35), ("Indonesia 18%", 2.8), ("China 16%", 2.25),</w:t>
      </w:r>
    </w:p>
    <w:p>
      <w:pPr>
        <w:pStyle w:val="NoSpacing"/>
        <w:shd w:val="clear" w:color="auto" w:fill="F2F2F2"/>
        <w:spacing w:after="0" w:line="240" w:lineRule="auto"/>
        <w:ind w:left="120" w:right="120"/>
        <w:jc w:val="left"/>
      </w:pPr>
      <w:r>
        <w:rPr>
          <w:rFonts w:ascii="Courier New" w:hAnsi="Courier New" w:cs="Courier New"/>
          <w:sz w:val="13"/>
          <w:szCs w:val="13"/>
        </w:rPr>
        <w:t xml:space="preserve">        ("Other Asia 31%", 1.7), ("Outside Asia 8%", 1.15)]</w:t>
      </w:r>
    </w:p>
    <w:p>
      <w:pPr>
        <w:pStyle w:val="NoSpacing"/>
        <w:shd w:val="clear" w:color="auto" w:fill="F2F2F2"/>
        <w:spacing w:after="0" w:line="240" w:lineRule="auto"/>
        <w:ind w:left="120" w:right="120"/>
        <w:jc w:val="left"/>
      </w:pPr>
      <w:r>
        <w:rPr>
          <w:rFonts w:ascii="Courier New" w:hAnsi="Courier New" w:cs="Courier New"/>
          <w:sz w:val="13"/>
          <w:szCs w:val="13"/>
        </w:rPr>
        <w:t xml:space="preserve">for t, y in rows:</w:t>
      </w:r>
    </w:p>
    <w:p>
      <w:pPr>
        <w:pStyle w:val="NoSpacing"/>
        <w:shd w:val="clear" w:color="auto" w:fill="F2F2F2"/>
        <w:spacing w:after="0" w:line="240" w:lineRule="auto"/>
        <w:ind w:left="120" w:right="120"/>
        <w:jc w:val="left"/>
      </w:pPr>
      <w:r>
        <w:rPr>
          <w:rFonts w:ascii="Courier New" w:hAnsi="Courier New" w:cs="Courier New"/>
          <w:sz w:val="13"/>
          <w:szCs w:val="13"/>
        </w:rPr>
        <w:t xml:space="preserve">    box(2.75, y, 3.2, 0.45, t, fill="#bfbfbf" if "Outside" not in t else "white", size=8.5)</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ax.text(4.35, 0.78, "Asia total 92% of volume (Annual Report 2025)", ha="center", fontsize=8, style="italic")</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DCs</w:t>
      </w:r>
    </w:p>
    <w:p>
      <w:pPr>
        <w:pStyle w:val="NoSpacing"/>
        <w:shd w:val="clear" w:color="auto" w:fill="F2F2F2"/>
        <w:spacing w:after="0" w:line="240" w:lineRule="auto"/>
        <w:ind w:left="120" w:right="120"/>
        <w:jc w:val="left"/>
      </w:pPr>
      <w:r>
        <w:rPr>
          <w:rFonts w:ascii="Courier New" w:hAnsi="Courier New" w:cs="Courier New"/>
          <w:sz w:val="13"/>
          <w:szCs w:val="13"/>
        </w:rPr>
        <w:t xml:space="preserve">box(6.65, 2.3, 1.8, 1.9, "60 distribution\ncentres\n21 owned\n39 partner-run\nmainly sea freight", fill="#f2f2f2")</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Channels</w:t>
      </w:r>
    </w:p>
    <w:p>
      <w:pPr>
        <w:pStyle w:val="NoSpacing"/>
        <w:shd w:val="clear" w:color="auto" w:fill="F2F2F2"/>
        <w:spacing w:after="0" w:line="240" w:lineRule="auto"/>
        <w:ind w:left="120" w:right="120"/>
        <w:jc w:val="left"/>
      </w:pPr>
      <w:r>
        <w:rPr>
          <w:rFonts w:ascii="Courier New" w:hAnsi="Courier New" w:cs="Courier New"/>
          <w:sz w:val="13"/>
          <w:szCs w:val="13"/>
        </w:rPr>
        <w:t xml:space="preserve">box(9.2, 3.6, 1.35, 0.8, "Wholesale", fill="#f2f2f2")</w:t>
      </w:r>
    </w:p>
    <w:p>
      <w:pPr>
        <w:pStyle w:val="NoSpacing"/>
        <w:shd w:val="clear" w:color="auto" w:fill="F2F2F2"/>
        <w:spacing w:after="0" w:line="240" w:lineRule="auto"/>
        <w:ind w:left="120" w:right="120"/>
        <w:jc w:val="left"/>
      </w:pPr>
      <w:r>
        <w:rPr>
          <w:rFonts w:ascii="Courier New" w:hAnsi="Courier New" w:cs="Courier New"/>
          <w:sz w:val="13"/>
          <w:szCs w:val="13"/>
        </w:rPr>
        <w:t xml:space="preserve">box(9.2, 2.6, 1.35, 0.8, "Own retail", fill="#f2f2f2")</w:t>
      </w:r>
    </w:p>
    <w:p>
      <w:pPr>
        <w:pStyle w:val="NoSpacing"/>
        <w:shd w:val="clear" w:color="auto" w:fill="F2F2F2"/>
        <w:spacing w:after="0" w:line="240" w:lineRule="auto"/>
        <w:ind w:left="120" w:right="120"/>
        <w:jc w:val="left"/>
      </w:pPr>
      <w:r>
        <w:rPr>
          <w:rFonts w:ascii="Courier New" w:hAnsi="Courier New" w:cs="Courier New"/>
          <w:sz w:val="13"/>
          <w:szCs w:val="13"/>
        </w:rPr>
        <w:t xml:space="preserve">box(9.2, 1.6, 1.35, 0.8, "E-commerce\n(returns loop)", fill="#f2f2f2")</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Consumer</w:t>
      </w:r>
    </w:p>
    <w:p>
      <w:pPr>
        <w:pStyle w:val="NoSpacing"/>
        <w:shd w:val="clear" w:color="auto" w:fill="F2F2F2"/>
        <w:spacing w:after="0" w:line="240" w:lineRule="auto"/>
        <w:ind w:left="120" w:right="120"/>
        <w:jc w:val="left"/>
      </w:pPr>
      <w:r>
        <w:rPr>
          <w:rFonts w:ascii="Courier New" w:hAnsi="Courier New" w:cs="Courier New"/>
          <w:sz w:val="13"/>
          <w:szCs w:val="13"/>
        </w:rPr>
        <w:t xml:space="preserve">box(11.4, 2.3, 1.4, 1.9, "Consumer", fill="#d9d9d9", bold=True, size=9.5)</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Physical flow (left to right)</w:t>
      </w:r>
    </w:p>
    <w:p>
      <w:pPr>
        <w:pStyle w:val="NoSpacing"/>
        <w:shd w:val="clear" w:color="auto" w:fill="F2F2F2"/>
        <w:spacing w:after="0" w:line="240" w:lineRule="auto"/>
        <w:ind w:left="120" w:right="120"/>
        <w:jc w:val="left"/>
      </w:pPr>
      <w:r>
        <w:rPr>
          <w:rFonts w:ascii="Courier New" w:hAnsi="Courier New" w:cs="Courier New"/>
          <w:sz w:val="13"/>
          <w:szCs w:val="13"/>
        </w:rPr>
        <w:t xml:space="preserve">arrow((1.7, 3.25), (2.55, 3.25))</w:t>
      </w:r>
    </w:p>
    <w:p>
      <w:pPr>
        <w:pStyle w:val="NoSpacing"/>
        <w:shd w:val="clear" w:color="auto" w:fill="F2F2F2"/>
        <w:spacing w:after="0" w:line="240" w:lineRule="auto"/>
        <w:ind w:left="120" w:right="120"/>
        <w:jc w:val="left"/>
      </w:pPr>
      <w:r>
        <w:rPr>
          <w:rFonts w:ascii="Courier New" w:hAnsi="Courier New" w:cs="Courier New"/>
          <w:sz w:val="13"/>
          <w:szCs w:val="13"/>
        </w:rPr>
        <w:t xml:space="preserve">arrow((6.15, 3.25), (6.65, 3.25))</w:t>
      </w:r>
    </w:p>
    <w:p>
      <w:pPr>
        <w:pStyle w:val="NoSpacing"/>
        <w:shd w:val="clear" w:color="auto" w:fill="F2F2F2"/>
        <w:spacing w:after="0" w:line="240" w:lineRule="auto"/>
        <w:ind w:left="120" w:right="120"/>
        <w:jc w:val="left"/>
      </w:pPr>
      <w:r>
        <w:rPr>
          <w:rFonts w:ascii="Courier New" w:hAnsi="Courier New" w:cs="Courier New"/>
          <w:sz w:val="13"/>
          <w:szCs w:val="13"/>
        </w:rPr>
        <w:t xml:space="preserve">for y in (4.0, 3.0, 2.0):</w:t>
      </w:r>
    </w:p>
    <w:p>
      <w:pPr>
        <w:pStyle w:val="NoSpacing"/>
        <w:shd w:val="clear" w:color="auto" w:fill="F2F2F2"/>
        <w:spacing w:after="0" w:line="240" w:lineRule="auto"/>
        <w:ind w:left="120" w:right="120"/>
        <w:jc w:val="left"/>
      </w:pPr>
      <w:r>
        <w:rPr>
          <w:rFonts w:ascii="Courier New" w:hAnsi="Courier New" w:cs="Courier New"/>
          <w:sz w:val="13"/>
          <w:szCs w:val="13"/>
        </w:rPr>
        <w:t xml:space="preserve">    arrow((8.45, 3.25), (9.2, y), rad=0.0)</w:t>
      </w:r>
    </w:p>
    <w:p>
      <w:pPr>
        <w:pStyle w:val="NoSpacing"/>
        <w:shd w:val="clear" w:color="auto" w:fill="F2F2F2"/>
        <w:spacing w:after="0" w:line="240" w:lineRule="auto"/>
        <w:ind w:left="120" w:right="120"/>
        <w:jc w:val="left"/>
      </w:pPr>
      <w:r>
        <w:rPr>
          <w:rFonts w:ascii="Courier New" w:hAnsi="Courier New" w:cs="Courier New"/>
          <w:sz w:val="13"/>
          <w:szCs w:val="13"/>
        </w:rPr>
        <w:t xml:space="preserve">    arrow((10.55, y), (11.4, 3.25), rad=0.0)</w:t>
      </w:r>
    </w:p>
    <w:p>
      <w:pPr>
        <w:pStyle w:val="NoSpacing"/>
        <w:shd w:val="clear" w:color="auto" w:fill="F2F2F2"/>
        <w:spacing w:after="0" w:line="240" w:lineRule="auto"/>
        <w:ind w:left="120" w:right="120"/>
        <w:jc w:val="left"/>
      </w:pPr>
      <w:r>
        <w:rPr>
          <w:rFonts w:ascii="Courier New" w:hAnsi="Courier New" w:cs="Courier New"/>
          <w:sz w:val="13"/>
          <w:szCs w:val="13"/>
        </w:rPr>
        <w:t xml:space="preserve"># Returns (reverse physical)</w:t>
      </w:r>
    </w:p>
    <w:p>
      <w:pPr>
        <w:pStyle w:val="NoSpacing"/>
        <w:shd w:val="clear" w:color="auto" w:fill="F2F2F2"/>
        <w:spacing w:after="0" w:line="240" w:lineRule="auto"/>
        <w:ind w:left="120" w:right="120"/>
        <w:jc w:val="left"/>
      </w:pPr>
      <w:r>
        <w:rPr>
          <w:rFonts w:ascii="Courier New" w:hAnsi="Courier New" w:cs="Courier New"/>
          <w:sz w:val="13"/>
          <w:szCs w:val="13"/>
        </w:rPr>
        <w:t xml:space="preserve">arrow((9.2, 1.75), (8.0, 2.3), rad=-0.35)</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Information flow (demand signals right to left, dashed)</w:t>
      </w:r>
    </w:p>
    <w:p>
      <w:pPr>
        <w:pStyle w:val="NoSpacing"/>
        <w:shd w:val="clear" w:color="auto" w:fill="F2F2F2"/>
        <w:spacing w:after="0" w:line="240" w:lineRule="auto"/>
        <w:ind w:left="120" w:right="120"/>
        <w:jc w:val="left"/>
      </w:pPr>
      <w:r>
        <w:rPr>
          <w:rFonts w:ascii="Courier New" w:hAnsi="Courier New" w:cs="Courier New"/>
          <w:sz w:val="13"/>
          <w:szCs w:val="13"/>
        </w:rPr>
        <w:t xml:space="preserve">arrow((12.1, 4.2), (9.6, 5.5), style="info", rad=0.2)</w:t>
      </w:r>
    </w:p>
    <w:p>
      <w:pPr>
        <w:pStyle w:val="NoSpacing"/>
        <w:shd w:val="clear" w:color="auto" w:fill="F2F2F2"/>
        <w:spacing w:after="0" w:line="240" w:lineRule="auto"/>
        <w:ind w:left="120" w:right="120"/>
        <w:jc w:val="left"/>
      </w:pPr>
      <w:r>
        <w:rPr>
          <w:rFonts w:ascii="Courier New" w:hAnsi="Courier New" w:cs="Courier New"/>
          <w:sz w:val="13"/>
          <w:szCs w:val="13"/>
        </w:rPr>
        <w:t xml:space="preserve">arrow((2.2, 5.5), (0.9, 4.2), style="info", rad=0.2)</w:t>
      </w:r>
    </w:p>
    <w:p>
      <w:pPr>
        <w:pStyle w:val="NoSpacing"/>
        <w:shd w:val="clear" w:color="auto" w:fill="F2F2F2"/>
        <w:spacing w:after="0" w:line="240" w:lineRule="auto"/>
        <w:ind w:left="120" w:right="120"/>
        <w:jc w:val="left"/>
      </w:pPr>
      <w:r>
        <w:rPr>
          <w:rFonts w:ascii="Courier New" w:hAnsi="Courier New" w:cs="Courier New"/>
          <w:sz w:val="13"/>
          <w:szCs w:val="13"/>
        </w:rPr>
        <w:t xml:space="preserve">arrow((4.35, 5.1), (4.35, 4.7), style="info")</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Financial flow (payments flow back, dotted)</w:t>
      </w:r>
    </w:p>
    <w:p>
      <w:pPr>
        <w:pStyle w:val="NoSpacing"/>
        <w:shd w:val="clear" w:color="auto" w:fill="F2F2F2"/>
        <w:spacing w:after="0" w:line="240" w:lineRule="auto"/>
        <w:ind w:left="120" w:right="120"/>
        <w:jc w:val="left"/>
      </w:pPr>
      <w:r>
        <w:rPr>
          <w:rFonts w:ascii="Courier New" w:hAnsi="Courier New" w:cs="Courier New"/>
          <w:sz w:val="13"/>
          <w:szCs w:val="13"/>
        </w:rPr>
        <w:t xml:space="preserve">ax.annotate("", xy=(5.0, 0.35), xytext=(10.0, 0.35),</w:t>
      </w:r>
    </w:p>
    <w:p>
      <w:pPr>
        <w:pStyle w:val="NoSpacing"/>
        <w:shd w:val="clear" w:color="auto" w:fill="F2F2F2"/>
        <w:spacing w:after="0" w:line="240" w:lineRule="auto"/>
        <w:ind w:left="120" w:right="120"/>
        <w:jc w:val="left"/>
      </w:pPr>
      <w:r>
        <w:rPr>
          <w:rFonts w:ascii="Courier New" w:hAnsi="Courier New" w:cs="Courier New"/>
          <w:sz w:val="13"/>
          <w:szCs w:val="13"/>
        </w:rPr>
        <w:t xml:space="preserve">            arrowprops=dict(arrowstyle="-|&gt;", ls=(0, (1, 2)), lw=1.5, color="black"))</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ax.text(7.5, 0.45, "payments back to Tier 1 partners", ha="center",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 Legend</w:t>
      </w:r>
    </w:p>
    <w:p>
      <w:pPr>
        <w:pStyle w:val="NoSpacing"/>
        <w:shd w:val="clear" w:color="auto" w:fill="F2F2F2"/>
        <w:spacing w:after="0" w:line="240" w:lineRule="auto"/>
        <w:ind w:left="120" w:right="120"/>
        <w:jc w:val="left"/>
      </w:pPr>
      <w:r>
        <w:rPr>
          <w:rFonts w:ascii="Courier New" w:hAnsi="Courier New" w:cs="Courier New"/>
          <w:sz w:val="13"/>
          <w:szCs w:val="13"/>
        </w:rPr>
        <w:t xml:space="preserve">ax.plot([0.1, 0.8], [0.5, 0.5], color="black", lw=2); ax.text(0.9, 0.5, "Physical flow", va="center",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ax.plot([0.1, 0.8], [0.25, 0.25], color="black", lw=1.3, ls=(0, (5, 3))); ax.text(0.9, 0.25, "Information flow (orders, forecasts, sales data)", va="center",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ax.plot([0.1, 0.8], [0.0, 0.0], color="black", lw=1.5, ls=(0, (1, 2))); ax.text(0.9, 0.0, "Financial flow", va="center",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ax.text(6.5, 6.45, "Adidas supply chain: asset-light and Asia-concentrated", ha="center", fontsize=11, fontweight="bold")</w:t>
      </w:r>
    </w:p>
    <w:p>
      <w:pPr>
        <w:pStyle w:val="NoSpacing"/>
        <w:shd w:val="clear" w:color="auto" w:fill="F2F2F2"/>
        <w:spacing w:after="0" w:line="240" w:lineRule="auto"/>
        <w:ind w:left="120" w:right="120"/>
        <w:jc w:val="left"/>
      </w:pPr>
      <w:r>
        <w:rPr>
          <w:rFonts w:ascii="Courier New" w:hAnsi="Courier New" w:cs="Courier New"/>
          <w:sz w:val="13"/>
          <w:szCs w:val="13"/>
        </w:rPr>
        <w:t xml:space="preserve">plt.savefig("fig1_supply_chain_map.png", dpi=200, bbox_inches="tight", facecolor="white")</w:t>
      </w:r>
    </w:p>
    <w:p>
      <w:pPr>
        <w:pStyle w:val="NoSpacing"/>
        <w:spacing w:after="200" w:before="60"/>
        <w:jc w:val="left"/>
      </w:pPr>
      <w:r>
        <w:rPr>
          <w:rFonts w:ascii="Arial" w:hAnsi="Arial" w:cs="Arial"/>
          <w:i/>
          <w:sz w:val="16"/>
          <w:szCs w:val="16"/>
        </w:rPr>
        <w:t xml:space="preserve">Source: adidas AG (2026); author's drawing. 'Other Asia' (31%) and 'Outside Asia' (8%) are derived from the reported 92% Asia share and the three named countries.</w:t>
      </w:r>
    </w:p>
    <w:p>
      <w:pPr>
        <w:pStyle w:val="Heading1"/>
      </w:pPr>
      <w:r>
        <w:t>Upstream Supply Chain Management</w:t>
      </w:r>
    </w:p>
    <w:p>
      <w:pPr>
        <w:pStyle w:val="NoSpacing"/>
        <w:spacing w:after="120"/>
      </w:pPr>
      <w:r>
        <w:rPr>
          <w:rFonts w:ascii="Arial" w:hAnsi="Arial" w:cs="Arial"/>
        </w:rPr>
        <w:t xml:space="preserve">Adidas buys finished goods, not capacity. The largest single factory carries about 6% of volume, and 65% of partners have worked with Adidas for ten years or more, 37% for twenty or more (adidas AG, 2026). Kraljic's (1983) matrix explains the relational model. Footwear contract manufacturing is strategic: it has high profit impact, scarce capability and high switching cost from tooling, training and quality calibration. Adidas therefore builds long relationships and governs them through a Human Rights and Environmental Due Diligence framework aligned to the German Supply Chain Due Diligence Act, ZDHC chemical standards and supplier decarbonisation targets (adidas AG, 2026). Commodity inputs, by contrast, are routine and can be bought competitively. Transaction cost economics explains why a firm earning a 51.6% gross margin owns no factories: its specific assets sit in the brand, and contracting avoids capital and labour risk (Williamson, 1985).</w:t>
      </w:r>
    </w:p>
    <w:p>
      <w:pPr>
        <w:pStyle w:val="NoSpacing"/>
        <w:spacing w:after="120"/>
      </w:pPr>
      <w:r>
        <w:rPr>
          <w:rFonts w:ascii="Arial" w:hAnsi="Arial" w:cs="Arial"/>
        </w:rPr>
        <w:t xml:space="preserve">The structure is diversified on one axis and concentrated on another. By factory, risk is spread, since none exceeds about 6%. By country it is not: Asia holds 92% of volume, and Vietnam (27%), Indonesia (18%) and China (16%) together hold 61% (adidas AG, 2026). The Annual Report gives no supplier count, so a full concentration index cannot be built from public data. The three named shares alone give a Herfindahl-Hirschman Index of at least 1,309 (27² + 18² + 16²; Hirschman, 1945), before any other country is counted. A tariff, port closure or lockdown in one country hits many factories at once, so factory spread gives little protection against country-level shocks (Christopher and Peck, 2004; Tang, 2006; Chopra and Sodhi, 2004), and shocks spread across intertwined networks (Ivanov and Dolgui, 2020). US tariff rules on Vietnam, Indonesia, Cambodia and China shifted repeatedly in 2025 (Executive Office of the President, 2025), which tested exactly this weakness.</w:t>
      </w:r>
    </w:p>
    <w:p>
      <w:pPr>
        <w:pStyle w:val="NoSpacing"/>
        <w:spacing w:after="120"/>
      </w:pPr>
      <w:r>
        <w:rPr>
          <w:rFonts w:ascii="Arial" w:hAnsi="Arial" w:cs="Arial"/>
        </w:rPr>
        <w:t xml:space="preserve">Concentration is not unique to Adidas. Nike sources about half of its footwear in Vietnam (Nike, Inc., 2025), so Adidas's 27% Vietnam share is comparatively moderate. The counter-argument is also real: Asia offers unmatched skills, scale and cost, and long relationships bring quality and trust. The weakness is therefore not Asian sourcing itself but how slowly volume can move when rules change. Below Tier 1 the picture is thinner still. The Annual Report mentions Tier 2 mainly as a place to improve water efficiency, not as a visible, managed network (adidas AG, 2026), so Adidas may not see mills that several factories share.</w:t>
      </w:r>
    </w:p>
    <w:p>
      <w:pPr>
        <w:pStyle w:val="Heading1"/>
      </w:pPr>
      <w:r>
        <w:t>Operations Management</w:t>
      </w:r>
    </w:p>
    <w:p>
      <w:pPr>
        <w:pStyle w:val="NoSpacing"/>
        <w:spacing w:after="120"/>
      </w:pPr>
      <w:r>
        <w:rPr>
          <w:rFonts w:ascii="Arial" w:hAnsi="Arial" w:cs="Arial"/>
        </w:rPr>
        <w:t xml:space="preserve">Adidas does not run factories, so operations management means planning and steering partners. Its stated approach is local-for-local production in Greater China, India, Brazil and Argentina, with the vast majority of Greater China product made locally for shorter lead times, and smaller initial order sizes (adidas AG, 2026). Against Slack, Brandon-Jones and Burgess's (2022) performance objectives, this trades cost for speed and flexibility. Local plants cut lead time and follow regional taste, but give up the scale economies of large Asian footwear clusters.</w:t>
      </w:r>
    </w:p>
    <w:p>
      <w:pPr>
        <w:pStyle w:val="NoSpacing"/>
        <w:spacing w:after="120"/>
      </w:pPr>
      <w:r>
        <w:rPr>
          <w:rFonts w:ascii="Arial" w:hAnsi="Arial" w:cs="Arial"/>
        </w:rPr>
        <w:t xml:space="preserve">Fisher (1997) shows why one chain cannot serve every product. Core footwear has stable demand, so a lean, cost-led chain suits it. Collaborations and seasonal drops have volatile demand, so responsiveness matters more than unit cost. Adidas therefore runs something close to a leagile chain (Naylor, Naim and Berry, 1999): lean upstream, agile downstream, with a decoupling point where generic product is held and committed late (Christopher and Towill, 2001). The smaller initial orders can be read as moving that point later, committing less early and replenishing on observed sales. The trade-off is more production runs and a higher unit cost. The model also assumes partner capacity can be redirected, which is untested for volume moves between countries.</w:t>
      </w:r>
    </w:p>
    <w:p>
      <w:pPr>
        <w:pStyle w:val="NoSpacing"/>
        <w:spacing w:after="120"/>
      </w:pPr>
      <w:r>
        <w:rPr>
          <w:rFonts w:ascii="Arial" w:hAnsi="Arial" w:cs="Arial"/>
        </w:rPr>
        <w:t xml:space="preserve">The Speedfactory experiment tests the limits of proximity. Adidas opened automated sites in Ansbach and Atlanta to make shoes near customers, then announced in 2019 that it would close both by April 2020 and transfer the technology to Asian suppliers (adidas AG, 2019). The closure suggests that automation near the customer did not reach competitive unit cost at scale, so proximity alone is not a strategy.</w:t>
      </w:r>
    </w:p>
    <w:p>
      <w:pPr>
        <w:pStyle w:val="NoSpacing"/>
        <w:spacing w:after="120"/>
      </w:pPr>
      <w:r>
        <w:rPr>
          <w:rFonts w:ascii="Arial" w:hAnsi="Arial" w:cs="Arial"/>
        </w:rPr>
        <w:t xml:space="preserve">Local-for-local therefore helps only where local volume can sustain local capacity, as in Greater China. It does not help US-bound footwear, which still depends on the same Asian base. The operational problem is not where factories stand but how quickly production can move between them, because switching needs approved samples, calibrated tooling and audited labour conditions. Speed of movement is also a form of resilience (Christopher and Peck, 2004; Sheffi and Rice, 2005), and it is the capability the recommended project builds.</w:t>
      </w:r>
    </w:p>
    <w:p>
      <w:pPr>
        <w:pStyle w:val="Heading1"/>
      </w:pPr>
      <w:r>
        <w:t>Downstream Supply Chain Management</w:t>
      </w:r>
    </w:p>
    <w:p>
      <w:pPr>
        <w:pStyle w:val="NoSpacing"/>
        <w:spacing w:after="120"/>
      </w:pPr>
      <w:r>
        <w:rPr>
          <w:rFonts w:ascii="Arial" w:hAnsi="Arial" w:cs="Arial"/>
        </w:rPr>
        <w:t xml:space="preserve">Adidas ships through 60 distribution centres, 21 company-owned and 39 run by logistics partners. North America holds 21, Japan and South Korea 13, Greater China 8, Latin America 7, Europe 6 and Emerging Markets 5, and products move primarily by sea (adidas AG, 2026). The owned-versus-partner mix trades control for flexibility: partner centres add capacity quickly and convert fixed cost to variable, but give Adidas less control over service and data. North America's 21 centres also sit in the market where tariff policy shifted most in 2025.</w:t>
      </w:r>
    </w:p>
    <w:p>
      <w:pPr>
        <w:pStyle w:val="NoSpacing"/>
        <w:spacing w:after="120"/>
      </w:pPr>
      <w:r>
        <w:rPr>
          <w:rFonts w:ascii="Arial" w:hAnsi="Arial" w:cs="Arial"/>
        </w:rPr>
        <w:t xml:space="preserve">Wholesale, own retail and e-commerce each return different information. Wholesale orders arrive early and are filtered through retailer buying. E-commerce shows real-time sell-through but generates returns, the point where direct-to-consumer margin leaks through shipping, handling and markdowns. Returned product cannot always be resold at full price, so returns logistics belongs in downstream planning, not as an afterthought.</w:t>
      </w:r>
    </w:p>
    <w:p>
      <w:pPr>
        <w:pStyle w:val="NoSpacing"/>
        <w:spacing w:after="120"/>
      </w:pPr>
      <w:r>
        <w:rPr>
          <w:rFonts w:ascii="Arial" w:hAnsi="Arial" w:cs="Arial"/>
        </w:rPr>
        <w:t xml:space="preserve">The bullwhip effect describes how small changes in consumer demand inflate into large orders upstream through batching, forecast updating and shortage gaming (Lee, Padmanabhan and Whang, 1997). Long sea-freight pipelines and factory orders placed months before consumers buy create those conditions. The Yeezy episode shows the cost of a demand and supply mismatch at the scale of one product line. After Adidas ended the partnership in October 2022 it held roughly €500m of unsold Yeezy inventory and had to choose between selling, donating or writing it down (adidas AG, 2023).</w:t>
      </w:r>
    </w:p>
    <w:p>
      <w:pPr>
        <w:pStyle w:val="NoSpacing"/>
        <w:spacing w:after="120"/>
      </w:pPr>
      <w:r>
        <w:rPr>
          <w:rFonts w:ascii="Arial" w:hAnsi="Arial" w:cs="Arial"/>
        </w:rPr>
        <w:t xml:space="preserve">Lead time compounds the issue. This report assumes an effective order-to-shelf lead time of six to twelve weeks for sea-freighted Asian product. That is an assumption, not an Adidas figure, set against social-media demand that can rise or collapse in days. The cost of the mismatch appears as markdowns and write-offs. The counter-argument is that air freight or local production would reduce the mismatch but raise cost and emissions. The aim should therefore be better demand sensing and sourcing flexibility, not shorter pipelines everywhere. Marketing signals, social sentiment and returns data belong in the planning loop, because they are the earliest demand information Adidas owns (Christopher, 2016).</w:t>
      </w:r>
    </w:p>
    <w:p>
      <w:pPr>
        <w:pStyle w:val="Heading1"/>
      </w:pPr>
      <w:r>
        <w:t>Improving the Supply Chain</w:t>
      </w:r>
    </w:p>
    <w:p>
      <w:pPr>
        <w:pStyle w:val="NoSpacing"/>
        <w:spacing w:after="120"/>
      </w:pPr>
      <w:r>
        <w:rPr>
          <w:rFonts w:ascii="Arial" w:hAnsi="Arial" w:cs="Arial"/>
        </w:rPr>
        <w:t xml:space="preserve">Three issues, each traced to the analysis above, define the problem. First, concentration: 92% of volume is in Asia and 61% in three countries (adidas AG, 2026). Second, trade-policy exposure: US tariffs on Vietnam, Indonesia, Cambodia and China changed repeatedly during 2025 (Executive Office of the President, 2025), and sourcing could not move as fast as the rules. Third, limited visibility below Tier 1: the Annual Report treats Tier 2 as a place to improve water efficiency, not a managed network (adidas AG, 2026). Restating the thesis: Adidas outsources almost all production to a highly concentrated Asian base, which makes it efficient but exposed to tariffs and geopolitical shocks; the best response is a time-bound, budget-capped flexible sourcing project, planned and risk-managed with the tools in the Project Planning section.</w:t>
      </w:r>
    </w:p>
    <w:p>
      <w:pPr>
        <w:pStyle w:val="NoSpacing"/>
        <w:spacing w:after="120"/>
      </w:pPr>
      <w:r>
        <w:rPr>
          <w:rFonts w:ascii="Arial" w:hAnsi="Arial" w:cs="Arial"/>
        </w:rPr>
        <w:t xml:space="preserve">Three options were scored 1 to 5 against weighted criteria (Table 1). Nearshore relocation (A) shortens freight but needs years and capital. Intra-Asia dual sourcing (B) is fast and cheap but leaves the Asia concentration and some tariff exposure in place. Flexible sourcing (C) scores highest at 3.55, against 3.35 for B and 1.95 for A. The ranking is sensitive. Of 20 tests that moved ten weighting points between two criteria, C won 14 and B won 6, every time weight left risk reduction or strategic fit. The recommendation therefore holds only if risk reduction is valued at least as highly as cost. The scores are the author's judgements (Appendix D).</w:t>
      </w:r>
    </w:p>
    <w:p>
      <w:pPr>
        <w:pStyle w:val="Caption"/>
      </w:pPr>
      <w:r>
        <w:t xml:space="preserve">Table 1: Options appraisal (scores 1 = weak, 5 = strong; author's judgement)</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2400"/>
        <w:gridCol w:w="900"/>
        <w:gridCol w:w="1900"/>
        <w:gridCol w:w="1900"/>
        <w:gridCol w:w="1926"/>
      </w:tblGrid>
      <w:tr>
        <w:trPr>
          <w:cantSplit/>
          <w:tblHeader/>
        </w:trPr>
        <w:tc>
          <w:tcPr>
            <w:tcW w:w="2400" w:type="dxa"/>
            <w:shd w:val="clear" w:color="auto" w:fill="D9D9D9"/>
          </w:tcPr>
          <w:p>
            <w:pPr>
              <w:spacing w:after="0" w:line="240" w:lineRule="auto"/>
              <w:jc w:val="left"/>
            </w:pPr>
            <w:r>
              <w:rPr>
                <w:rFonts w:ascii="Arial" w:hAnsi="Arial" w:cs="Arial"/>
                <w:b/>
                <w:sz w:val="16"/>
                <w:szCs w:val="16"/>
              </w:rPr>
              <w:t xml:space="preserve">Criterion</w:t>
            </w:r>
          </w:p>
        </w:tc>
        <w:tc>
          <w:tcPr>
            <w:tcW w:w="900" w:type="dxa"/>
            <w:shd w:val="clear" w:color="auto" w:fill="D9D9D9"/>
          </w:tcPr>
          <w:p>
            <w:pPr>
              <w:spacing w:after="0" w:line="240" w:lineRule="auto"/>
              <w:jc w:val="center"/>
            </w:pPr>
            <w:r>
              <w:rPr>
                <w:rFonts w:ascii="Arial" w:hAnsi="Arial" w:cs="Arial"/>
                <w:b/>
                <w:sz w:val="16"/>
                <w:szCs w:val="16"/>
              </w:rPr>
              <w:t xml:space="preserve">Weight</w:t>
            </w:r>
          </w:p>
        </w:tc>
        <w:tc>
          <w:tcPr>
            <w:tcW w:w="1900" w:type="dxa"/>
            <w:shd w:val="clear" w:color="auto" w:fill="D9D9D9"/>
          </w:tcPr>
          <w:p>
            <w:pPr>
              <w:spacing w:after="0" w:line="240" w:lineRule="auto"/>
              <w:jc w:val="center"/>
            </w:pPr>
            <w:r>
              <w:rPr>
                <w:rFonts w:ascii="Arial" w:hAnsi="Arial" w:cs="Arial"/>
                <w:b/>
                <w:sz w:val="16"/>
                <w:szCs w:val="16"/>
              </w:rPr>
              <w:t xml:space="preserve">A. Nearshore relocation</w:t>
            </w:r>
          </w:p>
        </w:tc>
        <w:tc>
          <w:tcPr>
            <w:tcW w:w="1900" w:type="dxa"/>
            <w:shd w:val="clear" w:color="auto" w:fill="D9D9D9"/>
          </w:tcPr>
          <w:p>
            <w:pPr>
              <w:spacing w:after="0" w:line="240" w:lineRule="auto"/>
              <w:jc w:val="center"/>
            </w:pPr>
            <w:r>
              <w:rPr>
                <w:rFonts w:ascii="Arial" w:hAnsi="Arial" w:cs="Arial"/>
                <w:b/>
                <w:sz w:val="16"/>
                <w:szCs w:val="16"/>
              </w:rPr>
              <w:t xml:space="preserve">B. Intra-Asia dual sourcing</w:t>
            </w:r>
          </w:p>
        </w:tc>
        <w:tc>
          <w:tcPr>
            <w:tcW w:w="1926" w:type="dxa"/>
            <w:shd w:val="clear" w:color="auto" w:fill="D9D9D9"/>
          </w:tcPr>
          <w:p>
            <w:pPr>
              <w:spacing w:after="0" w:line="240" w:lineRule="auto"/>
              <w:jc w:val="center"/>
            </w:pPr>
            <w:r>
              <w:rPr>
                <w:rFonts w:ascii="Arial" w:hAnsi="Arial" w:cs="Arial"/>
                <w:b/>
                <w:sz w:val="16"/>
                <w:szCs w:val="16"/>
              </w:rPr>
              <w:t xml:space="preserve">C. Flexible sourcing (recommended)</w:t>
            </w:r>
          </w:p>
        </w:tc>
      </w:tr>
      <w:tr>
        <w:trPr>
          <w:cantSplit/>
        </w:trPr>
        <w:tc>
          <w:tcPr>
            <w:tcW w:w="2400" w:type="dxa"/>
          </w:tcPr>
          <w:p>
            <w:pPr>
              <w:spacing w:after="0" w:line="240" w:lineRule="auto"/>
              <w:jc w:val="left"/>
            </w:pPr>
            <w:r>
              <w:rPr>
                <w:rFonts w:ascii="Arial" w:hAnsi="Arial" w:cs="Arial"/>
                <w:sz w:val="16"/>
                <w:szCs w:val="16"/>
              </w:rPr>
              <w:t xml:space="preserve">Cost</w:t>
            </w:r>
          </w:p>
        </w:tc>
        <w:tc>
          <w:tcPr>
            <w:tcW w:w="900" w:type="dxa"/>
          </w:tcPr>
          <w:p>
            <w:pPr>
              <w:spacing w:after="0" w:line="240" w:lineRule="auto"/>
              <w:jc w:val="center"/>
            </w:pPr>
            <w:r>
              <w:rPr>
                <w:rFonts w:ascii="Arial" w:hAnsi="Arial" w:cs="Arial"/>
                <w:sz w:val="16"/>
                <w:szCs w:val="16"/>
              </w:rPr>
              <w:t xml:space="preserve">25%</w:t>
            </w:r>
          </w:p>
        </w:tc>
        <w:tc>
          <w:tcPr>
            <w:tcW w:w="1900" w:type="dxa"/>
          </w:tcPr>
          <w:p>
            <w:pPr>
              <w:spacing w:after="0" w:line="240" w:lineRule="auto"/>
              <w:jc w:val="center"/>
            </w:pPr>
            <w:r>
              <w:rPr>
                <w:rFonts w:ascii="Arial" w:hAnsi="Arial" w:cs="Arial"/>
                <w:sz w:val="16"/>
                <w:szCs w:val="16"/>
              </w:rPr>
              <w:t xml:space="preserve">1</w:t>
            </w:r>
          </w:p>
        </w:tc>
        <w:tc>
          <w:tcPr>
            <w:tcW w:w="1900" w:type="dxa"/>
          </w:tcPr>
          <w:p>
            <w:pPr>
              <w:spacing w:after="0" w:line="240" w:lineRule="auto"/>
              <w:jc w:val="center"/>
            </w:pPr>
            <w:r>
              <w:rPr>
                <w:rFonts w:ascii="Arial" w:hAnsi="Arial" w:cs="Arial"/>
                <w:sz w:val="16"/>
                <w:szCs w:val="16"/>
              </w:rPr>
              <w:t xml:space="preserve">4</w:t>
            </w:r>
          </w:p>
        </w:tc>
        <w:tc>
          <w:tcPr>
            <w:tcW w:w="1926" w:type="dxa"/>
          </w:tcPr>
          <w:p>
            <w:pPr>
              <w:spacing w:after="0" w:line="240" w:lineRule="auto"/>
              <w:jc w:val="center"/>
            </w:pPr>
            <w:r>
              <w:rPr>
                <w:rFonts w:ascii="Arial" w:hAnsi="Arial" w:cs="Arial"/>
                <w:sz w:val="16"/>
                <w:szCs w:val="16"/>
              </w:rPr>
              <w:t xml:space="preserve">3</w:t>
            </w:r>
          </w:p>
        </w:tc>
      </w:tr>
      <w:tr>
        <w:trPr>
          <w:cantSplit/>
        </w:trPr>
        <w:tc>
          <w:tcPr>
            <w:tcW w:w="2400" w:type="dxa"/>
          </w:tcPr>
          <w:p>
            <w:pPr>
              <w:spacing w:after="0" w:line="240" w:lineRule="auto"/>
              <w:jc w:val="left"/>
            </w:pPr>
            <w:r>
              <w:rPr>
                <w:rFonts w:ascii="Arial" w:hAnsi="Arial" w:cs="Arial"/>
                <w:sz w:val="16"/>
                <w:szCs w:val="16"/>
              </w:rPr>
              <w:t xml:space="preserve">Time to benefit</w:t>
            </w:r>
          </w:p>
        </w:tc>
        <w:tc>
          <w:tcPr>
            <w:tcW w:w="900" w:type="dxa"/>
          </w:tcPr>
          <w:p>
            <w:pPr>
              <w:spacing w:after="0" w:line="240" w:lineRule="auto"/>
              <w:jc w:val="center"/>
            </w:pPr>
            <w:r>
              <w:rPr>
                <w:rFonts w:ascii="Arial" w:hAnsi="Arial" w:cs="Arial"/>
                <w:sz w:val="16"/>
                <w:szCs w:val="16"/>
              </w:rPr>
              <w:t xml:space="preserve">20%</w:t>
            </w:r>
          </w:p>
        </w:tc>
        <w:tc>
          <w:tcPr>
            <w:tcW w:w="1900" w:type="dxa"/>
          </w:tcPr>
          <w:p>
            <w:pPr>
              <w:spacing w:after="0" w:line="240" w:lineRule="auto"/>
              <w:jc w:val="center"/>
            </w:pPr>
            <w:r>
              <w:rPr>
                <w:rFonts w:ascii="Arial" w:hAnsi="Arial" w:cs="Arial"/>
                <w:sz w:val="16"/>
                <w:szCs w:val="16"/>
              </w:rPr>
              <w:t xml:space="preserve">1</w:t>
            </w:r>
          </w:p>
        </w:tc>
        <w:tc>
          <w:tcPr>
            <w:tcW w:w="1900" w:type="dxa"/>
          </w:tcPr>
          <w:p>
            <w:pPr>
              <w:spacing w:after="0" w:line="240" w:lineRule="auto"/>
              <w:jc w:val="center"/>
            </w:pPr>
            <w:r>
              <w:rPr>
                <w:rFonts w:ascii="Arial" w:hAnsi="Arial" w:cs="Arial"/>
                <w:sz w:val="16"/>
                <w:szCs w:val="16"/>
              </w:rPr>
              <w:t xml:space="preserve">4</w:t>
            </w:r>
          </w:p>
        </w:tc>
        <w:tc>
          <w:tcPr>
            <w:tcW w:w="1926" w:type="dxa"/>
          </w:tcPr>
          <w:p>
            <w:pPr>
              <w:spacing w:after="0" w:line="240" w:lineRule="auto"/>
              <w:jc w:val="center"/>
            </w:pPr>
            <w:r>
              <w:rPr>
                <w:rFonts w:ascii="Arial" w:hAnsi="Arial" w:cs="Arial"/>
                <w:sz w:val="16"/>
                <w:szCs w:val="16"/>
              </w:rPr>
              <w:t xml:space="preserve">3</w:t>
            </w:r>
          </w:p>
        </w:tc>
      </w:tr>
      <w:tr>
        <w:trPr>
          <w:cantSplit/>
        </w:trPr>
        <w:tc>
          <w:tcPr>
            <w:tcW w:w="2400" w:type="dxa"/>
          </w:tcPr>
          <w:p>
            <w:pPr>
              <w:spacing w:after="0" w:line="240" w:lineRule="auto"/>
              <w:jc w:val="left"/>
            </w:pPr>
            <w:r>
              <w:rPr>
                <w:rFonts w:ascii="Arial" w:hAnsi="Arial" w:cs="Arial"/>
                <w:sz w:val="16"/>
                <w:szCs w:val="16"/>
              </w:rPr>
              <w:t xml:space="preserve">Risk reduction</w:t>
            </w:r>
          </w:p>
        </w:tc>
        <w:tc>
          <w:tcPr>
            <w:tcW w:w="900" w:type="dxa"/>
          </w:tcPr>
          <w:p>
            <w:pPr>
              <w:spacing w:after="0" w:line="240" w:lineRule="auto"/>
              <w:jc w:val="center"/>
            </w:pPr>
            <w:r>
              <w:rPr>
                <w:rFonts w:ascii="Arial" w:hAnsi="Arial" w:cs="Arial"/>
                <w:sz w:val="16"/>
                <w:szCs w:val="16"/>
              </w:rPr>
              <w:t xml:space="preserve">25%</w:t>
            </w:r>
          </w:p>
        </w:tc>
        <w:tc>
          <w:tcPr>
            <w:tcW w:w="1900" w:type="dxa"/>
          </w:tcPr>
          <w:p>
            <w:pPr>
              <w:spacing w:after="0" w:line="240" w:lineRule="auto"/>
              <w:jc w:val="center"/>
            </w:pPr>
            <w:r>
              <w:rPr>
                <w:rFonts w:ascii="Arial" w:hAnsi="Arial" w:cs="Arial"/>
                <w:sz w:val="16"/>
                <w:szCs w:val="16"/>
              </w:rPr>
              <w:t xml:space="preserve">3</w:t>
            </w:r>
          </w:p>
        </w:tc>
        <w:tc>
          <w:tcPr>
            <w:tcW w:w="1900" w:type="dxa"/>
          </w:tcPr>
          <w:p>
            <w:pPr>
              <w:spacing w:after="0" w:line="240" w:lineRule="auto"/>
              <w:jc w:val="center"/>
            </w:pPr>
            <w:r>
              <w:rPr>
                <w:rFonts w:ascii="Arial" w:hAnsi="Arial" w:cs="Arial"/>
                <w:sz w:val="16"/>
                <w:szCs w:val="16"/>
              </w:rPr>
              <w:t xml:space="preserve">2</w:t>
            </w:r>
          </w:p>
        </w:tc>
        <w:tc>
          <w:tcPr>
            <w:tcW w:w="1926" w:type="dxa"/>
          </w:tcPr>
          <w:p>
            <w:pPr>
              <w:spacing w:after="0" w:line="240" w:lineRule="auto"/>
              <w:jc w:val="center"/>
            </w:pPr>
            <w:r>
              <w:rPr>
                <w:rFonts w:ascii="Arial" w:hAnsi="Arial" w:cs="Arial"/>
                <w:sz w:val="16"/>
                <w:szCs w:val="16"/>
              </w:rPr>
              <w:t xml:space="preserve">4</w:t>
            </w:r>
          </w:p>
        </w:tc>
      </w:tr>
      <w:tr>
        <w:trPr>
          <w:cantSplit/>
        </w:trPr>
        <w:tc>
          <w:tcPr>
            <w:tcW w:w="2400" w:type="dxa"/>
          </w:tcPr>
          <w:p>
            <w:pPr>
              <w:spacing w:after="0" w:line="240" w:lineRule="auto"/>
              <w:jc w:val="left"/>
            </w:pPr>
            <w:r>
              <w:rPr>
                <w:rFonts w:ascii="Arial" w:hAnsi="Arial" w:cs="Arial"/>
                <w:sz w:val="16"/>
                <w:szCs w:val="16"/>
              </w:rPr>
              <w:t xml:space="preserve">Strategic fit</w:t>
            </w:r>
          </w:p>
        </w:tc>
        <w:tc>
          <w:tcPr>
            <w:tcW w:w="900" w:type="dxa"/>
          </w:tcPr>
          <w:p>
            <w:pPr>
              <w:spacing w:after="0" w:line="240" w:lineRule="auto"/>
              <w:jc w:val="center"/>
            </w:pPr>
            <w:r>
              <w:rPr>
                <w:rFonts w:ascii="Arial" w:hAnsi="Arial" w:cs="Arial"/>
                <w:sz w:val="16"/>
                <w:szCs w:val="16"/>
              </w:rPr>
              <w:t xml:space="preserve">15%</w:t>
            </w:r>
          </w:p>
        </w:tc>
        <w:tc>
          <w:tcPr>
            <w:tcW w:w="1900" w:type="dxa"/>
          </w:tcPr>
          <w:p>
            <w:pPr>
              <w:spacing w:after="0" w:line="240" w:lineRule="auto"/>
              <w:jc w:val="center"/>
            </w:pPr>
            <w:r>
              <w:rPr>
                <w:rFonts w:ascii="Arial" w:hAnsi="Arial" w:cs="Arial"/>
                <w:sz w:val="16"/>
                <w:szCs w:val="16"/>
              </w:rPr>
              <w:t xml:space="preserve">3</w:t>
            </w:r>
          </w:p>
        </w:tc>
        <w:tc>
          <w:tcPr>
            <w:tcW w:w="1900" w:type="dxa"/>
          </w:tcPr>
          <w:p>
            <w:pPr>
              <w:spacing w:after="0" w:line="240" w:lineRule="auto"/>
              <w:jc w:val="center"/>
            </w:pPr>
            <w:r>
              <w:rPr>
                <w:rFonts w:ascii="Arial" w:hAnsi="Arial" w:cs="Arial"/>
                <w:sz w:val="16"/>
                <w:szCs w:val="16"/>
              </w:rPr>
              <w:t xml:space="preserve">3</w:t>
            </w:r>
          </w:p>
        </w:tc>
        <w:tc>
          <w:tcPr>
            <w:tcW w:w="1926" w:type="dxa"/>
          </w:tcPr>
          <w:p>
            <w:pPr>
              <w:spacing w:after="0" w:line="240" w:lineRule="auto"/>
              <w:jc w:val="center"/>
            </w:pPr>
            <w:r>
              <w:rPr>
                <w:rFonts w:ascii="Arial" w:hAnsi="Arial" w:cs="Arial"/>
                <w:sz w:val="16"/>
                <w:szCs w:val="16"/>
              </w:rPr>
              <w:t xml:space="preserve">5</w:t>
            </w:r>
          </w:p>
        </w:tc>
      </w:tr>
      <w:tr>
        <w:trPr>
          <w:cantSplit/>
        </w:trPr>
        <w:tc>
          <w:tcPr>
            <w:tcW w:w="2400" w:type="dxa"/>
          </w:tcPr>
          <w:p>
            <w:pPr>
              <w:spacing w:after="0" w:line="240" w:lineRule="auto"/>
              <w:jc w:val="left"/>
            </w:pPr>
            <w:r>
              <w:rPr>
                <w:rFonts w:ascii="Arial" w:hAnsi="Arial" w:cs="Arial"/>
                <w:sz w:val="16"/>
                <w:szCs w:val="16"/>
              </w:rPr>
              <w:t xml:space="preserve">Feasibility</w:t>
            </w:r>
          </w:p>
        </w:tc>
        <w:tc>
          <w:tcPr>
            <w:tcW w:w="900" w:type="dxa"/>
          </w:tcPr>
          <w:p>
            <w:pPr>
              <w:spacing w:after="0" w:line="240" w:lineRule="auto"/>
              <w:jc w:val="center"/>
            </w:pPr>
            <w:r>
              <w:rPr>
                <w:rFonts w:ascii="Arial" w:hAnsi="Arial" w:cs="Arial"/>
                <w:sz w:val="16"/>
                <w:szCs w:val="16"/>
              </w:rPr>
              <w:t xml:space="preserve">15%</w:t>
            </w:r>
          </w:p>
        </w:tc>
        <w:tc>
          <w:tcPr>
            <w:tcW w:w="1900" w:type="dxa"/>
          </w:tcPr>
          <w:p>
            <w:pPr>
              <w:spacing w:after="0" w:line="240" w:lineRule="auto"/>
              <w:jc w:val="center"/>
            </w:pPr>
            <w:r>
              <w:rPr>
                <w:rFonts w:ascii="Arial" w:hAnsi="Arial" w:cs="Arial"/>
                <w:sz w:val="16"/>
                <w:szCs w:val="16"/>
              </w:rPr>
              <w:t xml:space="preserve">2</w:t>
            </w:r>
          </w:p>
        </w:tc>
        <w:tc>
          <w:tcPr>
            <w:tcW w:w="1900" w:type="dxa"/>
          </w:tcPr>
          <w:p>
            <w:pPr>
              <w:spacing w:after="0" w:line="240" w:lineRule="auto"/>
              <w:jc w:val="center"/>
            </w:pPr>
            <w:r>
              <w:rPr>
                <w:rFonts w:ascii="Arial" w:hAnsi="Arial" w:cs="Arial"/>
                <w:sz w:val="16"/>
                <w:szCs w:val="16"/>
              </w:rPr>
              <w:t xml:space="preserve">4</w:t>
            </w:r>
          </w:p>
        </w:tc>
        <w:tc>
          <w:tcPr>
            <w:tcW w:w="1926" w:type="dxa"/>
          </w:tcPr>
          <w:p>
            <w:pPr>
              <w:spacing w:after="0" w:line="240" w:lineRule="auto"/>
              <w:jc w:val="center"/>
            </w:pPr>
            <w:r>
              <w:rPr>
                <w:rFonts w:ascii="Arial" w:hAnsi="Arial" w:cs="Arial"/>
                <w:sz w:val="16"/>
                <w:szCs w:val="16"/>
              </w:rPr>
              <w:t xml:space="preserve">3</w:t>
            </w:r>
          </w:p>
        </w:tc>
      </w:tr>
      <w:tr>
        <w:trPr>
          <w:cantSplit/>
        </w:trPr>
        <w:tc>
          <w:tcPr>
            <w:tcW w:w="2400" w:type="dxa"/>
          </w:tcPr>
          <w:p>
            <w:pPr>
              <w:spacing w:after="0" w:line="240" w:lineRule="auto"/>
              <w:jc w:val="left"/>
            </w:pPr>
            <w:r>
              <w:rPr>
                <w:rFonts w:ascii="Arial" w:hAnsi="Arial" w:cs="Arial"/>
                <w:b/>
                <w:sz w:val="16"/>
                <w:szCs w:val="16"/>
              </w:rPr>
              <w:t xml:space="preserve">Weighted score (out of 5)</w:t>
            </w:r>
          </w:p>
        </w:tc>
        <w:tc>
          <w:tcPr>
            <w:tcW w:w="900" w:type="dxa"/>
          </w:tcPr>
          <w:p>
            <w:pPr>
              <w:spacing w:after="0" w:line="240" w:lineRule="auto"/>
              <w:jc w:val="center"/>
            </w:pPr>
            <w:r>
              <w:rPr>
                <w:rFonts w:ascii="Arial" w:hAnsi="Arial" w:cs="Arial"/>
                <w:b/>
                <w:sz w:val="16"/>
                <w:szCs w:val="16"/>
              </w:rPr>
              <w:t xml:space="preserve">100%</w:t>
            </w:r>
          </w:p>
        </w:tc>
        <w:tc>
          <w:tcPr>
            <w:tcW w:w="1900" w:type="dxa"/>
          </w:tcPr>
          <w:p>
            <w:pPr>
              <w:spacing w:after="0" w:line="240" w:lineRule="auto"/>
              <w:jc w:val="center"/>
            </w:pPr>
            <w:r>
              <w:rPr>
                <w:rFonts w:ascii="Arial" w:hAnsi="Arial" w:cs="Arial"/>
                <w:b/>
                <w:sz w:val="16"/>
                <w:szCs w:val="16"/>
              </w:rPr>
              <w:t xml:space="preserve">1.95</w:t>
            </w:r>
          </w:p>
        </w:tc>
        <w:tc>
          <w:tcPr>
            <w:tcW w:w="1900" w:type="dxa"/>
          </w:tcPr>
          <w:p>
            <w:pPr>
              <w:spacing w:after="0" w:line="240" w:lineRule="auto"/>
              <w:jc w:val="center"/>
            </w:pPr>
            <w:r>
              <w:rPr>
                <w:rFonts w:ascii="Arial" w:hAnsi="Arial" w:cs="Arial"/>
                <w:b/>
                <w:sz w:val="16"/>
                <w:szCs w:val="16"/>
              </w:rPr>
              <w:t xml:space="preserve">3.35</w:t>
            </w:r>
          </w:p>
        </w:tc>
        <w:tc>
          <w:tcPr>
            <w:tcW w:w="1926" w:type="dxa"/>
          </w:tcPr>
          <w:p>
            <w:pPr>
              <w:spacing w:after="0" w:line="240" w:lineRule="auto"/>
              <w:jc w:val="center"/>
            </w:pPr>
            <w:r>
              <w:rPr>
                <w:rFonts w:ascii="Arial" w:hAnsi="Arial" w:cs="Arial"/>
                <w:b/>
                <w:sz w:val="16"/>
                <w:szCs w:val="16"/>
              </w:rPr>
              <w:t xml:space="preserve">3.55</w:t>
            </w:r>
          </w:p>
        </w:tc>
      </w:tr>
    </w:tbl>
    <w:p>
      <w:pPr>
        <w:pStyle w:val="NoSpacing"/>
        <w:spacing w:after="120"/>
      </w:pPr>
    </w:p>
    <w:p>
      <w:pPr>
        <w:pStyle w:val="NoSpacing"/>
        <w:spacing w:after="120"/>
        <w:jc w:val="left"/>
      </w:pPr>
      <w:r>
        <w:rPr>
          <w:rFonts w:ascii="Arial" w:hAnsi="Arial" w:cs="Arial"/>
          <w:i/>
          <w:sz w:val="16"/>
          <w:szCs w:val="16"/>
        </w:rPr>
        <w:t xml:space="preserve">Source: author's scoring; sensitivity in Appendix D. Weights are assumptions.</w:t>
      </w:r>
    </w:p>
    <w:p>
      <w:pPr>
        <w:pStyle w:val="NoSpacing"/>
        <w:spacing w:after="120"/>
      </w:pPr>
      <w:r>
        <w:rPr>
          <w:rFonts w:ascii="Arial" w:hAnsi="Arial" w:cs="Arial"/>
        </w:rPr>
        <w:t xml:space="preserve">Because tariffs change, the lasting problem is switching speed, not country choice, which matches resilience research that favours flexibility over fixed redundancy (Sheffi and Rice, 2005; Tukamuhabwa et al., 2015). That is why C wins. Project FLEX has a SMART objective: between 4 January 2027 and 3 July 2028, within €12.0m, give Adidas Tier 1 visibility of all US-bound footwear, Tier 2 visibility of at least 50% of footwear volume, and an approved second source for at least 60% of US-bound volume, able to take a style in 45 days or fewer. In scope is US-bound footwear. Owning factories and apparel (phase 2) are out.</w:t>
      </w:r>
    </w:p>
    <w:p>
      <w:pPr>
        <w:pStyle w:val="NoSpacing"/>
        <w:spacing w:after="120"/>
      </w:pPr>
      <w:r>
        <w:rPr>
          <w:rFonts w:ascii="Arial" w:hAnsi="Arial" w:cs="Arial"/>
        </w:rPr>
        <w:t xml:space="preserve">Figure 2 shows the constraints. Cost is fixed, time may flex by up to three months, and scope is the trade-off. Quality is the supplier approval standard. All values are illustrative planning assumptions, since Adidas has published no such project. The Triple Constraint ignores benefits and stakeholder satisfaction (Atkinson, 1999; Kerzner, 2022), so Table 2 adds the KPIs. Platform data measures the first and third, and pilot logs (4.3, 6.2) measure the second.</w:t>
      </w:r>
    </w:p>
    <w:p>
      <w:pPr>
        <w:pStyle w:val="Caption"/>
      </w:pPr>
      <w:r>
        <w:t xml:space="preserve">Figure 2: The Triple Constraint for Project FLEX fixes cost at €12.0m, lets time flex, and treats scope as the trade-off</w:t>
      </w:r>
    </w:p>
    <w:p>
      <w:pPr>
        <w:pStyle w:val="NoSpacing"/>
        <w:spacing w:after="60"/>
        <w:jc w:val="left"/>
      </w:pPr>
      <w:r>
        <w:rPr>
          <w:rFonts w:ascii="Arial" w:hAnsi="Arial" w:cs="Arial"/>
          <w:i/>
          <w:sz w:val="16"/>
          <w:szCs w:val="16"/>
        </w:rPr>
        <w:t xml:space="preserve">Code in place of the figure (Python 3 with matplotlib). Save as fig2_triple_constraint.py, run it with python fig2_triple_constraint.py,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2 - Triple Constraint for Project FLEX (all values are planning assumptions)."""</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from matplotlib.patches import Polygon</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fig, ax = plt.subplots(figsize=(9, 7.2))</w:t>
      </w:r>
    </w:p>
    <w:p>
      <w:pPr>
        <w:pStyle w:val="NoSpacing"/>
        <w:shd w:val="clear" w:color="auto" w:fill="F2F2F2"/>
        <w:spacing w:after="0" w:line="240" w:lineRule="auto"/>
        <w:ind w:left="120" w:right="120"/>
        <w:jc w:val="left"/>
      </w:pPr>
      <w:r>
        <w:rPr>
          <w:rFonts w:ascii="Courier New" w:hAnsi="Courier New" w:cs="Courier New"/>
          <w:sz w:val="13"/>
          <w:szCs w:val="13"/>
        </w:rPr>
        <w:t xml:space="preserve">ax.set_xlim(-0.5, 10.5); ax.set_ylim(-1.6, 9.2); ax.axis("off")</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A, B, C = (5, 6.4), (1.2, 1.2), (8.8, 1.2)            # scope (top), time (left), cost (right)</w:t>
      </w:r>
    </w:p>
    <w:p>
      <w:pPr>
        <w:pStyle w:val="NoSpacing"/>
        <w:shd w:val="clear" w:color="auto" w:fill="F2F2F2"/>
        <w:spacing w:after="0" w:line="240" w:lineRule="auto"/>
        <w:ind w:left="120" w:right="120"/>
        <w:jc w:val="left"/>
      </w:pPr>
      <w:r>
        <w:rPr>
          <w:rFonts w:ascii="Courier New" w:hAnsi="Courier New" w:cs="Courier New"/>
          <w:sz w:val="13"/>
          <w:szCs w:val="13"/>
        </w:rPr>
        <w:t xml:space="preserve">ax.add_patch(Polygon([A, B, C], closed=True, fc="#f2f2f2", ec="black", lw=2))</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ax.text(5, 3.0, "QUALITY\nsupplier approval standard:\nHREDD audit passed,\nsample approved", ha="center", va="center",</w:t>
      </w:r>
    </w:p>
    <w:p>
      <w:pPr>
        <w:pStyle w:val="NoSpacing"/>
        <w:shd w:val="clear" w:color="auto" w:fill="F2F2F2"/>
        <w:spacing w:after="0" w:line="240" w:lineRule="auto"/>
        <w:ind w:left="120" w:right="120"/>
        <w:jc w:val="left"/>
      </w:pPr>
      <w:r>
        <w:rPr>
          <w:rFonts w:ascii="Courier New" w:hAnsi="Courier New" w:cs="Courier New"/>
          <w:sz w:val="13"/>
          <w:szCs w:val="13"/>
        </w:rPr>
        <w:t xml:space="preserve">        fontsize=9, fontweight="bold")</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def tag(x, y, head, body, kind, ha="center"):</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y, head, ha=ha, fontsize=10.5, fontweight="bold")</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y - 0.25, body, ha=ha, va="top", fontsize=8.6, linespacing=1.3)</w:t>
      </w:r>
    </w:p>
    <w:p>
      <w:pPr>
        <w:pStyle w:val="NoSpacing"/>
        <w:shd w:val="clear" w:color="auto" w:fill="F2F2F2"/>
        <w:spacing w:after="0" w:line="240" w:lineRule="auto"/>
        <w:ind w:left="120" w:right="120"/>
        <w:jc w:val="left"/>
      </w:pPr>
      <w:r>
        <w:rPr>
          <w:rFonts w:ascii="Courier New" w:hAnsi="Courier New" w:cs="Courier New"/>
          <w:sz w:val="13"/>
          <w:szCs w:val="13"/>
        </w:rPr>
        <w:t xml:space="preserve">    fill = {"FIXED": "black", "FLEXIBLE": "white", "TRADE-OFF": "#bfbfbf"}[kind]</w:t>
      </w:r>
    </w:p>
    <w:p>
      <w:pPr>
        <w:pStyle w:val="NoSpacing"/>
        <w:shd w:val="clear" w:color="auto" w:fill="F2F2F2"/>
        <w:spacing w:after="0" w:line="240" w:lineRule="auto"/>
        <w:ind w:left="120" w:right="120"/>
        <w:jc w:val="left"/>
      </w:pPr>
      <w:r>
        <w:rPr>
          <w:rFonts w:ascii="Courier New" w:hAnsi="Courier New" w:cs="Courier New"/>
          <w:sz w:val="13"/>
          <w:szCs w:val="13"/>
        </w:rPr>
        <w:t xml:space="preserve">    col = "white" if kind == "FIXED" else "black"</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y + 0.42, kind, ha=ha, fontsize=8.5, fontweight="bold", color=col,</w:t>
      </w:r>
    </w:p>
    <w:p>
      <w:pPr>
        <w:pStyle w:val="NoSpacing"/>
        <w:shd w:val="clear" w:color="auto" w:fill="F2F2F2"/>
        <w:spacing w:after="0" w:line="240" w:lineRule="auto"/>
        <w:ind w:left="120" w:right="120"/>
        <w:jc w:val="left"/>
      </w:pPr>
      <w:r>
        <w:rPr>
          <w:rFonts w:ascii="Courier New" w:hAnsi="Courier New" w:cs="Courier New"/>
          <w:sz w:val="13"/>
          <w:szCs w:val="13"/>
        </w:rPr>
        <w:t xml:space="preserve">            bbox=dict(boxstyle="round,pad=0.25", fc=fill, ec="black"))</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tag(5, 8.0, "SCOPE", "IN: US-bound footwear styles; Tier 1 and\nTier 2 visibility; pre-qualified second sources\nOUT: owning factories; apparel (phase 2)", "TRADE-OFF")</w:t>
      </w:r>
    </w:p>
    <w:p>
      <w:pPr>
        <w:pStyle w:val="NoSpacing"/>
        <w:shd w:val="clear" w:color="auto" w:fill="F2F2F2"/>
        <w:spacing w:after="0" w:line="240" w:lineRule="auto"/>
        <w:ind w:left="120" w:right="120"/>
        <w:jc w:val="left"/>
      </w:pPr>
      <w:r>
        <w:rPr>
          <w:rFonts w:ascii="Courier New" w:hAnsi="Courier New" w:cs="Courier New"/>
          <w:sz w:val="13"/>
          <w:szCs w:val="13"/>
        </w:rPr>
        <w:t xml:space="preserve">tag(1.2, 0.3, "TIME", "18 months (78 weeks)\n4 Jan 2027 to 3 Jul 2028\nup to +3 months tolerated", "FLEXIBLE")</w:t>
      </w:r>
    </w:p>
    <w:p>
      <w:pPr>
        <w:pStyle w:val="NoSpacing"/>
        <w:shd w:val="clear" w:color="auto" w:fill="F2F2F2"/>
        <w:spacing w:after="0" w:line="240" w:lineRule="auto"/>
        <w:ind w:left="120" w:right="120"/>
        <w:jc w:val="left"/>
      </w:pPr>
      <w:r>
        <w:rPr>
          <w:rFonts w:ascii="Courier New" w:hAnsi="Courier New" w:cs="Courier New"/>
          <w:sz w:val="13"/>
          <w:szCs w:val="13"/>
        </w:rPr>
        <w:t xml:space="preserve">tag(8.8, 0.3, "COST", "EUR 12.0m cap\nincl. EUR 1.0m reserve\n(0.05% of FY2025 sales)", "FIXED")</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ax.text(5, -1.5, "Rule when risks hit: protect the budget, stretch time first, cut scope last "</w:t>
      </w:r>
    </w:p>
    <w:p>
      <w:pPr>
        <w:pStyle w:val="NoSpacing"/>
        <w:shd w:val="clear" w:color="auto" w:fill="F2F2F2"/>
        <w:spacing w:after="0" w:line="240" w:lineRule="auto"/>
        <w:ind w:left="120" w:right="120"/>
        <w:jc w:val="left"/>
      </w:pPr>
      <w:r>
        <w:rPr>
          <w:rFonts w:ascii="Courier New" w:hAnsi="Courier New" w:cs="Courier New"/>
          <w:sz w:val="13"/>
          <w:szCs w:val="13"/>
        </w:rPr>
        <w:t xml:space="preserve">        "(fewest second-source styles go first).", ha="center", fontsize=8.5, style="italic")</w:t>
      </w:r>
    </w:p>
    <w:p>
      <w:pPr>
        <w:pStyle w:val="NoSpacing"/>
        <w:shd w:val="clear" w:color="auto" w:fill="F2F2F2"/>
        <w:spacing w:after="0" w:line="240" w:lineRule="auto"/>
        <w:ind w:left="120" w:right="120"/>
        <w:jc w:val="left"/>
      </w:pPr>
      <w:r>
        <w:rPr>
          <w:rFonts w:ascii="Courier New" w:hAnsi="Courier New" w:cs="Courier New"/>
          <w:sz w:val="13"/>
          <w:szCs w:val="13"/>
        </w:rPr>
        <w:t xml:space="preserve">plt.savefig("fig2_triple_constraint.png", dpi=200, bbox_inches="tight", facecolor="white")</w:t>
      </w:r>
    </w:p>
    <w:p>
      <w:pPr>
        <w:pStyle w:val="NoSpacing"/>
        <w:spacing w:after="200" w:before="60"/>
        <w:jc w:val="left"/>
      </w:pPr>
      <w:r>
        <w:rPr>
          <w:rFonts w:ascii="Arial" w:hAnsi="Arial" w:cs="Arial"/>
          <w:i/>
          <w:sz w:val="16"/>
          <w:szCs w:val="16"/>
        </w:rPr>
        <w:t xml:space="preserve">Source: author's planning assumptions. Budget equals the sum of costed work packages (Appendix E); 0.05% is EUR 12.0m divided by FY2025 sales of about EUR 24.8bn (adidas AG, 2026).</w:t>
      </w:r>
    </w:p>
    <w:p>
      <w:pPr>
        <w:pStyle w:val="Caption"/>
      </w:pPr>
      <w:r>
        <w:t xml:space="preserve">Table 2: KPIs and benefits for Project FLEX (baselines are assumptions to be confirmed in 2.3)</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2900"/>
        <w:gridCol w:w="1700"/>
        <w:gridCol w:w="1300"/>
        <w:gridCol w:w="1500"/>
        <w:gridCol w:w="1626"/>
      </w:tblGrid>
      <w:tr>
        <w:trPr>
          <w:cantSplit/>
          <w:tblHeader/>
        </w:trPr>
        <w:tc>
          <w:tcPr>
            <w:tcW w:w="2900" w:type="dxa"/>
            <w:shd w:val="clear" w:color="auto" w:fill="D9D9D9"/>
          </w:tcPr>
          <w:p>
            <w:pPr>
              <w:spacing w:after="0" w:line="240" w:lineRule="auto"/>
              <w:jc w:val="left"/>
            </w:pPr>
            <w:r>
              <w:rPr>
                <w:rFonts w:ascii="Arial" w:hAnsi="Arial" w:cs="Arial"/>
                <w:b/>
                <w:sz w:val="16"/>
                <w:szCs w:val="16"/>
              </w:rPr>
              <w:t xml:space="preserve">KPI</w:t>
            </w:r>
          </w:p>
        </w:tc>
        <w:tc>
          <w:tcPr>
            <w:tcW w:w="1700" w:type="dxa"/>
            <w:shd w:val="clear" w:color="auto" w:fill="D9D9D9"/>
          </w:tcPr>
          <w:p>
            <w:pPr>
              <w:spacing w:after="0" w:line="240" w:lineRule="auto"/>
              <w:jc w:val="left"/>
            </w:pPr>
            <w:r>
              <w:rPr>
                <w:rFonts w:ascii="Arial" w:hAnsi="Arial" w:cs="Arial"/>
                <w:b/>
                <w:sz w:val="16"/>
                <w:szCs w:val="16"/>
              </w:rPr>
              <w:t xml:space="preserve">Baseline</w:t>
            </w:r>
          </w:p>
        </w:tc>
        <w:tc>
          <w:tcPr>
            <w:tcW w:w="1300" w:type="dxa"/>
            <w:shd w:val="clear" w:color="auto" w:fill="D9D9D9"/>
          </w:tcPr>
          <w:p>
            <w:pPr>
              <w:spacing w:after="0" w:line="240" w:lineRule="auto"/>
              <w:jc w:val="left"/>
            </w:pPr>
            <w:r>
              <w:rPr>
                <w:rFonts w:ascii="Arial" w:hAnsi="Arial" w:cs="Arial"/>
                <w:b/>
                <w:sz w:val="16"/>
                <w:szCs w:val="16"/>
              </w:rPr>
              <w:t xml:space="preserve">Target (week 78)</w:t>
            </w:r>
          </w:p>
        </w:tc>
        <w:tc>
          <w:tcPr>
            <w:tcW w:w="1500" w:type="dxa"/>
            <w:shd w:val="clear" w:color="auto" w:fill="D9D9D9"/>
          </w:tcPr>
          <w:p>
            <w:pPr>
              <w:spacing w:after="0" w:line="240" w:lineRule="auto"/>
              <w:jc w:val="left"/>
            </w:pPr>
            <w:r>
              <w:rPr>
                <w:rFonts w:ascii="Arial" w:hAnsi="Arial" w:cs="Arial"/>
                <w:b/>
                <w:sz w:val="16"/>
                <w:szCs w:val="16"/>
              </w:rPr>
              <w:t xml:space="preserve">Source</w:t>
            </w:r>
          </w:p>
        </w:tc>
        <w:tc>
          <w:tcPr>
            <w:tcW w:w="1626" w:type="dxa"/>
            <w:shd w:val="clear" w:color="auto" w:fill="D9D9D9"/>
          </w:tcPr>
          <w:p>
            <w:pPr>
              <w:spacing w:after="0" w:line="240" w:lineRule="auto"/>
              <w:jc w:val="left"/>
            </w:pPr>
            <w:r>
              <w:rPr>
                <w:rFonts w:ascii="Arial" w:hAnsi="Arial" w:cs="Arial"/>
                <w:b/>
                <w:sz w:val="16"/>
                <w:szCs w:val="16"/>
              </w:rPr>
              <w:t xml:space="preserve">Owner</w:t>
            </w:r>
          </w:p>
        </w:tc>
      </w:tr>
      <w:tr>
        <w:trPr>
          <w:cantSplit/>
        </w:trPr>
        <w:tc>
          <w:tcPr>
            <w:tcW w:w="2900" w:type="dxa"/>
          </w:tcPr>
          <w:p>
            <w:pPr>
              <w:spacing w:after="0" w:line="240" w:lineRule="auto"/>
              <w:jc w:val="left"/>
            </w:pPr>
            <w:r>
              <w:rPr>
                <w:rFonts w:ascii="Arial" w:hAnsi="Arial" w:cs="Arial"/>
                <w:sz w:val="16"/>
                <w:szCs w:val="16"/>
              </w:rPr>
              <w:t xml:space="preserve">Tier 2 visibility: share of footwear volume mapped to mills</w:t>
            </w:r>
          </w:p>
        </w:tc>
        <w:tc>
          <w:tcPr>
            <w:tcW w:w="1700" w:type="dxa"/>
          </w:tcPr>
          <w:p>
            <w:pPr>
              <w:spacing w:after="0" w:line="240" w:lineRule="auto"/>
              <w:jc w:val="left"/>
            </w:pPr>
            <w:r>
              <w:rPr>
                <w:rFonts w:ascii="Arial" w:hAnsi="Arial" w:cs="Arial"/>
                <w:sz w:val="16"/>
                <w:szCs w:val="16"/>
              </w:rPr>
              <w:t xml:space="preserve">Not published; assumed below 10%</w:t>
            </w:r>
          </w:p>
        </w:tc>
        <w:tc>
          <w:tcPr>
            <w:tcW w:w="1300" w:type="dxa"/>
          </w:tcPr>
          <w:p>
            <w:pPr>
              <w:spacing w:after="0" w:line="240" w:lineRule="auto"/>
              <w:jc w:val="left"/>
            </w:pPr>
            <w:r>
              <w:rPr>
                <w:rFonts w:ascii="Arial" w:hAnsi="Arial" w:cs="Arial"/>
                <w:sz w:val="16"/>
                <w:szCs w:val="16"/>
              </w:rPr>
              <w:t xml:space="preserve">50% or more</w:t>
            </w:r>
          </w:p>
        </w:tc>
        <w:tc>
          <w:tcPr>
            <w:tcW w:w="1500" w:type="dxa"/>
          </w:tcPr>
          <w:p>
            <w:pPr>
              <w:spacing w:after="0" w:line="240" w:lineRule="auto"/>
              <w:jc w:val="left"/>
            </w:pPr>
            <w:r>
              <w:rPr>
                <w:rFonts w:ascii="Arial" w:hAnsi="Arial" w:cs="Arial"/>
                <w:sz w:val="16"/>
                <w:szCs w:val="16"/>
              </w:rPr>
              <w:t xml:space="preserve">Platform data (2.4)</w:t>
            </w:r>
          </w:p>
        </w:tc>
        <w:tc>
          <w:tcPr>
            <w:tcW w:w="1626" w:type="dxa"/>
          </w:tcPr>
          <w:p>
            <w:pPr>
              <w:spacing w:after="0" w:line="240" w:lineRule="auto"/>
              <w:jc w:val="left"/>
            </w:pPr>
            <w:r>
              <w:rPr>
                <w:rFonts w:ascii="Arial" w:hAnsi="Arial" w:cs="Arial"/>
                <w:sz w:val="16"/>
                <w:szCs w:val="16"/>
              </w:rPr>
              <w:t xml:space="preserve">Head of Global Sourcing</w:t>
            </w:r>
          </w:p>
        </w:tc>
      </w:tr>
      <w:tr>
        <w:trPr>
          <w:cantSplit/>
        </w:trPr>
        <w:tc>
          <w:tcPr>
            <w:tcW w:w="2900" w:type="dxa"/>
          </w:tcPr>
          <w:p>
            <w:pPr>
              <w:spacing w:after="0" w:line="240" w:lineRule="auto"/>
              <w:jc w:val="left"/>
            </w:pPr>
            <w:r>
              <w:rPr>
                <w:rFonts w:ascii="Arial" w:hAnsi="Arial" w:cs="Arial"/>
                <w:sz w:val="16"/>
                <w:szCs w:val="16"/>
              </w:rPr>
              <w:t xml:space="preserve">Switching speed: days to move a style between factories</w:t>
            </w:r>
          </w:p>
        </w:tc>
        <w:tc>
          <w:tcPr>
            <w:tcW w:w="1700" w:type="dxa"/>
          </w:tcPr>
          <w:p>
            <w:pPr>
              <w:spacing w:after="0" w:line="240" w:lineRule="auto"/>
              <w:jc w:val="left"/>
            </w:pPr>
            <w:r>
              <w:rPr>
                <w:rFonts w:ascii="Arial" w:hAnsi="Arial" w:cs="Arial"/>
                <w:sz w:val="16"/>
                <w:szCs w:val="16"/>
              </w:rPr>
              <w:t xml:space="preserve">Assumed 120 days</w:t>
            </w:r>
          </w:p>
        </w:tc>
        <w:tc>
          <w:tcPr>
            <w:tcW w:w="1300" w:type="dxa"/>
          </w:tcPr>
          <w:p>
            <w:pPr>
              <w:spacing w:after="0" w:line="240" w:lineRule="auto"/>
              <w:jc w:val="left"/>
            </w:pPr>
            <w:r>
              <w:rPr>
                <w:rFonts w:ascii="Arial" w:hAnsi="Arial" w:cs="Arial"/>
                <w:sz w:val="16"/>
                <w:szCs w:val="16"/>
              </w:rPr>
              <w:t xml:space="preserve">45 days or fewer</w:t>
            </w:r>
          </w:p>
        </w:tc>
        <w:tc>
          <w:tcPr>
            <w:tcW w:w="1500" w:type="dxa"/>
          </w:tcPr>
          <w:p>
            <w:pPr>
              <w:spacing w:after="0" w:line="240" w:lineRule="auto"/>
              <w:jc w:val="left"/>
            </w:pPr>
            <w:r>
              <w:rPr>
                <w:rFonts w:ascii="Arial" w:hAnsi="Arial" w:cs="Arial"/>
                <w:sz w:val="16"/>
                <w:szCs w:val="16"/>
              </w:rPr>
              <w:t xml:space="preserve">Pilot logs (4.3, 6.2)</w:t>
            </w:r>
          </w:p>
        </w:tc>
        <w:tc>
          <w:tcPr>
            <w:tcW w:w="1626" w:type="dxa"/>
          </w:tcPr>
          <w:p>
            <w:pPr>
              <w:spacing w:after="0" w:line="240" w:lineRule="auto"/>
              <w:jc w:val="left"/>
            </w:pPr>
            <w:r>
              <w:rPr>
                <w:rFonts w:ascii="Arial" w:hAnsi="Arial" w:cs="Arial"/>
                <w:sz w:val="16"/>
                <w:szCs w:val="16"/>
              </w:rPr>
              <w:t xml:space="preserve">Head of Supply Chain Operations</w:t>
            </w:r>
          </w:p>
        </w:tc>
      </w:tr>
      <w:tr>
        <w:trPr>
          <w:cantSplit/>
        </w:trPr>
        <w:tc>
          <w:tcPr>
            <w:tcW w:w="2900" w:type="dxa"/>
          </w:tcPr>
          <w:p>
            <w:pPr>
              <w:spacing w:after="0" w:line="240" w:lineRule="auto"/>
              <w:jc w:val="left"/>
            </w:pPr>
            <w:r>
              <w:rPr>
                <w:rFonts w:ascii="Arial" w:hAnsi="Arial" w:cs="Arial"/>
                <w:sz w:val="16"/>
                <w:szCs w:val="16"/>
              </w:rPr>
              <w:t xml:space="preserve">Second-source cover: share of US-bound footwear volume with an approved second source</w:t>
            </w:r>
          </w:p>
        </w:tc>
        <w:tc>
          <w:tcPr>
            <w:tcW w:w="1700" w:type="dxa"/>
          </w:tcPr>
          <w:p>
            <w:pPr>
              <w:spacing w:after="0" w:line="240" w:lineRule="auto"/>
              <w:jc w:val="left"/>
            </w:pPr>
            <w:r>
              <w:rPr>
                <w:rFonts w:ascii="Arial" w:hAnsi="Arial" w:cs="Arial"/>
                <w:sz w:val="16"/>
                <w:szCs w:val="16"/>
              </w:rPr>
              <w:t xml:space="preserve">Assumed below 20%</w:t>
            </w:r>
          </w:p>
        </w:tc>
        <w:tc>
          <w:tcPr>
            <w:tcW w:w="1300" w:type="dxa"/>
          </w:tcPr>
          <w:p>
            <w:pPr>
              <w:spacing w:after="0" w:line="240" w:lineRule="auto"/>
              <w:jc w:val="left"/>
            </w:pPr>
            <w:r>
              <w:rPr>
                <w:rFonts w:ascii="Arial" w:hAnsi="Arial" w:cs="Arial"/>
                <w:sz w:val="16"/>
                <w:szCs w:val="16"/>
              </w:rPr>
              <w:t xml:space="preserve">60% or more</w:t>
            </w:r>
          </w:p>
        </w:tc>
        <w:tc>
          <w:tcPr>
            <w:tcW w:w="1500" w:type="dxa"/>
          </w:tcPr>
          <w:p>
            <w:pPr>
              <w:spacing w:after="0" w:line="240" w:lineRule="auto"/>
              <w:jc w:val="left"/>
            </w:pPr>
            <w:r>
              <w:rPr>
                <w:rFonts w:ascii="Arial" w:hAnsi="Arial" w:cs="Arial"/>
                <w:sz w:val="16"/>
                <w:szCs w:val="16"/>
              </w:rPr>
              <w:t xml:space="preserve">Approval records (3.4)</w:t>
            </w:r>
          </w:p>
        </w:tc>
        <w:tc>
          <w:tcPr>
            <w:tcW w:w="1626" w:type="dxa"/>
          </w:tcPr>
          <w:p>
            <w:pPr>
              <w:spacing w:after="0" w:line="240" w:lineRule="auto"/>
              <w:jc w:val="left"/>
            </w:pPr>
            <w:r>
              <w:rPr>
                <w:rFonts w:ascii="Arial" w:hAnsi="Arial" w:cs="Arial"/>
                <w:sz w:val="16"/>
                <w:szCs w:val="16"/>
              </w:rPr>
              <w:t xml:space="preserve">Supplier Relations Lead</w:t>
            </w:r>
          </w:p>
        </w:tc>
      </w:tr>
    </w:tbl>
    <w:p>
      <w:pPr>
        <w:pStyle w:val="NoSpacing"/>
        <w:spacing w:after="120"/>
      </w:pPr>
    </w:p>
    <w:p>
      <w:pPr>
        <w:pStyle w:val="NoSpacing"/>
        <w:spacing w:after="120"/>
        <w:jc w:val="left"/>
      </w:pPr>
      <w:r>
        <w:rPr>
          <w:rFonts w:ascii="Arial" w:hAnsi="Arial" w:cs="Arial"/>
          <w:i/>
          <w:sz w:val="16"/>
          <w:szCs w:val="16"/>
        </w:rPr>
        <w:t xml:space="preserve">Source: author's planning assumptions.</w:t>
      </w:r>
    </w:p>
    <w:p>
      <w:pPr>
        <w:pStyle w:val="Heading1"/>
      </w:pPr>
      <w:r>
        <w:t>Project Planning</w:t>
      </w:r>
    </w:p>
    <w:p>
      <w:pPr>
        <w:pStyle w:val="NoSpacing"/>
        <w:spacing w:after="120"/>
      </w:pPr>
      <w:r>
        <w:rPr>
          <w:rFonts w:ascii="Arial" w:hAnsi="Arial" w:cs="Arial"/>
        </w:rPr>
        <w:t xml:space="preserve">Project FLEX is sponsored by the Executive Board member for Global Operations and led by the Head of Global Sourcing Programmes. Its objective is to build the ability to move US-bound footwear volume between factories as trade rules change. The budget is €12.0m, the duration 78 weeks from 4 January 2027, and success is measured by the three KPIs in Table 2.</w:t>
      </w:r>
    </w:p>
    <w:p>
      <w:pPr>
        <w:pStyle w:val="NoSpacing"/>
        <w:spacing w:after="120"/>
      </w:pPr>
      <w:r>
        <w:rPr>
          <w:rFonts w:ascii="Arial" w:hAnsi="Arial" w:cs="Arial"/>
        </w:rPr>
        <w:t xml:space="preserve">Following stakeholder theory (Freeman, 1984), ten stakeholders were placed on Mendelow's (1991) power-interest grid (Figure 3). Manage closely: the Executive Board (S1, steering committee, 1.1), Global Sourcing (S2) and Tier 1 partner factories (S3, data onboarding 2.3, workshops 5.2). Keep satisfied: customers (S6), regulators and customs (S7) and investors (S8), through the communication plan (1.2) and the monthly tariff review (1.3). Keep informed: logistics partners (S5, live rehearsal 6.2) and the IT vendor (S10, 2.1 and 2.2).</w:t>
      </w:r>
    </w:p>
    <w:p>
      <w:pPr>
        <w:pStyle w:val="NoSpacing"/>
        <w:spacing w:after="120"/>
      </w:pPr>
      <w:r>
        <w:rPr>
          <w:rFonts w:ascii="Arial" w:hAnsi="Arial" w:cs="Arial"/>
        </w:rPr>
        <w:t xml:space="preserve">The grid under-ranks factory workers (S4) and NGOs and unions (S9). Under Mitchell, Agle and Wood's (1997) salience test, workers have legitimacy and urgency but little power, so they receive a worker-voice channel (5.3) and audits (3.2). Positions will move as new factories are named, shown by the arrows. Engagement differs by group: monthly steering reviews for the Board, and joint workshops with data-sharing incentives for factories. Stakeholder needs set the communication work packages carried into the structure below.</w:t>
      </w:r>
    </w:p>
    <w:p>
      <w:pPr>
        <w:pStyle w:val="Caption"/>
      </w:pPr>
      <w:r>
        <w:t xml:space="preserve">Figure 3: Workers and NGOs rank low on power but high on salience, so they need engagement beyond the grid</w:t>
      </w:r>
    </w:p>
    <w:p>
      <w:pPr>
        <w:pStyle w:val="NoSpacing"/>
        <w:spacing w:after="60"/>
        <w:jc w:val="left"/>
      </w:pPr>
      <w:r>
        <w:rPr>
          <w:rFonts w:ascii="Arial" w:hAnsi="Arial" w:cs="Arial"/>
          <w:i/>
          <w:sz w:val="16"/>
          <w:szCs w:val="16"/>
        </w:rPr>
        <w:t xml:space="preserve">Code in place of the figure (Python 3 with matplotlib). Save as fig3_stakeholder_grid.py, run it with python fig3_stakeholder_grid.py,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3 - Power/interest grid (Mendelow) with expected movement arrows."""</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 name: (interest, power, moves_to or None, marker label)</w:t>
      </w:r>
    </w:p>
    <w:p>
      <w:pPr>
        <w:pStyle w:val="NoSpacing"/>
        <w:shd w:val="clear" w:color="auto" w:fill="F2F2F2"/>
        <w:spacing w:after="0" w:line="240" w:lineRule="auto"/>
        <w:ind w:left="120" w:right="120"/>
        <w:jc w:val="left"/>
      </w:pPr>
      <w:r>
        <w:rPr>
          <w:rFonts w:ascii="Courier New" w:hAnsi="Courier New" w:cs="Courier New"/>
          <w:sz w:val="13"/>
          <w:szCs w:val="13"/>
        </w:rPr>
        <w:t xml:space="preserve">S = {</w:t>
      </w:r>
    </w:p>
    <w:p>
      <w:pPr>
        <w:pStyle w:val="NoSpacing"/>
        <w:shd w:val="clear" w:color="auto" w:fill="F2F2F2"/>
        <w:spacing w:after="0" w:line="240" w:lineRule="auto"/>
        <w:ind w:left="120" w:right="120"/>
        <w:jc w:val="left"/>
      </w:pPr>
      <w:r>
        <w:rPr>
          <w:rFonts w:ascii="Courier New" w:hAnsi="Courier New" w:cs="Courier New"/>
          <w:sz w:val="13"/>
          <w:szCs w:val="13"/>
        </w:rPr>
        <w:t xml:space="preserve">    "S1 Executive Board":          (8.0, 9.0,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"S2 Global Sourcing team":     (9.5, 7.0,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"S3 Partner factories (Tier 1)": (9.0, 5.8,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"S4 Factory workers":          (8.0, 1.8, (8.0, 3.6)),</w:t>
      </w:r>
    </w:p>
    <w:p>
      <w:pPr>
        <w:pStyle w:val="NoSpacing"/>
        <w:shd w:val="clear" w:color="auto" w:fill="F2F2F2"/>
        <w:spacing w:after="0" w:line="240" w:lineRule="auto"/>
        <w:ind w:left="120" w:right="120"/>
        <w:jc w:val="left"/>
      </w:pPr>
      <w:r>
        <w:rPr>
          <w:rFonts w:ascii="Courier New" w:hAnsi="Courier New" w:cs="Courier New"/>
          <w:sz w:val="13"/>
          <w:szCs w:val="13"/>
        </w:rPr>
        <w:t xml:space="preserve">    "S5 Logistics partners":       (6.0, 4.8,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"S6 Wholesale and retail customers": (3.6, 6.0,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"S7 Regulators and customs":   (2.6, 8.2, (4.8, 8.2)),</w:t>
      </w:r>
    </w:p>
    <w:p>
      <w:pPr>
        <w:pStyle w:val="NoSpacing"/>
        <w:shd w:val="clear" w:color="auto" w:fill="F2F2F2"/>
        <w:spacing w:after="0" w:line="240" w:lineRule="auto"/>
        <w:ind w:left="120" w:right="120"/>
        <w:jc w:val="left"/>
      </w:pPr>
      <w:r>
        <w:rPr>
          <w:rFonts w:ascii="Courier New" w:hAnsi="Courier New" w:cs="Courier New"/>
          <w:sz w:val="13"/>
          <w:szCs w:val="13"/>
        </w:rPr>
        <w:t xml:space="preserve">    "S8 Investors":                (4.2, 8.8, None),</w:t>
      </w:r>
    </w:p>
    <w:p>
      <w:pPr>
        <w:pStyle w:val="NoSpacing"/>
        <w:shd w:val="clear" w:color="auto" w:fill="F2F2F2"/>
        <w:spacing w:after="0" w:line="240" w:lineRule="auto"/>
        <w:ind w:left="120" w:right="120"/>
        <w:jc w:val="left"/>
      </w:pPr>
      <w:r>
        <w:rPr>
          <w:rFonts w:ascii="Courier New" w:hAnsi="Courier New" w:cs="Courier New"/>
          <w:sz w:val="13"/>
          <w:szCs w:val="13"/>
        </w:rPr>
        <w:t xml:space="preserve">    "S9 NGOs and unions":          (8.4, 3.6, (8.4, 5.4)),</w:t>
      </w:r>
    </w:p>
    <w:p>
      <w:pPr>
        <w:pStyle w:val="NoSpacing"/>
        <w:shd w:val="clear" w:color="auto" w:fill="F2F2F2"/>
        <w:spacing w:after="0" w:line="240" w:lineRule="auto"/>
        <w:ind w:left="120" w:right="120"/>
        <w:jc w:val="left"/>
      </w:pPr>
      <w:r>
        <w:rPr>
          <w:rFonts w:ascii="Courier New" w:hAnsi="Courier New" w:cs="Courier New"/>
          <w:sz w:val="13"/>
          <w:szCs w:val="13"/>
        </w:rPr>
        <w:t xml:space="preserve">    "S10 IT platform vendor":      (6.8, 2.6, None),</w:t>
      </w:r>
    </w:p>
    <w:p>
      <w:pPr>
        <w:pStyle w:val="NoSpacing"/>
        <w:shd w:val="clear" w:color="auto" w:fill="F2F2F2"/>
        <w:spacing w:after="0" w:line="240" w:lineRule="auto"/>
        <w:ind w:left="120" w:right="120"/>
        <w:jc w:val="left"/>
      </w:pPr>
      <w:r>
        <w:rPr>
          <w:rFonts w:ascii="Courier New" w:hAnsi="Courier New" w:cs="Courier New"/>
          <w:sz w:val="13"/>
          <w:szCs w:val="13"/>
        </w:rPr>
        <w:t xml:space="preserve">}</w:t>
      </w:r>
    </w:p>
    <w:p>
      <w:pPr>
        <w:pStyle w:val="NoSpacing"/>
        <w:shd w:val="clear" w:color="auto" w:fill="F2F2F2"/>
        <w:spacing w:after="0" w:line="240" w:lineRule="auto"/>
        <w:ind w:left="120" w:right="120"/>
        <w:jc w:val="left"/>
      </w:pPr>
      <w:r>
        <w:rPr>
          <w:rFonts w:ascii="Courier New" w:hAnsi="Courier New" w:cs="Courier New"/>
          <w:sz w:val="13"/>
          <w:szCs w:val="13"/>
        </w:rPr>
        <w:t xml:space="preserve">fig, ax = plt.subplots(figsize=(9.5, 7.2))</w:t>
      </w:r>
    </w:p>
    <w:p>
      <w:pPr>
        <w:pStyle w:val="NoSpacing"/>
        <w:shd w:val="clear" w:color="auto" w:fill="F2F2F2"/>
        <w:spacing w:after="0" w:line="240" w:lineRule="auto"/>
        <w:ind w:left="120" w:right="120"/>
        <w:jc w:val="left"/>
      </w:pPr>
      <w:r>
        <w:rPr>
          <w:rFonts w:ascii="Courier New" w:hAnsi="Courier New" w:cs="Courier New"/>
          <w:sz w:val="13"/>
          <w:szCs w:val="13"/>
        </w:rPr>
        <w:t xml:space="preserve">ax.set_xlim(0, 10.5); ax.set_ylim(0, 10.5)</w:t>
      </w:r>
    </w:p>
    <w:p>
      <w:pPr>
        <w:pStyle w:val="NoSpacing"/>
        <w:shd w:val="clear" w:color="auto" w:fill="F2F2F2"/>
        <w:spacing w:after="0" w:line="240" w:lineRule="auto"/>
        <w:ind w:left="120" w:right="120"/>
        <w:jc w:val="left"/>
      </w:pPr>
      <w:r>
        <w:rPr>
          <w:rFonts w:ascii="Courier New" w:hAnsi="Courier New" w:cs="Courier New"/>
          <w:sz w:val="13"/>
          <w:szCs w:val="13"/>
        </w:rPr>
        <w:t xml:space="preserve">ax.axvline(5, color="black", lw=1); ax.axhline(5, color="black", lw=1)</w:t>
      </w:r>
    </w:p>
    <w:p>
      <w:pPr>
        <w:pStyle w:val="NoSpacing"/>
        <w:shd w:val="clear" w:color="auto" w:fill="F2F2F2"/>
        <w:spacing w:after="0" w:line="240" w:lineRule="auto"/>
        <w:ind w:left="120" w:right="120"/>
        <w:jc w:val="left"/>
      </w:pPr>
      <w:r>
        <w:rPr>
          <w:rFonts w:ascii="Courier New" w:hAnsi="Courier New" w:cs="Courier New"/>
          <w:sz w:val="13"/>
          <w:szCs w:val="13"/>
        </w:rPr>
        <w:t xml:space="preserve">for x, y, t in [(2.5, 10.1, "KEEP SATISFIED"), (7.7, 10.1, "MANAGE CLOSELY"),</w:t>
      </w:r>
    </w:p>
    <w:p>
      <w:pPr>
        <w:pStyle w:val="NoSpacing"/>
        <w:shd w:val="clear" w:color="auto" w:fill="F2F2F2"/>
        <w:spacing w:after="0" w:line="240" w:lineRule="auto"/>
        <w:ind w:left="120" w:right="120"/>
        <w:jc w:val="left"/>
      </w:pPr>
      <w:r>
        <w:rPr>
          <w:rFonts w:ascii="Courier New" w:hAnsi="Courier New" w:cs="Courier New"/>
          <w:sz w:val="13"/>
          <w:szCs w:val="13"/>
        </w:rPr>
        <w:t xml:space="preserve">                (2.5, 0.2, "MONITOR"), (7.7, 0.2, "KEEP INFORMED")]:</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y, t, ha="center", fontsize=10, fontweight="bold", color="#555555")</w:t>
      </w:r>
    </w:p>
    <w:p>
      <w:pPr>
        <w:pStyle w:val="NoSpacing"/>
        <w:shd w:val="clear" w:color="auto" w:fill="F2F2F2"/>
        <w:spacing w:after="0" w:line="240" w:lineRule="auto"/>
        <w:ind w:left="120" w:right="120"/>
        <w:jc w:val="left"/>
      </w:pPr>
      <w:r>
        <w:rPr>
          <w:rFonts w:ascii="Courier New" w:hAnsi="Courier New" w:cs="Courier New"/>
          <w:sz w:val="13"/>
          <w:szCs w:val="13"/>
        </w:rPr>
        <w:t xml:space="preserve">for name, (x, y, mv) in S.items():</w:t>
      </w:r>
    </w:p>
    <w:p>
      <w:pPr>
        <w:pStyle w:val="NoSpacing"/>
        <w:shd w:val="clear" w:color="auto" w:fill="F2F2F2"/>
        <w:spacing w:after="0" w:line="240" w:lineRule="auto"/>
        <w:ind w:left="120" w:right="120"/>
        <w:jc w:val="left"/>
      </w:pPr>
      <w:r>
        <w:rPr>
          <w:rFonts w:ascii="Courier New" w:hAnsi="Courier New" w:cs="Courier New"/>
          <w:sz w:val="13"/>
          <w:szCs w:val="13"/>
        </w:rPr>
        <w:t xml:space="preserve">    ax.scatter(x, y, s=140, c="#7f7f7f" if "workers" not in name else "black", edgecolor="black", zorder=3)</w:t>
      </w:r>
    </w:p>
    <w:p>
      <w:pPr>
        <w:pStyle w:val="NoSpacing"/>
        <w:shd w:val="clear" w:color="auto" w:fill="F2F2F2"/>
        <w:spacing w:after="0" w:line="240" w:lineRule="auto"/>
        <w:ind w:left="120" w:right="120"/>
        <w:jc w:val="left"/>
      </w:pPr>
      <w:r>
        <w:rPr>
          <w:rFonts w:ascii="Courier New" w:hAnsi="Courier New" w:cs="Courier New"/>
          <w:sz w:val="13"/>
          <w:szCs w:val="13"/>
        </w:rPr>
        <w:t xml:space="preserve">    ax.annotate(name, (x, y), xytext=(7, 7), textcoords="offset points", fontsize=8.5)</w:t>
      </w:r>
    </w:p>
    <w:p>
      <w:pPr>
        <w:pStyle w:val="NoSpacing"/>
        <w:shd w:val="clear" w:color="auto" w:fill="F2F2F2"/>
        <w:spacing w:after="0" w:line="240" w:lineRule="auto"/>
        <w:ind w:left="120" w:right="120"/>
        <w:jc w:val="left"/>
      </w:pPr>
      <w:r>
        <w:rPr>
          <w:rFonts w:ascii="Courier New" w:hAnsi="Courier New" w:cs="Courier New"/>
          <w:sz w:val="13"/>
          <w:szCs w:val="13"/>
        </w:rPr>
        <w:t xml:space="preserve">    if mv:</w:t>
      </w:r>
    </w:p>
    <w:p>
      <w:pPr>
        <w:pStyle w:val="NoSpacing"/>
        <w:shd w:val="clear" w:color="auto" w:fill="F2F2F2"/>
        <w:spacing w:after="0" w:line="240" w:lineRule="auto"/>
        <w:ind w:left="120" w:right="120"/>
        <w:jc w:val="left"/>
      </w:pPr>
      <w:r>
        <w:rPr>
          <w:rFonts w:ascii="Courier New" w:hAnsi="Courier New" w:cs="Courier New"/>
          <w:sz w:val="13"/>
          <w:szCs w:val="13"/>
        </w:rPr>
        <w:t xml:space="preserve">        ax.annotate("", xy=mv, xytext=(x, y), arrowprops=dict(arrowstyle="-|&gt;", lw=1.6, ls="--", color="black"))</w:t>
      </w:r>
    </w:p>
    <w:p>
      <w:pPr>
        <w:pStyle w:val="NoSpacing"/>
        <w:shd w:val="clear" w:color="auto" w:fill="F2F2F2"/>
        <w:spacing w:after="0" w:line="240" w:lineRule="auto"/>
        <w:ind w:left="120" w:right="120"/>
        <w:jc w:val="left"/>
      </w:pPr>
      <w:r>
        <w:rPr>
          <w:rFonts w:ascii="Courier New" w:hAnsi="Courier New" w:cs="Courier New"/>
          <w:sz w:val="13"/>
          <w:szCs w:val="13"/>
        </w:rPr>
        <w:t xml:space="preserve">ax.set_xlabel("Interest in the project (low to high)"); ax.set_ylabel("Power over the project (low to high)")</w:t>
      </w:r>
    </w:p>
    <w:p>
      <w:pPr>
        <w:pStyle w:val="NoSpacing"/>
        <w:shd w:val="clear" w:color="auto" w:fill="F2F2F2"/>
        <w:spacing w:after="0" w:line="240" w:lineRule="auto"/>
        <w:ind w:left="120" w:right="120"/>
        <w:jc w:val="left"/>
      </w:pPr>
      <w:r>
        <w:rPr>
          <w:rFonts w:ascii="Courier New" w:hAnsi="Courier New" w:cs="Courier New"/>
          <w:sz w:val="13"/>
          <w:szCs w:val="13"/>
        </w:rPr>
        <w:t xml:space="preserve">ax.set_xticks([]); ax.set_yticks([])</w:t>
      </w:r>
    </w:p>
    <w:p>
      <w:pPr>
        <w:pStyle w:val="NoSpacing"/>
        <w:shd w:val="clear" w:color="auto" w:fill="F2F2F2"/>
        <w:spacing w:after="0" w:line="240" w:lineRule="auto"/>
        <w:ind w:left="120" w:right="120"/>
        <w:jc w:val="left"/>
      </w:pPr>
      <w:r>
        <w:rPr>
          <w:rFonts w:ascii="Courier New" w:hAnsi="Courier New" w:cs="Courier New"/>
          <w:sz w:val="13"/>
          <w:szCs w:val="13"/>
        </w:rPr>
        <w:t xml:space="preserve">ax.text(10.4, -0.9, "Dashed arrows = expected movement as the project advances "</w:t>
      </w:r>
    </w:p>
    <w:p>
      <w:pPr>
        <w:pStyle w:val="NoSpacing"/>
        <w:shd w:val="clear" w:color="auto" w:fill="F2F2F2"/>
        <w:spacing w:after="0" w:line="240" w:lineRule="auto"/>
        <w:ind w:left="120" w:right="120"/>
        <w:jc w:val="left"/>
      </w:pPr>
      <w:r>
        <w:rPr>
          <w:rFonts w:ascii="Courier New" w:hAnsi="Courier New" w:cs="Courier New"/>
          <w:sz w:val="13"/>
          <w:szCs w:val="13"/>
        </w:rPr>
        <w:t xml:space="preserve">        "(workers and NGOs gain salience through legitimacy and urgency; regulators gain interest when tariff rules change).",</w:t>
      </w:r>
    </w:p>
    <w:p>
      <w:pPr>
        <w:pStyle w:val="NoSpacing"/>
        <w:shd w:val="clear" w:color="auto" w:fill="F2F2F2"/>
        <w:spacing w:after="0" w:line="240" w:lineRule="auto"/>
        <w:ind w:left="120" w:right="120"/>
        <w:jc w:val="left"/>
      </w:pPr>
      <w:r>
        <w:rPr>
          <w:rFonts w:ascii="Courier New" w:hAnsi="Courier New" w:cs="Courier New"/>
          <w:sz w:val="13"/>
          <w:szCs w:val="13"/>
        </w:rPr>
        <w:t xml:space="preserve">        ha="right", fontsize=7.8, style="italic", wrap=True)</w:t>
      </w:r>
    </w:p>
    <w:p>
      <w:pPr>
        <w:pStyle w:val="NoSpacing"/>
        <w:shd w:val="clear" w:color="auto" w:fill="F2F2F2"/>
        <w:spacing w:after="0" w:line="240" w:lineRule="auto"/>
        <w:ind w:left="120" w:right="120"/>
        <w:jc w:val="left"/>
      </w:pPr>
      <w:r>
        <w:rPr>
          <w:rFonts w:ascii="Courier New" w:hAnsi="Courier New" w:cs="Courier New"/>
          <w:sz w:val="13"/>
          <w:szCs w:val="13"/>
        </w:rPr>
        <w:t xml:space="preserve">plt.savefig("fig3_stakeholder_grid.png", dpi=200, bbox_inches="tight", facecolor="white")</w:t>
      </w:r>
    </w:p>
    <w:p>
      <w:pPr>
        <w:pStyle w:val="NoSpacing"/>
        <w:spacing w:after="200" w:before="60"/>
        <w:jc w:val="left"/>
      </w:pPr>
      <w:r>
        <w:rPr>
          <w:rFonts w:ascii="Arial" w:hAnsi="Arial" w:cs="Arial"/>
          <w:i/>
          <w:sz w:val="16"/>
          <w:szCs w:val="16"/>
        </w:rPr>
        <w:t xml:space="preserve">Source: author's assessment using Mendelow (1991) and Mitchell, Agle and Wood (1997). Positions are judgements, not measurements.</w:t>
      </w:r>
    </w:p>
    <w:p>
      <w:pPr>
        <w:pStyle w:val="NoSpacing"/>
        <w:spacing w:after="120"/>
      </w:pPr>
      <w:r>
        <w:rPr>
          <w:rFonts w:ascii="Arial" w:hAnsi="Arial" w:cs="Arial"/>
        </w:rPr>
        <w:t xml:space="preserve">Figure 4 decomposes the project into six deliverables and 22 work packages, numbered so they carry straight into the schedule. A deliverable-based structure beats an activity list because of the 100% rule: all work appears once, and nothing outside the six deliverables is funded (PMI, 2021). Each package is costed, and the costs sum to €12.0m, including a €1.0m reserve held in 1.3 (Appendix E). Package definitions are in Appendix B.</w:t>
      </w:r>
    </w:p>
    <w:p>
      <w:pPr>
        <w:pStyle w:val="Caption"/>
      </w:pPr>
      <w:r>
        <w:t xml:space="preserve">Figure 4: Project FLEX breaks into six deliverables and 22 work packages that sum to €12.0m</w:t>
      </w:r>
    </w:p>
    <w:p>
      <w:pPr>
        <w:pStyle w:val="NoSpacing"/>
        <w:spacing w:after="60"/>
        <w:jc w:val="left"/>
      </w:pPr>
      <w:r>
        <w:rPr>
          <w:rFonts w:ascii="Arial" w:hAnsi="Arial" w:cs="Arial"/>
          <w:i/>
          <w:sz w:val="16"/>
          <w:szCs w:val="16"/>
        </w:rPr>
        <w:t xml:space="preserve">Code in place of the figure (Python 3 with matplotlib). Save as fig4_wbs.py, run it with python fig4_wbs.py,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4 - Work Breakdown Structure (level 1 project, level 2 deliverables, level 3 work packages).</w:t>
      </w:r>
    </w:p>
    <w:p>
      <w:pPr>
        <w:pStyle w:val="NoSpacing"/>
        <w:shd w:val="clear" w:color="auto" w:fill="F2F2F2"/>
        <w:spacing w:after="0" w:line="240" w:lineRule="auto"/>
        <w:ind w:left="120" w:right="120"/>
        <w:jc w:val="left"/>
      </w:pPr>
      <w:r>
        <w:rPr>
          <w:rFonts w:ascii="Courier New" w:hAnsi="Courier New" w:cs="Courier New"/>
          <w:sz w:val="13"/>
          <w:szCs w:val="13"/>
        </w:rPr>
        <w:t xml:space="preserve">WBS is the master list: costs in EUR thousand; Appendix E and Figure 2 budget are derived from it."""</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textwrap</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from matplotlib.patches import FancyBboxPatch</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WBS = {</w:t>
      </w:r>
    </w:p>
    <w:p>
      <w:pPr>
        <w:pStyle w:val="NoSpacing"/>
        <w:shd w:val="clear" w:color="auto" w:fill="F2F2F2"/>
        <w:spacing w:after="0" w:line="240" w:lineRule="auto"/>
        <w:ind w:left="120" w:right="120"/>
        <w:jc w:val="left"/>
      </w:pPr>
      <w:r>
        <w:rPr>
          <w:rFonts w:ascii="Courier New" w:hAnsi="Courier New" w:cs="Courier New"/>
          <w:sz w:val="13"/>
          <w:szCs w:val="13"/>
        </w:rPr>
        <w:t xml:space="preserve">    "1 Programme governance": [("1.1", "Charter and steering committee", 150), ("1.2", "Stakeholder and communication plan", 200),</w:t>
      </w:r>
    </w:p>
    <w:p>
      <w:pPr>
        <w:pStyle w:val="NoSpacing"/>
        <w:shd w:val="clear" w:color="auto" w:fill="F2F2F2"/>
        <w:spacing w:after="0" w:line="240" w:lineRule="auto"/>
        <w:ind w:left="120" w:right="120"/>
        <w:jc w:val="left"/>
      </w:pPr>
      <w:r>
        <w:rPr>
          <w:rFonts w:ascii="Courier New" w:hAnsi="Courier New" w:cs="Courier New"/>
          <w:sz w:val="13"/>
          <w:szCs w:val="13"/>
        </w:rPr>
        <w:t xml:space="preserve">                               ("1.3", "Risk management and reserve", 1200), ("1.4", "Benefits tracking and close-out", 150)],</w:t>
      </w:r>
    </w:p>
    <w:p>
      <w:pPr>
        <w:pStyle w:val="NoSpacing"/>
        <w:shd w:val="clear" w:color="auto" w:fill="F2F2F2"/>
        <w:spacing w:after="0" w:line="240" w:lineRule="auto"/>
        <w:ind w:left="120" w:right="120"/>
        <w:jc w:val="left"/>
      </w:pPr>
      <w:r>
        <w:rPr>
          <w:rFonts w:ascii="Courier New" w:hAnsi="Courier New" w:cs="Courier New"/>
          <w:sz w:val="13"/>
          <w:szCs w:val="13"/>
        </w:rPr>
        <w:t xml:space="preserve">    "2 Multi-tier visibility platform": [("2.1", "Requirements and vendor selection", 300), ("2.2", "Platform configuration and integration", 2000),</w:t>
      </w:r>
    </w:p>
    <w:p>
      <w:pPr>
        <w:pStyle w:val="NoSpacing"/>
        <w:shd w:val="clear" w:color="auto" w:fill="F2F2F2"/>
        <w:spacing w:after="0" w:line="240" w:lineRule="auto"/>
        <w:ind w:left="120" w:right="120"/>
        <w:jc w:val="left"/>
      </w:pPr>
      <w:r>
        <w:rPr>
          <w:rFonts w:ascii="Courier New" w:hAnsi="Courier New" w:cs="Courier New"/>
          <w:sz w:val="13"/>
          <w:szCs w:val="13"/>
        </w:rPr>
        <w:t xml:space="preserve">                                         ("2.3", "Tier 1 data onboarding", 900), ("2.4", "Tier 2 mill mapping", 1100)],</w:t>
      </w:r>
    </w:p>
    <w:p>
      <w:pPr>
        <w:pStyle w:val="NoSpacing"/>
        <w:shd w:val="clear" w:color="auto" w:fill="F2F2F2"/>
        <w:spacing w:after="0" w:line="240" w:lineRule="auto"/>
        <w:ind w:left="120" w:right="120"/>
        <w:jc w:val="left"/>
      </w:pPr>
      <w:r>
        <w:rPr>
          <w:rFonts w:ascii="Courier New" w:hAnsi="Courier New" w:cs="Courier New"/>
          <w:sz w:val="13"/>
          <w:szCs w:val="13"/>
        </w:rPr>
        <w:t xml:space="preserve">    "3 Second-source qualification": [("3.1", "Candidate factory selection", 200), ("3.2", "HREDD audits", 700),</w:t>
      </w:r>
    </w:p>
    <w:p>
      <w:pPr>
        <w:pStyle w:val="NoSpacing"/>
        <w:shd w:val="clear" w:color="auto" w:fill="F2F2F2"/>
        <w:spacing w:after="0" w:line="240" w:lineRule="auto"/>
        <w:ind w:left="120" w:right="120"/>
        <w:jc w:val="left"/>
      </w:pPr>
      <w:r>
        <w:rPr>
          <w:rFonts w:ascii="Courier New" w:hAnsi="Courier New" w:cs="Courier New"/>
          <w:sz w:val="13"/>
          <w:szCs w:val="13"/>
        </w:rPr>
        <w:t xml:space="preserve">                                      ("3.3", "Technical trials and sample approval", 1500), ("3.4", "Commercial agreements", 300)],</w:t>
      </w:r>
    </w:p>
    <w:p>
      <w:pPr>
        <w:pStyle w:val="NoSpacing"/>
        <w:shd w:val="clear" w:color="auto" w:fill="F2F2F2"/>
        <w:spacing w:after="0" w:line="240" w:lineRule="auto"/>
        <w:ind w:left="120" w:right="120"/>
        <w:jc w:val="left"/>
      </w:pPr>
      <w:r>
        <w:rPr>
          <w:rFonts w:ascii="Courier New" w:hAnsi="Courier New" w:cs="Courier New"/>
          <w:sz w:val="13"/>
          <w:szCs w:val="13"/>
        </w:rPr>
        <w:t xml:space="preserve">    "4 Switching playbook": [("4.1", "Style-factory capability matrix", 250), ("4.2", "Switching process design", 350),</w:t>
      </w:r>
    </w:p>
    <w:p>
      <w:pPr>
        <w:pStyle w:val="NoSpacing"/>
        <w:shd w:val="clear" w:color="auto" w:fill="F2F2F2"/>
        <w:spacing w:after="0" w:line="240" w:lineRule="auto"/>
        <w:ind w:left="120" w:right="120"/>
        <w:jc w:val="left"/>
      </w:pPr>
      <w:r>
        <w:rPr>
          <w:rFonts w:ascii="Courier New" w:hAnsi="Courier New" w:cs="Courier New"/>
          <w:sz w:val="13"/>
          <w:szCs w:val="13"/>
        </w:rPr>
        <w:t xml:space="preserve">                             ("4.3", "Simulated switch pilots", 500)],</w:t>
      </w:r>
    </w:p>
    <w:p>
      <w:pPr>
        <w:pStyle w:val="NoSpacing"/>
        <w:shd w:val="clear" w:color="auto" w:fill="F2F2F2"/>
        <w:spacing w:after="0" w:line="240" w:lineRule="auto"/>
        <w:ind w:left="120" w:right="120"/>
        <w:jc w:val="left"/>
      </w:pPr>
      <w:r>
        <w:rPr>
          <w:rFonts w:ascii="Courier New" w:hAnsi="Courier New" w:cs="Courier New"/>
          <w:sz w:val="13"/>
          <w:szCs w:val="13"/>
        </w:rPr>
        <w:t xml:space="preserve">    "5 Capability and change": [("5.1", "Sourcing team training", 250), ("5.2", "Supplier onboarding workshops", 350),</w:t>
      </w:r>
    </w:p>
    <w:p>
      <w:pPr>
        <w:pStyle w:val="NoSpacing"/>
        <w:shd w:val="clear" w:color="auto" w:fill="F2F2F2"/>
        <w:spacing w:after="0" w:line="240" w:lineRule="auto"/>
        <w:ind w:left="120" w:right="120"/>
        <w:jc w:val="left"/>
      </w:pPr>
      <w:r>
        <w:rPr>
          <w:rFonts w:ascii="Courier New" w:hAnsi="Courier New" w:cs="Courier New"/>
          <w:sz w:val="13"/>
          <w:szCs w:val="13"/>
        </w:rPr>
        <w:t xml:space="preserve">                                ("5.3", "Worker-voice integration", 300)],</w:t>
      </w:r>
    </w:p>
    <w:p>
      <w:pPr>
        <w:pStyle w:val="NoSpacing"/>
        <w:shd w:val="clear" w:color="auto" w:fill="F2F2F2"/>
        <w:spacing w:after="0" w:line="240" w:lineRule="auto"/>
        <w:ind w:left="120" w:right="120"/>
        <w:jc w:val="left"/>
      </w:pPr>
      <w:r>
        <w:rPr>
          <w:rFonts w:ascii="Courier New" w:hAnsi="Courier New" w:cs="Courier New"/>
          <w:sz w:val="13"/>
          <w:szCs w:val="13"/>
        </w:rPr>
        <w:t xml:space="preserve">    "6 Pilot, rollout, benefits": [("6.1", "Control tower go-live", 400), ("6.2", "Live switch rehearsal", 500),</w:t>
      </w:r>
    </w:p>
    <w:p>
      <w:pPr>
        <w:pStyle w:val="NoSpacing"/>
        <w:shd w:val="clear" w:color="auto" w:fill="F2F2F2"/>
        <w:spacing w:after="0" w:line="240" w:lineRule="auto"/>
        <w:ind w:left="120" w:right="120"/>
        <w:jc w:val="left"/>
      </w:pPr>
      <w:r>
        <w:rPr>
          <w:rFonts w:ascii="Courier New" w:hAnsi="Courier New" w:cs="Courier New"/>
          <w:sz w:val="13"/>
          <w:szCs w:val="13"/>
        </w:rPr>
        <w:t xml:space="preserve">                                   ("6.3", "KPI baseline and measurement", 250), ("6.4", "Lessons learned and handover", 150)],</w:t>
      </w:r>
    </w:p>
    <w:p>
      <w:pPr>
        <w:pStyle w:val="NoSpacing"/>
        <w:shd w:val="clear" w:color="auto" w:fill="F2F2F2"/>
        <w:spacing w:after="0" w:line="240" w:lineRule="auto"/>
        <w:ind w:left="120" w:right="120"/>
        <w:jc w:val="left"/>
      </w:pPr>
      <w:r>
        <w:rPr>
          <w:rFonts w:ascii="Courier New" w:hAnsi="Courier New" w:cs="Courier New"/>
          <w:sz w:val="13"/>
          <w:szCs w:val="13"/>
        </w:rPr>
        <w:t xml:space="preserve">}</w:t>
      </w:r>
    </w:p>
    <w:p>
      <w:pPr>
        <w:pStyle w:val="NoSpacing"/>
        <w:shd w:val="clear" w:color="auto" w:fill="F2F2F2"/>
        <w:spacing w:after="0" w:line="240" w:lineRule="auto"/>
        <w:ind w:left="120" w:right="120"/>
        <w:jc w:val="left"/>
      </w:pPr>
      <w:r>
        <w:rPr>
          <w:rFonts w:ascii="Courier New" w:hAnsi="Courier New" w:cs="Courier New"/>
          <w:sz w:val="13"/>
          <w:szCs w:val="13"/>
        </w:rPr>
        <w:t xml:space="preserve">BUDGET_K = 12000</w:t>
      </w:r>
    </w:p>
    <w:p>
      <w:pPr>
        <w:pStyle w:val="NoSpacing"/>
        <w:shd w:val="clear" w:color="auto" w:fill="F2F2F2"/>
        <w:spacing w:after="0" w:line="240" w:lineRule="auto"/>
        <w:ind w:left="120" w:right="120"/>
        <w:jc w:val="left"/>
      </w:pPr>
      <w:r>
        <w:rPr>
          <w:rFonts w:ascii="Courier New" w:hAnsi="Courier New" w:cs="Courier New"/>
          <w:sz w:val="13"/>
          <w:szCs w:val="13"/>
        </w:rPr>
        <w:t xml:space="preserve">assert sum(c for v in WBS.values() for *_, c in v) == BUDGET_K</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if __name__ == "__main__":</w:t>
      </w:r>
    </w:p>
    <w:p>
      <w:pPr>
        <w:pStyle w:val="NoSpacing"/>
        <w:shd w:val="clear" w:color="auto" w:fill="F2F2F2"/>
        <w:spacing w:after="0" w:line="240" w:lineRule="auto"/>
        <w:ind w:left="120" w:right="120"/>
        <w:jc w:val="left"/>
      </w:pPr>
      <w:r>
        <w:rPr>
          <w:rFonts w:ascii="Courier New" w:hAnsi="Courier New" w:cs="Courier New"/>
          <w:sz w:val="13"/>
          <w:szCs w:val="13"/>
        </w:rPr>
        <w:t xml:space="preserve">    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    fig, ax = plt.subplots(figsize=(14, 7.5)); ax.set_xlim(0, 14); ax.set_ylim(0, 7.5); ax.axis("off")</w:t>
      </w:r>
    </w:p>
    <w:p>
      <w:pPr>
        <w:pStyle w:val="NoSpacing"/>
        <w:shd w:val="clear" w:color="auto" w:fill="F2F2F2"/>
        <w:spacing w:after="0" w:line="240" w:lineRule="auto"/>
        <w:ind w:left="120" w:right="120"/>
        <w:jc w:val="left"/>
      </w:pPr>
      <w:r>
        <w:rPr>
          <w:rFonts w:ascii="Courier New" w:hAnsi="Courier New" w:cs="Courier New"/>
          <w:sz w:val="13"/>
          <w:szCs w:val="13"/>
        </w:rPr>
        <w:t xml:space="preserve">    def box(x, y, w, h, t, fill, size=7.4, bold=False):</w:t>
      </w:r>
    </w:p>
    <w:p>
      <w:pPr>
        <w:pStyle w:val="NoSpacing"/>
        <w:shd w:val="clear" w:color="auto" w:fill="F2F2F2"/>
        <w:spacing w:after="0" w:line="240" w:lineRule="auto"/>
        <w:ind w:left="120" w:right="120"/>
        <w:jc w:val="left"/>
      </w:pPr>
      <w:r>
        <w:rPr>
          <w:rFonts w:ascii="Courier New" w:hAnsi="Courier New" w:cs="Courier New"/>
          <w:sz w:val="13"/>
          <w:szCs w:val="13"/>
        </w:rPr>
        <w:t xml:space="preserve">        ax.add_patch(FancyBboxPatch((x, y), w, h, boxstyle="round,pad=0.02,rounding_size=0.06", fc=fill, ec="black", lw=1))</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 w / 2, y + h / 2, textwrap.fill(t, 60 if size &gt;= 10 else (24 if bold else 26)), ha="center", va="center", fontsize=size, fontweight="bold" if bold else "normal", linespacing=1.15)</w:t>
      </w:r>
    </w:p>
    <w:p>
      <w:pPr>
        <w:pStyle w:val="NoSpacing"/>
        <w:shd w:val="clear" w:color="auto" w:fill="F2F2F2"/>
        <w:spacing w:after="0" w:line="240" w:lineRule="auto"/>
        <w:ind w:left="120" w:right="120"/>
        <w:jc w:val="left"/>
      </w:pPr>
      <w:r>
        <w:rPr>
          <w:rFonts w:ascii="Courier New" w:hAnsi="Courier New" w:cs="Courier New"/>
          <w:sz w:val="13"/>
          <w:szCs w:val="13"/>
        </w:rPr>
        <w:t xml:space="preserve">    box(4.5, 6.7, 5, 0.6, "0 Project FLEX: flexible sourcing programme (EUR 12.0m)", "#d9d9d9", 10, True)</w:t>
      </w:r>
    </w:p>
    <w:p>
      <w:pPr>
        <w:pStyle w:val="NoSpacing"/>
        <w:shd w:val="clear" w:color="auto" w:fill="F2F2F2"/>
        <w:spacing w:after="0" w:line="240" w:lineRule="auto"/>
        <w:ind w:left="120" w:right="120"/>
        <w:jc w:val="left"/>
      </w:pPr>
      <w:r>
        <w:rPr>
          <w:rFonts w:ascii="Courier New" w:hAnsi="Courier New" w:cs="Courier New"/>
          <w:sz w:val="13"/>
          <w:szCs w:val="13"/>
        </w:rPr>
        <w:t xml:space="preserve">    w = 2.2</w:t>
      </w:r>
    </w:p>
    <w:p>
      <w:pPr>
        <w:pStyle w:val="NoSpacing"/>
        <w:shd w:val="clear" w:color="auto" w:fill="F2F2F2"/>
        <w:spacing w:after="0" w:line="240" w:lineRule="auto"/>
        <w:ind w:left="120" w:right="120"/>
        <w:jc w:val="left"/>
      </w:pPr>
      <w:r>
        <w:rPr>
          <w:rFonts w:ascii="Courier New" w:hAnsi="Courier New" w:cs="Courier New"/>
          <w:sz w:val="13"/>
          <w:szCs w:val="13"/>
        </w:rPr>
        <w:t xml:space="preserve">    for i, (head, wps) in enumerate(WBS.items()):</w:t>
      </w:r>
    </w:p>
    <w:p>
      <w:pPr>
        <w:pStyle w:val="NoSpacing"/>
        <w:shd w:val="clear" w:color="auto" w:fill="F2F2F2"/>
        <w:spacing w:after="0" w:line="240" w:lineRule="auto"/>
        <w:ind w:left="120" w:right="120"/>
        <w:jc w:val="left"/>
      </w:pPr>
      <w:r>
        <w:rPr>
          <w:rFonts w:ascii="Courier New" w:hAnsi="Courier New" w:cs="Courier New"/>
          <w:sz w:val="13"/>
          <w:szCs w:val="13"/>
        </w:rPr>
        <w:t xml:space="preserve">        x = 0.1 + i * 2.3</w:t>
      </w:r>
    </w:p>
    <w:p>
      <w:pPr>
        <w:pStyle w:val="NoSpacing"/>
        <w:shd w:val="clear" w:color="auto" w:fill="F2F2F2"/>
        <w:spacing w:after="0" w:line="240" w:lineRule="auto"/>
        <w:ind w:left="120" w:right="120"/>
        <w:jc w:val="left"/>
      </w:pPr>
      <w:r>
        <w:rPr>
          <w:rFonts w:ascii="Courier New" w:hAnsi="Courier New" w:cs="Courier New"/>
          <w:sz w:val="13"/>
          <w:szCs w:val="13"/>
        </w:rPr>
        <w:t xml:space="preserve">        ax.plot([7, 7], [6.7, 6.45], color="black"); </w:t>
      </w:r>
    </w:p>
    <w:p>
      <w:pPr>
        <w:pStyle w:val="NoSpacing"/>
        <w:shd w:val="clear" w:color="auto" w:fill="F2F2F2"/>
        <w:spacing w:after="0" w:line="240" w:lineRule="auto"/>
        <w:ind w:left="120" w:right="120"/>
        <w:jc w:val="left"/>
      </w:pPr>
      <w:r>
        <w:rPr>
          <w:rFonts w:ascii="Courier New" w:hAnsi="Courier New" w:cs="Courier New"/>
          <w:sz w:val="13"/>
          <w:szCs w:val="13"/>
        </w:rPr>
        <w:t xml:space="preserve">        ax.plot([x + w / 2, x + w / 2], [6.45, 6.2], color="black")</w:t>
      </w:r>
    </w:p>
    <w:p>
      <w:pPr>
        <w:pStyle w:val="NoSpacing"/>
        <w:shd w:val="clear" w:color="auto" w:fill="F2F2F2"/>
        <w:spacing w:after="0" w:line="240" w:lineRule="auto"/>
        <w:ind w:left="120" w:right="120"/>
        <w:jc w:val="left"/>
      </w:pPr>
      <w:r>
        <w:rPr>
          <w:rFonts w:ascii="Courier New" w:hAnsi="Courier New" w:cs="Courier New"/>
          <w:sz w:val="13"/>
          <w:szCs w:val="13"/>
        </w:rPr>
        <w:t xml:space="preserve">        box(x, 5.5, w, 0.7, head, "#bfbfbf", 7.8, True)</w:t>
      </w:r>
    </w:p>
    <w:p>
      <w:pPr>
        <w:pStyle w:val="NoSpacing"/>
        <w:shd w:val="clear" w:color="auto" w:fill="F2F2F2"/>
        <w:spacing w:after="0" w:line="240" w:lineRule="auto"/>
        <w:ind w:left="120" w:right="120"/>
        <w:jc w:val="left"/>
      </w:pPr>
      <w:r>
        <w:rPr>
          <w:rFonts w:ascii="Courier New" w:hAnsi="Courier New" w:cs="Courier New"/>
          <w:sz w:val="13"/>
          <w:szCs w:val="13"/>
        </w:rPr>
        <w:t xml:space="preserve">        for j, (wid, name, cost) in enumerate(wps):</w:t>
      </w:r>
    </w:p>
    <w:p>
      <w:pPr>
        <w:pStyle w:val="NoSpacing"/>
        <w:shd w:val="clear" w:color="auto" w:fill="F2F2F2"/>
        <w:spacing w:after="0" w:line="240" w:lineRule="auto"/>
        <w:ind w:left="120" w:right="120"/>
        <w:jc w:val="left"/>
      </w:pPr>
      <w:r>
        <w:rPr>
          <w:rFonts w:ascii="Courier New" w:hAnsi="Courier New" w:cs="Courier New"/>
          <w:sz w:val="13"/>
          <w:szCs w:val="13"/>
        </w:rPr>
        <w:t xml:space="preserve">            y = 4.75 - j * 0.95</w:t>
      </w:r>
    </w:p>
    <w:p>
      <w:pPr>
        <w:pStyle w:val="NoSpacing"/>
        <w:shd w:val="clear" w:color="auto" w:fill="F2F2F2"/>
        <w:spacing w:after="0" w:line="240" w:lineRule="auto"/>
        <w:ind w:left="120" w:right="120"/>
        <w:jc w:val="left"/>
      </w:pPr>
      <w:r>
        <w:rPr>
          <w:rFonts w:ascii="Courier New" w:hAnsi="Courier New" w:cs="Courier New"/>
          <w:sz w:val="13"/>
          <w:szCs w:val="13"/>
        </w:rPr>
        <w:t xml:space="preserve">            ax.plot([x + 0.05, x + 0.05], [5.5, y + 0.4], color="black", lw=0.8)</w:t>
      </w:r>
    </w:p>
    <w:p>
      <w:pPr>
        <w:pStyle w:val="NoSpacing"/>
        <w:shd w:val="clear" w:color="auto" w:fill="F2F2F2"/>
        <w:spacing w:after="0" w:line="240" w:lineRule="auto"/>
        <w:ind w:left="120" w:right="120"/>
        <w:jc w:val="left"/>
      </w:pPr>
      <w:r>
        <w:rPr>
          <w:rFonts w:ascii="Courier New" w:hAnsi="Courier New" w:cs="Courier New"/>
          <w:sz w:val="13"/>
          <w:szCs w:val="13"/>
        </w:rPr>
        <w:t xml:space="preserve">            ax.plot([x + 0.05, x + 0.15], [y + 0.4, y + 0.4], color="black", lw=0.8)</w:t>
      </w:r>
    </w:p>
    <w:p>
      <w:pPr>
        <w:pStyle w:val="NoSpacing"/>
        <w:shd w:val="clear" w:color="auto" w:fill="F2F2F2"/>
        <w:spacing w:after="0" w:line="240" w:lineRule="auto"/>
        <w:ind w:left="120" w:right="120"/>
        <w:jc w:val="left"/>
      </w:pPr>
      <w:r>
        <w:rPr>
          <w:rFonts w:ascii="Courier New" w:hAnsi="Courier New" w:cs="Courier New"/>
          <w:sz w:val="13"/>
          <w:szCs w:val="13"/>
        </w:rPr>
        <w:t xml:space="preserve">            box(x + 0.15, y, w - 0.15, 0.8, f"{wid} {name}", "white")</w:t>
      </w:r>
    </w:p>
    <w:p>
      <w:pPr>
        <w:pStyle w:val="NoSpacing"/>
        <w:shd w:val="clear" w:color="auto" w:fill="F2F2F2"/>
        <w:spacing w:after="0" w:line="240" w:lineRule="auto"/>
        <w:ind w:left="120" w:right="120"/>
        <w:jc w:val="left"/>
      </w:pPr>
      <w:r>
        <w:rPr>
          <w:rFonts w:ascii="Courier New" w:hAnsi="Courier New" w:cs="Courier New"/>
          <w:sz w:val="13"/>
          <w:szCs w:val="13"/>
        </w:rPr>
        <w:t xml:space="preserve">    ax.plot([0.1 + w / 2, 0.1 + 5 * 2.3 + w / 2], [6.45, 6.45], color="black")</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ax.text(7, 0.3, "Level 1 = project, level 2 = six deliverables, level 3 = 22 work packages. Numbers match the Gantt task IDs (Figure 5).",</w:t>
      </w:r>
    </w:p>
    <w:p>
      <w:pPr>
        <w:pStyle w:val="NoSpacing"/>
        <w:shd w:val="clear" w:color="auto" w:fill="F2F2F2"/>
        <w:spacing w:after="0" w:line="240" w:lineRule="auto"/>
        <w:ind w:left="120" w:right="120"/>
        <w:jc w:val="left"/>
      </w:pPr>
      <w:r>
        <w:rPr>
          <w:rFonts w:ascii="Courier New" w:hAnsi="Courier New" w:cs="Courier New"/>
          <w:sz w:val="13"/>
          <w:szCs w:val="13"/>
        </w:rPr>
        <w:t xml:space="preserve">            ha="center", fontsize=8.5, style="italic")</w:t>
      </w:r>
    </w:p>
    <w:p>
      <w:pPr>
        <w:pStyle w:val="NoSpacing"/>
        <w:shd w:val="clear" w:color="auto" w:fill="F2F2F2"/>
        <w:spacing w:after="0" w:line="240" w:lineRule="auto"/>
        <w:ind w:left="120" w:right="120"/>
        <w:jc w:val="left"/>
      </w:pPr>
      <w:r>
        <w:rPr>
          <w:rFonts w:ascii="Courier New" w:hAnsi="Courier New" w:cs="Courier New"/>
          <w:sz w:val="13"/>
          <w:szCs w:val="13"/>
        </w:rPr>
        <w:t xml:space="preserve">    plt.savefig("fig4_wbs.png", dpi=200, bbox_inches="tight", facecolor="white")</w:t>
      </w:r>
    </w:p>
    <w:p>
      <w:pPr>
        <w:pStyle w:val="NoSpacing"/>
        <w:spacing w:after="200" w:before="60"/>
        <w:jc w:val="left"/>
      </w:pPr>
      <w:r>
        <w:rPr>
          <w:rFonts w:ascii="Arial" w:hAnsi="Arial" w:cs="Arial"/>
          <w:i/>
          <w:sz w:val="16"/>
          <w:szCs w:val="16"/>
        </w:rPr>
        <w:t xml:space="preserve">Source: author's work breakdown structure following the PMBOK 100% rule (PMI, 2021). The script asserts the cost total equals EUR 12,000k.</w:t>
      </w:r>
    </w:p>
    <w:p>
      <w:pPr>
        <w:pStyle w:val="NoSpacing"/>
        <w:spacing w:after="120"/>
      </w:pPr>
      <w:r>
        <w:rPr>
          <w:rFonts w:ascii="Arial" w:hAnsi="Arial" w:cs="Arial"/>
        </w:rPr>
        <w:t xml:space="preserve">Figure 5 schedules the 22 packages plus a four-week buffer (1.3B). The critical path method (Kelley and Walker, 1959) gives a 78-week path: 1.1, 3.1, 3.2, 3.3, 1.3B, 3.4, 6.2, 6.3, 6.4 and 1.4. Supplier qualification, not technology, sets the end date. The platform path (2.1, 2.2, 2.3, 6.1) has ten weeks of float (Appendix A).</w:t>
      </w:r>
    </w:p>
    <w:p>
      <w:pPr>
        <w:pStyle w:val="NoSpacing"/>
        <w:spacing w:after="120"/>
      </w:pPr>
      <w:r>
        <w:rPr>
          <w:rFonts w:ascii="Arial" w:hAnsi="Arial" w:cs="Arial"/>
        </w:rPr>
        <w:t xml:space="preserve">The method assumes fixed durations, but supplier approval (3.3) is uncertain. A three-point estimate (Malcolm et al., 1959) of 18, 24 and 36 weeks gives an expected 25 weeks with a standard deviation of 3. The expected case adds one week. The pessimistic case adds twelve weeks, and the buffer absorbs four, so the project ends at week 86, inside the three-month tolerance of week 91. Switching pilots (4.3) have six weeks of float, so playbook design (4.1, 4.2) can absorb a short delay without moving the end date. Gates M1 (platform live, week 46) and M2 (second sources approved, week 56) mark the decision points. The three largest risks sit on this schedule as the next section shows.</w:t>
      </w:r>
    </w:p>
    <w:p>
      <w:pPr>
        <w:pStyle w:val="Caption"/>
      </w:pPr>
      <w:r>
        <w:t xml:space="preserve">Figure 5: The 78-week critical path runs through supplier trials and approval, not the technology platform</w:t>
      </w:r>
    </w:p>
    <w:p>
      <w:pPr>
        <w:pStyle w:val="NoSpacing"/>
        <w:spacing w:after="60"/>
        <w:jc w:val="left"/>
      </w:pPr>
      <w:r>
        <w:rPr>
          <w:rFonts w:ascii="Arial" w:hAnsi="Arial" w:cs="Arial"/>
          <w:i/>
          <w:sz w:val="16"/>
          <w:szCs w:val="16"/>
        </w:rPr>
        <w:t xml:space="preserve">Code in place of the figure (Python 3 with matplotlib). Save as fig5_gantt_cpm.py, run it with python fig5_gantt_cpm.py,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5 - Gantt chart with critical path (CPM computed in code), PERT range for task 3.3."""</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datetime as dt</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from matplotlib.patches import Patch</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START = dt.date(2027, 1, 4)</w:t>
      </w:r>
    </w:p>
    <w:p>
      <w:pPr>
        <w:pStyle w:val="NoSpacing"/>
        <w:shd w:val="clear" w:color="auto" w:fill="F2F2F2"/>
        <w:spacing w:after="0" w:line="240" w:lineRule="auto"/>
        <w:ind w:left="120" w:right="120"/>
        <w:jc w:val="left"/>
      </w:pPr>
      <w:r>
        <w:rPr>
          <w:rFonts w:ascii="Courier New" w:hAnsi="Courier New" w:cs="Courier New"/>
          <w:sz w:val="13"/>
          <w:szCs w:val="13"/>
        </w:rPr>
        <w:t xml:space="preserve"># id: (name, duration_weeks, predecessors)</w:t>
      </w:r>
    </w:p>
    <w:p>
      <w:pPr>
        <w:pStyle w:val="NoSpacing"/>
        <w:shd w:val="clear" w:color="auto" w:fill="F2F2F2"/>
        <w:spacing w:after="0" w:line="240" w:lineRule="auto"/>
        <w:ind w:left="120" w:right="120"/>
        <w:jc w:val="left"/>
      </w:pPr>
      <w:r>
        <w:rPr>
          <w:rFonts w:ascii="Courier New" w:hAnsi="Courier New" w:cs="Courier New"/>
          <w:sz w:val="13"/>
          <w:szCs w:val="13"/>
        </w:rPr>
        <w:t xml:space="preserve">T = {</w:t>
      </w:r>
    </w:p>
    <w:p>
      <w:pPr>
        <w:pStyle w:val="NoSpacing"/>
        <w:shd w:val="clear" w:color="auto" w:fill="F2F2F2"/>
        <w:spacing w:after="0" w:line="240" w:lineRule="auto"/>
        <w:ind w:left="120" w:right="120"/>
        <w:jc w:val="left"/>
      </w:pPr>
      <w:r>
        <w:rPr>
          <w:rFonts w:ascii="Courier New" w:hAnsi="Courier New" w:cs="Courier New"/>
          <w:sz w:val="13"/>
          <w:szCs w:val="13"/>
        </w:rPr>
        <w:t xml:space="preserve">    "1.1": ("Charter and steering committee", 4, []),</w:t>
      </w:r>
    </w:p>
    <w:p>
      <w:pPr>
        <w:pStyle w:val="NoSpacing"/>
        <w:shd w:val="clear" w:color="auto" w:fill="F2F2F2"/>
        <w:spacing w:after="0" w:line="240" w:lineRule="auto"/>
        <w:ind w:left="120" w:right="120"/>
        <w:jc w:val="left"/>
      </w:pPr>
      <w:r>
        <w:rPr>
          <w:rFonts w:ascii="Courier New" w:hAnsi="Courier New" w:cs="Courier New"/>
          <w:sz w:val="13"/>
          <w:szCs w:val="13"/>
        </w:rPr>
        <w:t xml:space="preserve">    "1.2": ("Stakeholder and communication plan", 4, ["1.1"]),</w:t>
      </w:r>
    </w:p>
    <w:p>
      <w:pPr>
        <w:pStyle w:val="NoSpacing"/>
        <w:shd w:val="clear" w:color="auto" w:fill="F2F2F2"/>
        <w:spacing w:after="0" w:line="240" w:lineRule="auto"/>
        <w:ind w:left="120" w:right="120"/>
        <w:jc w:val="left"/>
      </w:pPr>
      <w:r>
        <w:rPr>
          <w:rFonts w:ascii="Courier New" w:hAnsi="Courier New" w:cs="Courier New"/>
          <w:sz w:val="13"/>
          <w:szCs w:val="13"/>
        </w:rPr>
        <w:t xml:space="preserve">    "2.1": ("Requirements and vendor selection", 10, ["1.1"]),</w:t>
      </w:r>
    </w:p>
    <w:p>
      <w:pPr>
        <w:pStyle w:val="NoSpacing"/>
        <w:shd w:val="clear" w:color="auto" w:fill="F2F2F2"/>
        <w:spacing w:after="0" w:line="240" w:lineRule="auto"/>
        <w:ind w:left="120" w:right="120"/>
        <w:jc w:val="left"/>
      </w:pPr>
      <w:r>
        <w:rPr>
          <w:rFonts w:ascii="Courier New" w:hAnsi="Courier New" w:cs="Courier New"/>
          <w:sz w:val="13"/>
          <w:szCs w:val="13"/>
        </w:rPr>
        <w:t xml:space="preserve">    "2.2": ("Platform configuration and integration", 16, ["2.1"]),</w:t>
      </w:r>
    </w:p>
    <w:p>
      <w:pPr>
        <w:pStyle w:val="NoSpacing"/>
        <w:shd w:val="clear" w:color="auto" w:fill="F2F2F2"/>
        <w:spacing w:after="0" w:line="240" w:lineRule="auto"/>
        <w:ind w:left="120" w:right="120"/>
        <w:jc w:val="left"/>
      </w:pPr>
      <w:r>
        <w:rPr>
          <w:rFonts w:ascii="Courier New" w:hAnsi="Courier New" w:cs="Courier New"/>
          <w:sz w:val="13"/>
          <w:szCs w:val="13"/>
        </w:rPr>
        <w:t xml:space="preserve">    "2.3": ("Tier 1 data onboarding", 12, ["2.2"]),</w:t>
      </w:r>
    </w:p>
    <w:p>
      <w:pPr>
        <w:pStyle w:val="NoSpacing"/>
        <w:shd w:val="clear" w:color="auto" w:fill="F2F2F2"/>
        <w:spacing w:after="0" w:line="240" w:lineRule="auto"/>
        <w:ind w:left="120" w:right="120"/>
        <w:jc w:val="left"/>
      </w:pPr>
      <w:r>
        <w:rPr>
          <w:rFonts w:ascii="Courier New" w:hAnsi="Courier New" w:cs="Courier New"/>
          <w:sz w:val="13"/>
          <w:szCs w:val="13"/>
        </w:rPr>
        <w:t xml:space="preserve">    "2.4": ("Tier 2 mill mapping", 20, ["2.3"]),</w:t>
      </w:r>
    </w:p>
    <w:p>
      <w:pPr>
        <w:pStyle w:val="NoSpacing"/>
        <w:shd w:val="clear" w:color="auto" w:fill="F2F2F2"/>
        <w:spacing w:after="0" w:line="240" w:lineRule="auto"/>
        <w:ind w:left="120" w:right="120"/>
        <w:jc w:val="left"/>
      </w:pPr>
      <w:r>
        <w:rPr>
          <w:rFonts w:ascii="Courier New" w:hAnsi="Courier New" w:cs="Courier New"/>
          <w:sz w:val="13"/>
          <w:szCs w:val="13"/>
        </w:rPr>
        <w:t xml:space="preserve">    "3.1": ("Candidate factory selection", 6, ["1.1"]),</w:t>
      </w:r>
    </w:p>
    <w:p>
      <w:pPr>
        <w:pStyle w:val="NoSpacing"/>
        <w:shd w:val="clear" w:color="auto" w:fill="F2F2F2"/>
        <w:spacing w:after="0" w:line="240" w:lineRule="auto"/>
        <w:ind w:left="120" w:right="120"/>
        <w:jc w:val="left"/>
      </w:pPr>
      <w:r>
        <w:rPr>
          <w:rFonts w:ascii="Courier New" w:hAnsi="Courier New" w:cs="Courier New"/>
          <w:sz w:val="13"/>
          <w:szCs w:val="13"/>
        </w:rPr>
        <w:t xml:space="preserve">    "3.2": ("HREDD audits", 10, ["3.1"]),</w:t>
      </w:r>
    </w:p>
    <w:p>
      <w:pPr>
        <w:pStyle w:val="NoSpacing"/>
        <w:shd w:val="clear" w:color="auto" w:fill="F2F2F2"/>
        <w:spacing w:after="0" w:line="240" w:lineRule="auto"/>
        <w:ind w:left="120" w:right="120"/>
        <w:jc w:val="left"/>
      </w:pPr>
      <w:r>
        <w:rPr>
          <w:rFonts w:ascii="Courier New" w:hAnsi="Courier New" w:cs="Courier New"/>
          <w:sz w:val="13"/>
          <w:szCs w:val="13"/>
        </w:rPr>
        <w:t xml:space="preserve">    "3.3": ("Technical trials and sample approval", 24, ["3.2"]),</w:t>
      </w:r>
    </w:p>
    <w:p>
      <w:pPr>
        <w:pStyle w:val="NoSpacing"/>
        <w:shd w:val="clear" w:color="auto" w:fill="F2F2F2"/>
        <w:spacing w:after="0" w:line="240" w:lineRule="auto"/>
        <w:ind w:left="120" w:right="120"/>
        <w:jc w:val="left"/>
      </w:pPr>
      <w:r>
        <w:rPr>
          <w:rFonts w:ascii="Courier New" w:hAnsi="Courier New" w:cs="Courier New"/>
          <w:sz w:val="13"/>
          <w:szCs w:val="13"/>
        </w:rPr>
        <w:t xml:space="preserve">    "1.3B": ("Schedule buffer (supplier approval risk)", 4, ["3.3"]),</w:t>
      </w:r>
    </w:p>
    <w:p>
      <w:pPr>
        <w:pStyle w:val="NoSpacing"/>
        <w:shd w:val="clear" w:color="auto" w:fill="F2F2F2"/>
        <w:spacing w:after="0" w:line="240" w:lineRule="auto"/>
        <w:ind w:left="120" w:right="120"/>
        <w:jc w:val="left"/>
      </w:pPr>
      <w:r>
        <w:rPr>
          <w:rFonts w:ascii="Courier New" w:hAnsi="Courier New" w:cs="Courier New"/>
          <w:sz w:val="13"/>
          <w:szCs w:val="13"/>
        </w:rPr>
        <w:t xml:space="preserve">    "3.4": ("Commercial agreements", 8, ["1.3B"]),</w:t>
      </w:r>
    </w:p>
    <w:p>
      <w:pPr>
        <w:pStyle w:val="NoSpacing"/>
        <w:shd w:val="clear" w:color="auto" w:fill="F2F2F2"/>
        <w:spacing w:after="0" w:line="240" w:lineRule="auto"/>
        <w:ind w:left="120" w:right="120"/>
        <w:jc w:val="left"/>
      </w:pPr>
      <w:r>
        <w:rPr>
          <w:rFonts w:ascii="Courier New" w:hAnsi="Courier New" w:cs="Courier New"/>
          <w:sz w:val="13"/>
          <w:szCs w:val="13"/>
        </w:rPr>
        <w:t xml:space="preserve">    "4.1": ("Style-factory capability matrix", 8, ["3.1"]),</w:t>
      </w:r>
    </w:p>
    <w:p>
      <w:pPr>
        <w:pStyle w:val="NoSpacing"/>
        <w:shd w:val="clear" w:color="auto" w:fill="F2F2F2"/>
        <w:spacing w:after="0" w:line="240" w:lineRule="auto"/>
        <w:ind w:left="120" w:right="120"/>
        <w:jc w:val="left"/>
      </w:pPr>
      <w:r>
        <w:rPr>
          <w:rFonts w:ascii="Courier New" w:hAnsi="Courier New" w:cs="Courier New"/>
          <w:sz w:val="13"/>
          <w:szCs w:val="13"/>
        </w:rPr>
        <w:t xml:space="preserve">    "4.2": ("Switching process design", 10, ["4.1"]),</w:t>
      </w:r>
    </w:p>
    <w:p>
      <w:pPr>
        <w:pStyle w:val="NoSpacing"/>
        <w:shd w:val="clear" w:color="auto" w:fill="F2F2F2"/>
        <w:spacing w:after="0" w:line="240" w:lineRule="auto"/>
        <w:ind w:left="120" w:right="120"/>
        <w:jc w:val="left"/>
      </w:pPr>
      <w:r>
        <w:rPr>
          <w:rFonts w:ascii="Courier New" w:hAnsi="Courier New" w:cs="Courier New"/>
          <w:sz w:val="13"/>
          <w:szCs w:val="13"/>
        </w:rPr>
        <w:t xml:space="preserve">    "4.3": ("Simulated switch pilots", 6, ["4.2", "3.3"]),</w:t>
      </w:r>
    </w:p>
    <w:p>
      <w:pPr>
        <w:pStyle w:val="NoSpacing"/>
        <w:shd w:val="clear" w:color="auto" w:fill="F2F2F2"/>
        <w:spacing w:after="0" w:line="240" w:lineRule="auto"/>
        <w:ind w:left="120" w:right="120"/>
        <w:jc w:val="left"/>
      </w:pPr>
      <w:r>
        <w:rPr>
          <w:rFonts w:ascii="Courier New" w:hAnsi="Courier New" w:cs="Courier New"/>
          <w:sz w:val="13"/>
          <w:szCs w:val="13"/>
        </w:rPr>
        <w:t xml:space="preserve">    "5.1": ("Sourcing team training", 6, ["2.2"]),</w:t>
      </w:r>
    </w:p>
    <w:p>
      <w:pPr>
        <w:pStyle w:val="NoSpacing"/>
        <w:shd w:val="clear" w:color="auto" w:fill="F2F2F2"/>
        <w:spacing w:after="0" w:line="240" w:lineRule="auto"/>
        <w:ind w:left="120" w:right="120"/>
        <w:jc w:val="left"/>
      </w:pPr>
      <w:r>
        <w:rPr>
          <w:rFonts w:ascii="Courier New" w:hAnsi="Courier New" w:cs="Courier New"/>
          <w:sz w:val="13"/>
          <w:szCs w:val="13"/>
        </w:rPr>
        <w:t xml:space="preserve">    "5.2": ("Supplier onboarding workshops", 6, ["2.3"]),</w:t>
      </w:r>
    </w:p>
    <w:p>
      <w:pPr>
        <w:pStyle w:val="NoSpacing"/>
        <w:shd w:val="clear" w:color="auto" w:fill="F2F2F2"/>
        <w:spacing w:after="0" w:line="240" w:lineRule="auto"/>
        <w:ind w:left="120" w:right="120"/>
        <w:jc w:val="left"/>
      </w:pPr>
      <w:r>
        <w:rPr>
          <w:rFonts w:ascii="Courier New" w:hAnsi="Courier New" w:cs="Courier New"/>
          <w:sz w:val="13"/>
          <w:szCs w:val="13"/>
        </w:rPr>
        <w:t xml:space="preserve">    "5.3": ("Worker-voice integration", 6, ["3.2"]),</w:t>
      </w:r>
    </w:p>
    <w:p>
      <w:pPr>
        <w:pStyle w:val="NoSpacing"/>
        <w:shd w:val="clear" w:color="auto" w:fill="F2F2F2"/>
        <w:spacing w:after="0" w:line="240" w:lineRule="auto"/>
        <w:ind w:left="120" w:right="120"/>
        <w:jc w:val="left"/>
      </w:pPr>
      <w:r>
        <w:rPr>
          <w:rFonts w:ascii="Courier New" w:hAnsi="Courier New" w:cs="Courier New"/>
          <w:sz w:val="13"/>
          <w:szCs w:val="13"/>
        </w:rPr>
        <w:t xml:space="preserve">    "6.1": ("Control tower go-live", 4, ["2.3", "5.1"]),</w:t>
      </w:r>
    </w:p>
    <w:p>
      <w:pPr>
        <w:pStyle w:val="NoSpacing"/>
        <w:shd w:val="clear" w:color="auto" w:fill="F2F2F2"/>
        <w:spacing w:after="0" w:line="240" w:lineRule="auto"/>
        <w:ind w:left="120" w:right="120"/>
        <w:jc w:val="left"/>
      </w:pPr>
      <w:r>
        <w:rPr>
          <w:rFonts w:ascii="Courier New" w:hAnsi="Courier New" w:cs="Courier New"/>
          <w:sz w:val="13"/>
          <w:szCs w:val="13"/>
        </w:rPr>
        <w:t xml:space="preserve">    "6.2": ("Live switch rehearsal", 6, ["4.3", "3.4", "6.1"]),</w:t>
      </w:r>
    </w:p>
    <w:p>
      <w:pPr>
        <w:pStyle w:val="NoSpacing"/>
        <w:shd w:val="clear" w:color="auto" w:fill="F2F2F2"/>
        <w:spacing w:after="0" w:line="240" w:lineRule="auto"/>
        <w:ind w:left="120" w:right="120"/>
        <w:jc w:val="left"/>
      </w:pPr>
      <w:r>
        <w:rPr>
          <w:rFonts w:ascii="Courier New" w:hAnsi="Courier New" w:cs="Courier New"/>
          <w:sz w:val="13"/>
          <w:szCs w:val="13"/>
        </w:rPr>
        <w:t xml:space="preserve">    "6.3": ("KPI baseline and measurement", 10, ["6.2"]),</w:t>
      </w:r>
    </w:p>
    <w:p>
      <w:pPr>
        <w:pStyle w:val="NoSpacing"/>
        <w:shd w:val="clear" w:color="auto" w:fill="F2F2F2"/>
        <w:spacing w:after="0" w:line="240" w:lineRule="auto"/>
        <w:ind w:left="120" w:right="120"/>
        <w:jc w:val="left"/>
      </w:pPr>
      <w:r>
        <w:rPr>
          <w:rFonts w:ascii="Courier New" w:hAnsi="Courier New" w:cs="Courier New"/>
          <w:sz w:val="13"/>
          <w:szCs w:val="13"/>
        </w:rPr>
        <w:t xml:space="preserve">    "6.4": ("Lessons learned and handover", 4, ["6.3", "2.4"]),</w:t>
      </w:r>
    </w:p>
    <w:p>
      <w:pPr>
        <w:pStyle w:val="NoSpacing"/>
        <w:shd w:val="clear" w:color="auto" w:fill="F2F2F2"/>
        <w:spacing w:after="0" w:line="240" w:lineRule="auto"/>
        <w:ind w:left="120" w:right="120"/>
        <w:jc w:val="left"/>
      </w:pPr>
      <w:r>
        <w:rPr>
          <w:rFonts w:ascii="Courier New" w:hAnsi="Courier New" w:cs="Courier New"/>
          <w:sz w:val="13"/>
          <w:szCs w:val="13"/>
        </w:rPr>
        <w:t xml:space="preserve">    "1.4": ("Benefits tracking and close-out", 2, ["6.4"]),</w:t>
      </w:r>
    </w:p>
    <w:p>
      <w:pPr>
        <w:pStyle w:val="NoSpacing"/>
        <w:shd w:val="clear" w:color="auto" w:fill="F2F2F2"/>
        <w:spacing w:after="0" w:line="240" w:lineRule="auto"/>
        <w:ind w:left="120" w:right="120"/>
        <w:jc w:val="left"/>
      </w:pPr>
      <w:r>
        <w:rPr>
          <w:rFonts w:ascii="Courier New" w:hAnsi="Courier New" w:cs="Courier New"/>
          <w:sz w:val="13"/>
          <w:szCs w:val="13"/>
        </w:rPr>
        <w:t xml:space="preserve">}</w:t>
      </w:r>
    </w:p>
    <w:p>
      <w:pPr>
        <w:pStyle w:val="NoSpacing"/>
        <w:shd w:val="clear" w:color="auto" w:fill="F2F2F2"/>
        <w:spacing w:after="0" w:line="240" w:lineRule="auto"/>
        <w:ind w:left="120" w:right="120"/>
        <w:jc w:val="left"/>
      </w:pPr>
      <w:r>
        <w:rPr>
          <w:rFonts w:ascii="Courier New" w:hAnsi="Courier New" w:cs="Courier New"/>
          <w:sz w:val="13"/>
          <w:szCs w:val="13"/>
        </w:rPr>
        <w:t xml:space="preserve">MILESTONES = {"M1 Gate: platform live": "6.1", "M2 Gate: second sources approved": "3.4", "M3 Project complete": "1.4"}</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def cpm(T):</w:t>
      </w:r>
    </w:p>
    <w:p>
      <w:pPr>
        <w:pStyle w:val="NoSpacing"/>
        <w:shd w:val="clear" w:color="auto" w:fill="F2F2F2"/>
        <w:spacing w:after="0" w:line="240" w:lineRule="auto"/>
        <w:ind w:left="120" w:right="120"/>
        <w:jc w:val="left"/>
      </w:pPr>
      <w:r>
        <w:rPr>
          <w:rFonts w:ascii="Courier New" w:hAnsi="Courier New" w:cs="Courier New"/>
          <w:sz w:val="13"/>
          <w:szCs w:val="13"/>
        </w:rPr>
        <w:t xml:space="preserve">    order, seen = [], set()</w:t>
      </w:r>
    </w:p>
    <w:p>
      <w:pPr>
        <w:pStyle w:val="NoSpacing"/>
        <w:shd w:val="clear" w:color="auto" w:fill="F2F2F2"/>
        <w:spacing w:after="0" w:line="240" w:lineRule="auto"/>
        <w:ind w:left="120" w:right="120"/>
        <w:jc w:val="left"/>
      </w:pPr>
      <w:r>
        <w:rPr>
          <w:rFonts w:ascii="Courier New" w:hAnsi="Courier New" w:cs="Courier New"/>
          <w:sz w:val="13"/>
          <w:szCs w:val="13"/>
        </w:rPr>
        <w:t xml:space="preserve">    def visit(k):</w:t>
      </w:r>
    </w:p>
    <w:p>
      <w:pPr>
        <w:pStyle w:val="NoSpacing"/>
        <w:shd w:val="clear" w:color="auto" w:fill="F2F2F2"/>
        <w:spacing w:after="0" w:line="240" w:lineRule="auto"/>
        <w:ind w:left="120" w:right="120"/>
        <w:jc w:val="left"/>
      </w:pPr>
      <w:r>
        <w:rPr>
          <w:rFonts w:ascii="Courier New" w:hAnsi="Courier New" w:cs="Courier New"/>
          <w:sz w:val="13"/>
          <w:szCs w:val="13"/>
        </w:rPr>
        <w:t xml:space="preserve">        if k in seen: return</w:t>
      </w:r>
    </w:p>
    <w:p>
      <w:pPr>
        <w:pStyle w:val="NoSpacing"/>
        <w:shd w:val="clear" w:color="auto" w:fill="F2F2F2"/>
        <w:spacing w:after="0" w:line="240" w:lineRule="auto"/>
        <w:ind w:left="120" w:right="120"/>
        <w:jc w:val="left"/>
      </w:pPr>
      <w:r>
        <w:rPr>
          <w:rFonts w:ascii="Courier New" w:hAnsi="Courier New" w:cs="Courier New"/>
          <w:sz w:val="13"/>
          <w:szCs w:val="13"/>
        </w:rPr>
        <w:t xml:space="preserve">        for p in T[k][2]: visit(p)</w:t>
      </w:r>
    </w:p>
    <w:p>
      <w:pPr>
        <w:pStyle w:val="NoSpacing"/>
        <w:shd w:val="clear" w:color="auto" w:fill="F2F2F2"/>
        <w:spacing w:after="0" w:line="240" w:lineRule="auto"/>
        <w:ind w:left="120" w:right="120"/>
        <w:jc w:val="left"/>
      </w:pPr>
      <w:r>
        <w:rPr>
          <w:rFonts w:ascii="Courier New" w:hAnsi="Courier New" w:cs="Courier New"/>
          <w:sz w:val="13"/>
          <w:szCs w:val="13"/>
        </w:rPr>
        <w:t xml:space="preserve">        seen.add(k); order.append(k)</w:t>
      </w:r>
    </w:p>
    <w:p>
      <w:pPr>
        <w:pStyle w:val="NoSpacing"/>
        <w:shd w:val="clear" w:color="auto" w:fill="F2F2F2"/>
        <w:spacing w:after="0" w:line="240" w:lineRule="auto"/>
        <w:ind w:left="120" w:right="120"/>
        <w:jc w:val="left"/>
      </w:pPr>
      <w:r>
        <w:rPr>
          <w:rFonts w:ascii="Courier New" w:hAnsi="Courier New" w:cs="Courier New"/>
          <w:sz w:val="13"/>
          <w:szCs w:val="13"/>
        </w:rPr>
        <w:t xml:space="preserve">    for k in T: visit(k)</w:t>
      </w:r>
    </w:p>
    <w:p>
      <w:pPr>
        <w:pStyle w:val="NoSpacing"/>
        <w:shd w:val="clear" w:color="auto" w:fill="F2F2F2"/>
        <w:spacing w:after="0" w:line="240" w:lineRule="auto"/>
        <w:ind w:left="120" w:right="120"/>
        <w:jc w:val="left"/>
      </w:pPr>
      <w:r>
        <w:rPr>
          <w:rFonts w:ascii="Courier New" w:hAnsi="Courier New" w:cs="Courier New"/>
          <w:sz w:val="13"/>
          <w:szCs w:val="13"/>
        </w:rPr>
        <w:t xml:space="preserve">    ES, EF = {}, {}</w:t>
      </w:r>
    </w:p>
    <w:p>
      <w:pPr>
        <w:pStyle w:val="NoSpacing"/>
        <w:shd w:val="clear" w:color="auto" w:fill="F2F2F2"/>
        <w:spacing w:after="0" w:line="240" w:lineRule="auto"/>
        <w:ind w:left="120" w:right="120"/>
        <w:jc w:val="left"/>
      </w:pPr>
      <w:r>
        <w:rPr>
          <w:rFonts w:ascii="Courier New" w:hAnsi="Courier New" w:cs="Courier New"/>
          <w:sz w:val="13"/>
          <w:szCs w:val="13"/>
        </w:rPr>
        <w:t xml:space="preserve">    for k in order:</w:t>
      </w:r>
    </w:p>
    <w:p>
      <w:pPr>
        <w:pStyle w:val="NoSpacing"/>
        <w:shd w:val="clear" w:color="auto" w:fill="F2F2F2"/>
        <w:spacing w:after="0" w:line="240" w:lineRule="auto"/>
        <w:ind w:left="120" w:right="120"/>
        <w:jc w:val="left"/>
      </w:pPr>
      <w:r>
        <w:rPr>
          <w:rFonts w:ascii="Courier New" w:hAnsi="Courier New" w:cs="Courier New"/>
          <w:sz w:val="13"/>
          <w:szCs w:val="13"/>
        </w:rPr>
        <w:t xml:space="preserve">        ES[k] = max([EF[p] for p in T[k][2]], default=0); EF[k] = ES[k] + T[k][1]</w:t>
      </w:r>
    </w:p>
    <w:p>
      <w:pPr>
        <w:pStyle w:val="NoSpacing"/>
        <w:shd w:val="clear" w:color="auto" w:fill="F2F2F2"/>
        <w:spacing w:after="0" w:line="240" w:lineRule="auto"/>
        <w:ind w:left="120" w:right="120"/>
        <w:jc w:val="left"/>
      </w:pPr>
      <w:r>
        <w:rPr>
          <w:rFonts w:ascii="Courier New" w:hAnsi="Courier New" w:cs="Courier New"/>
          <w:sz w:val="13"/>
          <w:szCs w:val="13"/>
        </w:rPr>
        <w:t xml:space="preserve">    end = max(EF.values()); LS, LF = {}, {}</w:t>
      </w:r>
    </w:p>
    <w:p>
      <w:pPr>
        <w:pStyle w:val="NoSpacing"/>
        <w:shd w:val="clear" w:color="auto" w:fill="F2F2F2"/>
        <w:spacing w:after="0" w:line="240" w:lineRule="auto"/>
        <w:ind w:left="120" w:right="120"/>
        <w:jc w:val="left"/>
      </w:pPr>
      <w:r>
        <w:rPr>
          <w:rFonts w:ascii="Courier New" w:hAnsi="Courier New" w:cs="Courier New"/>
          <w:sz w:val="13"/>
          <w:szCs w:val="13"/>
        </w:rPr>
        <w:t xml:space="preserve">    for k in reversed(order):</w:t>
      </w:r>
    </w:p>
    <w:p>
      <w:pPr>
        <w:pStyle w:val="NoSpacing"/>
        <w:shd w:val="clear" w:color="auto" w:fill="F2F2F2"/>
        <w:spacing w:after="0" w:line="240" w:lineRule="auto"/>
        <w:ind w:left="120" w:right="120"/>
        <w:jc w:val="left"/>
      </w:pPr>
      <w:r>
        <w:rPr>
          <w:rFonts w:ascii="Courier New" w:hAnsi="Courier New" w:cs="Courier New"/>
          <w:sz w:val="13"/>
          <w:szCs w:val="13"/>
        </w:rPr>
        <w:t xml:space="preserve">        succ = [s for s in T if k in T[s][2]]</w:t>
      </w:r>
    </w:p>
    <w:p>
      <w:pPr>
        <w:pStyle w:val="NoSpacing"/>
        <w:shd w:val="clear" w:color="auto" w:fill="F2F2F2"/>
        <w:spacing w:after="0" w:line="240" w:lineRule="auto"/>
        <w:ind w:left="120" w:right="120"/>
        <w:jc w:val="left"/>
      </w:pPr>
      <w:r>
        <w:rPr>
          <w:rFonts w:ascii="Courier New" w:hAnsi="Courier New" w:cs="Courier New"/>
          <w:sz w:val="13"/>
          <w:szCs w:val="13"/>
        </w:rPr>
        <w:t xml:space="preserve">        LF[k] = min([LS[s] for s in succ], default=end); LS[k] = LF[k] - T[k][1]</w:t>
      </w:r>
    </w:p>
    <w:p>
      <w:pPr>
        <w:pStyle w:val="NoSpacing"/>
        <w:shd w:val="clear" w:color="auto" w:fill="F2F2F2"/>
        <w:spacing w:after="0" w:line="240" w:lineRule="auto"/>
        <w:ind w:left="120" w:right="120"/>
        <w:jc w:val="left"/>
      </w:pPr>
      <w:r>
        <w:rPr>
          <w:rFonts w:ascii="Courier New" w:hAnsi="Courier New" w:cs="Courier New"/>
          <w:sz w:val="13"/>
          <w:szCs w:val="13"/>
        </w:rPr>
        <w:t xml:space="preserve">    return ES, EF, LS, LF, {k: LS[k] - ES[k] for k in T}, end</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def date(w): return START + dt.timedelta(weeks=w)</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if __name__ == "__main__":</w:t>
      </w:r>
    </w:p>
    <w:p>
      <w:pPr>
        <w:pStyle w:val="NoSpacing"/>
        <w:shd w:val="clear" w:color="auto" w:fill="F2F2F2"/>
        <w:spacing w:after="0" w:line="240" w:lineRule="auto"/>
        <w:ind w:left="120" w:right="120"/>
        <w:jc w:val="left"/>
      </w:pPr>
      <w:r>
        <w:rPr>
          <w:rFonts w:ascii="Courier New" w:hAnsi="Courier New" w:cs="Courier New"/>
          <w:sz w:val="13"/>
          <w:szCs w:val="13"/>
        </w:rPr>
        <w:t xml:space="preserve">    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    ES, EF, LS, LF, FL, END = cpm(T)</w:t>
      </w:r>
    </w:p>
    <w:p>
      <w:pPr>
        <w:pStyle w:val="NoSpacing"/>
        <w:shd w:val="clear" w:color="auto" w:fill="F2F2F2"/>
        <w:spacing w:after="0" w:line="240" w:lineRule="auto"/>
        <w:ind w:left="120" w:right="120"/>
        <w:jc w:val="left"/>
      </w:pPr>
      <w:r>
        <w:rPr>
          <w:rFonts w:ascii="Courier New" w:hAnsi="Courier New" w:cs="Courier New"/>
          <w:sz w:val="13"/>
          <w:szCs w:val="13"/>
        </w:rPr>
        <w:t xml:space="preserve">    ids = sorted(T, key=lambda k: (ES[k], k)); n = len(ids)</w:t>
      </w:r>
    </w:p>
    <w:p>
      <w:pPr>
        <w:pStyle w:val="NoSpacing"/>
        <w:shd w:val="clear" w:color="auto" w:fill="F2F2F2"/>
        <w:spacing w:after="0" w:line="240" w:lineRule="auto"/>
        <w:ind w:left="120" w:right="120"/>
        <w:jc w:val="left"/>
      </w:pPr>
      <w:r>
        <w:rPr>
          <w:rFonts w:ascii="Courier New" w:hAnsi="Courier New" w:cs="Courier New"/>
          <w:sz w:val="13"/>
          <w:szCs w:val="13"/>
        </w:rPr>
        <w:t xml:space="preserve">    fig, ax = plt.subplots(figsize=(13, 8))</w:t>
      </w:r>
    </w:p>
    <w:p>
      <w:pPr>
        <w:pStyle w:val="NoSpacing"/>
        <w:shd w:val="clear" w:color="auto" w:fill="F2F2F2"/>
        <w:spacing w:after="0" w:line="240" w:lineRule="auto"/>
        <w:ind w:left="120" w:right="120"/>
        <w:jc w:val="left"/>
      </w:pPr>
      <w:r>
        <w:rPr>
          <w:rFonts w:ascii="Courier New" w:hAnsi="Courier New" w:cs="Courier New"/>
          <w:sz w:val="13"/>
          <w:szCs w:val="13"/>
        </w:rPr>
        <w:t xml:space="preserve">    for i, k in enumerate(ids):</w:t>
      </w:r>
    </w:p>
    <w:p>
      <w:pPr>
        <w:pStyle w:val="NoSpacing"/>
        <w:shd w:val="clear" w:color="auto" w:fill="F2F2F2"/>
        <w:spacing w:after="0" w:line="240" w:lineRule="auto"/>
        <w:ind w:left="120" w:right="120"/>
        <w:jc w:val="left"/>
      </w:pPr>
      <w:r>
        <w:rPr>
          <w:rFonts w:ascii="Courier New" w:hAnsi="Courier New" w:cs="Courier New"/>
          <w:sz w:val="13"/>
          <w:szCs w:val="13"/>
        </w:rPr>
        <w:t xml:space="preserve">        y = n - i; crit = FL[k] == 0</w:t>
      </w:r>
    </w:p>
    <w:p>
      <w:pPr>
        <w:pStyle w:val="NoSpacing"/>
        <w:shd w:val="clear" w:color="auto" w:fill="F2F2F2"/>
        <w:spacing w:after="0" w:line="240" w:lineRule="auto"/>
        <w:ind w:left="120" w:right="120"/>
        <w:jc w:val="left"/>
      </w:pPr>
      <w:r>
        <w:rPr>
          <w:rFonts w:ascii="Courier New" w:hAnsi="Courier New" w:cs="Courier New"/>
          <w:sz w:val="13"/>
          <w:szCs w:val="13"/>
        </w:rPr>
        <w:t xml:space="preserve">        ax.barh(y, T[k][1], left=ES[k], height=0.6, color="black" if crit else "#bfbfbf", edgecolor="black",</w:t>
      </w:r>
    </w:p>
    <w:p>
      <w:pPr>
        <w:pStyle w:val="NoSpacing"/>
        <w:shd w:val="clear" w:color="auto" w:fill="F2F2F2"/>
        <w:spacing w:after="0" w:line="240" w:lineRule="auto"/>
        <w:ind w:left="120" w:right="120"/>
        <w:jc w:val="left"/>
      </w:pPr>
      <w:r>
        <w:rPr>
          <w:rFonts w:ascii="Courier New" w:hAnsi="Courier New" w:cs="Courier New"/>
          <w:sz w:val="13"/>
          <w:szCs w:val="13"/>
        </w:rPr>
        <w:t xml:space="preserve">                hatch="" if crit else "", zorder=3)</w:t>
      </w:r>
    </w:p>
    <w:p>
      <w:pPr>
        <w:pStyle w:val="NoSpacing"/>
        <w:shd w:val="clear" w:color="auto" w:fill="F2F2F2"/>
        <w:spacing w:after="0" w:line="240" w:lineRule="auto"/>
        <w:ind w:left="120" w:right="120"/>
        <w:jc w:val="left"/>
      </w:pPr>
      <w:r>
        <w:rPr>
          <w:rFonts w:ascii="Courier New" w:hAnsi="Courier New" w:cs="Courier New"/>
          <w:sz w:val="13"/>
          <w:szCs w:val="13"/>
        </w:rPr>
        <w:t xml:space="preserve">        if FL[k] &gt; 0:</w:t>
      </w:r>
    </w:p>
    <w:p>
      <w:pPr>
        <w:pStyle w:val="NoSpacing"/>
        <w:shd w:val="clear" w:color="auto" w:fill="F2F2F2"/>
        <w:spacing w:after="0" w:line="240" w:lineRule="auto"/>
        <w:ind w:left="120" w:right="120"/>
        <w:jc w:val="left"/>
      </w:pPr>
      <w:r>
        <w:rPr>
          <w:rFonts w:ascii="Courier New" w:hAnsi="Courier New" w:cs="Courier New"/>
          <w:sz w:val="13"/>
          <w:szCs w:val="13"/>
        </w:rPr>
        <w:t xml:space="preserve">            ax.barh(y, FL[k], left=EF[k], height=0.25, color="white", edgecolor="black", hatch="////", zorder=2)</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ax.set_yticks([n - i for i in range(n)]); ax.set_yticklabels([f"{k}  {T[k][0]}" for k in ids],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 level-of-effort bar for monthly risk and tariff reviews (1.3)</w:t>
      </w:r>
    </w:p>
    <w:p>
      <w:pPr>
        <w:pStyle w:val="NoSpacing"/>
        <w:shd w:val="clear" w:color="auto" w:fill="F2F2F2"/>
        <w:spacing w:after="0" w:line="240" w:lineRule="auto"/>
        <w:ind w:left="120" w:right="120"/>
        <w:jc w:val="left"/>
      </w:pPr>
      <w:r>
        <w:rPr>
          <w:rFonts w:ascii="Courier New" w:hAnsi="Courier New" w:cs="Courier New"/>
          <w:sz w:val="13"/>
          <w:szCs w:val="13"/>
        </w:rPr>
        <w:t xml:space="preserve">    ax.barh(n + 1, END, left=0, height=0.35, color="white", edgecolor="black", hatch="..", zorder=3)</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ax.text(END / 2, n + 1, "1.3 Risk and tariff reviews (monthly, level of effort)", ha="center", va="center",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bbox=dict(fc="white", ec="none", pad=1), zorder=4)</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ax.set_yticks(list(ax.get_yticks()) + [n + 1]); ax.set_yticklabels(list(ax.get_yticklabels()[:-1]) + ["1.3  Risk management"],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for lab, k in MILESTONES.items():</w:t>
      </w:r>
    </w:p>
    <w:p>
      <w:pPr>
        <w:pStyle w:val="NoSpacing"/>
        <w:shd w:val="clear" w:color="auto" w:fill="F2F2F2"/>
        <w:spacing w:after="0" w:line="240" w:lineRule="auto"/>
        <w:ind w:left="120" w:right="120"/>
        <w:jc w:val="left"/>
      </w:pPr>
      <w:r>
        <w:rPr>
          <w:rFonts w:ascii="Courier New" w:hAnsi="Courier New" w:cs="Courier New"/>
          <w:sz w:val="13"/>
          <w:szCs w:val="13"/>
        </w:rPr>
        <w:t xml:space="preserve">        ax.scatter(EF[k], n + 0.2, marker="D", s=60, c="white", edgecolor="black", zorder=5)</w:t>
      </w:r>
    </w:p>
    <w:p>
      <w:pPr>
        <w:pStyle w:val="NoSpacing"/>
        <w:shd w:val="clear" w:color="auto" w:fill="F2F2F2"/>
        <w:spacing w:after="0" w:line="240" w:lineRule="auto"/>
        <w:ind w:left="120" w:right="120"/>
        <w:jc w:val="left"/>
      </w:pPr>
      <w:r>
        <w:rPr>
          <w:rFonts w:ascii="Courier New" w:hAnsi="Courier New" w:cs="Courier New"/>
          <w:sz w:val="13"/>
          <w:szCs w:val="13"/>
        </w:rPr>
        <w:t xml:space="preserve">        ax.axvline(EF[k], color="black", lw=0.6, ls=":", zorder=1)</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ax.text(EF[k] - 0.5 if k == "1.4" else EF[k] + 0.5, n + 0.55, lab.split(":")[0], fontsize=8, fontweight="bold", ha="right" if k == "1.4" else "left")</w:t>
      </w:r>
    </w:p>
    <w:p>
      <w:pPr>
        <w:pStyle w:val="NoSpacing"/>
        <w:shd w:val="clear" w:color="auto" w:fill="F2F2F2"/>
        <w:spacing w:after="0" w:line="240" w:lineRule="auto"/>
        <w:ind w:left="120" w:right="120"/>
        <w:jc w:val="left"/>
      </w:pPr>
      <w:r>
        <w:rPr>
          <w:rFonts w:ascii="Courier New" w:hAnsi="Courier New" w:cs="Courier New"/>
          <w:sz w:val="13"/>
          <w:szCs w:val="13"/>
        </w:rPr>
        <w:t xml:space="preserve">    ticks = list(range(0, END + 1, 13))</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ax.set_xticks(ticks); ax.set_xticklabels([f"wk {t}\n{date(t):%b %Y}" for t in ticks], fontsize=8)</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ax.set_xlim(0, END + 3); ax.set_ylim(0.2, n + 1.8); ax.grid(axis="x", color="#dddddd", zorder=0)</w:t>
      </w:r>
    </w:p>
    <w:p>
      <w:pPr>
        <w:pStyle w:val="NoSpacing"/>
        <w:shd w:val="clear" w:color="auto" w:fill="F2F2F2"/>
        <w:spacing w:after="0" w:line="240" w:lineRule="auto"/>
        <w:ind w:left="120" w:right="120"/>
        <w:jc w:val="left"/>
      </w:pPr>
      <w:r>
        <w:rPr>
          <w:rFonts w:ascii="Courier New" w:hAnsi="Courier New" w:cs="Courier New"/>
          <w:sz w:val="13"/>
          <w:szCs w:val="13"/>
        </w:rPr>
        <w:t xml:space="preserve">    ax.legend(handles=[Patch(fc="black", ec="black", label="Critical path (zero float)"),</w:t>
      </w:r>
    </w:p>
    <w:p>
      <w:pPr>
        <w:pStyle w:val="NoSpacing"/>
        <w:shd w:val="clear" w:color="auto" w:fill="F2F2F2"/>
        <w:spacing w:after="0" w:line="240" w:lineRule="auto"/>
        <w:ind w:left="120" w:right="120"/>
        <w:jc w:val="left"/>
      </w:pPr>
      <w:r>
        <w:rPr>
          <w:rFonts w:ascii="Courier New" w:hAnsi="Courier New" w:cs="Courier New"/>
          <w:sz w:val="13"/>
          <w:szCs w:val="13"/>
        </w:rPr>
        <w:t xml:space="preserve">                       Patch(fc="#bfbfbf", ec="black", label="Non-critical task"),</w:t>
      </w:r>
    </w:p>
    <w:p>
      <w:pPr>
        <w:pStyle w:val="NoSpacing"/>
        <w:shd w:val="clear" w:color="auto" w:fill="F2F2F2"/>
        <w:spacing w:after="0" w:line="240" w:lineRule="auto"/>
        <w:ind w:left="120" w:right="120"/>
        <w:jc w:val="left"/>
      </w:pPr>
      <w:r>
        <w:rPr>
          <w:rFonts w:ascii="Courier New" w:hAnsi="Courier New" w:cs="Courier New"/>
          <w:sz w:val="13"/>
          <w:szCs w:val="13"/>
        </w:rPr>
        <w:t xml:space="preserve">                       Patch(fc="white", ec="black", hatch="////", label="Float (slack)"),</w:t>
      </w:r>
    </w:p>
    <w:p>
      <w:pPr>
        <w:pStyle w:val="NoSpacing"/>
        <w:shd w:val="clear" w:color="auto" w:fill="F2F2F2"/>
        <w:spacing w:after="0" w:line="240" w:lineRule="auto"/>
        <w:ind w:left="120" w:right="120"/>
        <w:jc w:val="left"/>
      </w:pPr>
      <w:r>
        <w:rPr>
          <w:rFonts w:ascii="Courier New" w:hAnsi="Courier New" w:cs="Courier New"/>
          <w:sz w:val="13"/>
          <w:szCs w:val="13"/>
        </w:rPr>
        <w:t xml:space="preserve">                       Patch(fc="white", ec="black", hatch="..", label="Level of effort")], loc="upper center", bbox_to_anchor=(0.5, -0.09), ncol=4, fontsize=8, frameon=False)</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ax.set_title(f"Project FLEX: {END} weeks, {date(0):%d %b %Y} to {date(END):%d %b %Y}. "</w:t>
      </w:r>
    </w:p>
    <w:p>
      <w:pPr>
        <w:pStyle w:val="NoSpacing"/>
        <w:shd w:val="clear" w:color="auto" w:fill="F2F2F2"/>
        <w:spacing w:after="0" w:line="240" w:lineRule="auto"/>
        <w:ind w:left="120" w:right="120"/>
        <w:jc w:val="left"/>
      </w:pPr>
      <w:r>
        <w:rPr>
          <w:rFonts w:ascii="Courier New" w:hAnsi="Courier New" w:cs="Courier New"/>
          <w:sz w:val="13"/>
          <w:szCs w:val="13"/>
        </w:rPr>
        <w:t xml:space="preserve">                 "PERT for 3.3: O=18, M=24, P=36, expected 25 weeks, sd 3", fontsize=9.5)</w:t>
      </w:r>
    </w:p>
    <w:p>
      <w:pPr>
        <w:pStyle w:val="NoSpacing"/>
        <w:shd w:val="clear" w:color="auto" w:fill="F2F2F2"/>
        <w:spacing w:after="0" w:line="240" w:lineRule="auto"/>
        <w:ind w:left="120" w:right="120"/>
        <w:jc w:val="left"/>
      </w:pPr>
      <w:r>
        <w:rPr>
          <w:rFonts w:ascii="Courier New" w:hAnsi="Courier New" w:cs="Courier New"/>
          <w:sz w:val="13"/>
          <w:szCs w:val="13"/>
        </w:rPr>
        <w:t xml:space="preserve">    plt.tight_layout(); plt.savefig("fig5_gantt_cpm.png", dpi=200, facecolor="white")</w:t>
      </w:r>
    </w:p>
    <w:p>
      <w:pPr>
        <w:pStyle w:val="NoSpacing"/>
        <w:shd w:val="clear" w:color="auto" w:fill="F2F2F2"/>
        <w:spacing w:after="0" w:line="240" w:lineRule="auto"/>
        <w:ind w:left="120" w:right="120"/>
        <w:jc w:val="left"/>
      </w:pPr>
      <w:r>
        <w:rPr>
          <w:rFonts w:ascii="Courier New" w:hAnsi="Courier New" w:cs="Courier New"/>
          <w:sz w:val="13"/>
          <w:szCs w:val="13"/>
        </w:rPr>
        <w:t xml:space="preserve">    print("END", END, [k for k in ids if FL[k] == 0])</w:t>
      </w:r>
    </w:p>
    <w:p>
      <w:pPr>
        <w:pStyle w:val="NoSpacing"/>
        <w:spacing w:after="200" w:before="60"/>
        <w:jc w:val="left"/>
      </w:pPr>
      <w:r>
        <w:rPr>
          <w:rFonts w:ascii="Arial" w:hAnsi="Arial" w:cs="Arial"/>
          <w:i/>
          <w:sz w:val="16"/>
          <w:szCs w:val="16"/>
        </w:rPr>
        <w:t xml:space="preserve">Source: author's schedule; critical path computed in the script (Kelley and Walker, 1959). Durations are planning assumptions.</w:t>
      </w:r>
    </w:p>
    <w:p>
      <w:pPr>
        <w:pStyle w:val="NoSpacing"/>
        <w:spacing w:after="120"/>
      </w:pPr>
      <w:r>
        <w:rPr>
          <w:rFonts w:ascii="Arial" w:hAnsi="Arial" w:cs="Arial"/>
        </w:rPr>
        <w:t xml:space="preserve">Figure 6 plots ten risks on a 5 by 5 matrix of probability and impact (ISO, 2018). The author scored them, so the scores are subjective. A one-point rise in the probability of R4 or R5 would match R3's score of 15, so the register is reviewed monthly. Expected monetary value (probability multiplied by cost impact; PMI, 2021) ranks the top three: R1, trials slip or fail (€0.90m); R3, tariff rules change mid-project (€0.72m); and R2, factories resist data sharing (€0.60m). Together that is €2.22m before responses.</w:t>
      </w:r>
    </w:p>
    <w:p>
      <w:pPr>
        <w:pStyle w:val="NoSpacing"/>
        <w:spacing w:after="120"/>
      </w:pPr>
      <w:r>
        <w:rPr>
          <w:rFonts w:ascii="Arial" w:hAnsi="Arial" w:cs="Arial"/>
        </w:rPr>
        <w:t xml:space="preserve">Responses cut it to €1.08m: R1 through extra candidate factories and the buffer 1.3B; R2 through a data-sharing clause, workshops (5.2) and onboarding (2.3); R3 through the monthly tariff review (1.3) and the switching playbook (4.2). Residual exposure slightly exceeds the €1.0m reserve, so if all three occurred, scope would be trimmed to hold the budget. The full register, owners and rationale are in Appendix C.</w:t>
      </w:r>
    </w:p>
    <w:p>
      <w:pPr>
        <w:pStyle w:val="Caption"/>
      </w:pPr>
      <w:r>
        <w:t xml:space="preserve">Figure 6: The three largest risks fall from €2.22m to €1.08m of expected cost after responses</w:t>
      </w:r>
    </w:p>
    <w:p>
      <w:pPr>
        <w:pStyle w:val="NoSpacing"/>
        <w:spacing w:after="60"/>
        <w:jc w:val="left"/>
      </w:pPr>
      <w:r>
        <w:rPr>
          <w:rFonts w:ascii="Arial" w:hAnsi="Arial" w:cs="Arial"/>
          <w:i/>
          <w:sz w:val="16"/>
          <w:szCs w:val="16"/>
        </w:rPr>
        <w:t xml:space="preserve">Code in place of the figure (Python 3 with matplotlib). Save as fig6_risk_heatmap.py, run it with python fig6_risk_heatmap.py, and insert the PNG it produces here, replacing this code block.</w:t>
      </w:r>
    </w:p>
    <w:p>
      <w:pPr>
        <w:pStyle w:val="NoSpacing"/>
        <w:shd w:val="clear" w:color="auto" w:fill="F2F2F2"/>
        <w:spacing w:after="0" w:line="240" w:lineRule="auto"/>
        <w:ind w:left="120" w:right="120"/>
        <w:jc w:val="left"/>
      </w:pPr>
      <w:r>
        <w:rPr>
          <w:rFonts w:ascii="Courier New" w:hAnsi="Courier New" w:cs="Courier New"/>
          <w:sz w:val="13"/>
          <w:szCs w:val="13"/>
        </w:rPr>
        <w:t xml:space="preserve">"""Figure 6 - 5x5 probability-impact heat map with inherent (circle) and residual (square) positions.</w:t>
      </w:r>
    </w:p>
    <w:p>
      <w:pPr>
        <w:pStyle w:val="NoSpacing"/>
        <w:shd w:val="clear" w:color="auto" w:fill="F2F2F2"/>
        <w:spacing w:after="0" w:line="240" w:lineRule="auto"/>
        <w:ind w:left="120" w:right="120"/>
        <w:jc w:val="left"/>
      </w:pPr>
      <w:r>
        <w:rPr>
          <w:rFonts w:ascii="Courier New" w:hAnsi="Courier New" w:cs="Courier New"/>
          <w:sz w:val="13"/>
          <w:szCs w:val="13"/>
        </w:rPr>
        <w:t xml:space="preserve">Probability score to % : 1=10, 2=25, 3=40, 4=60, 5=80. EMV = probability % x cost impact (EUR m)."""</w:t>
      </w:r>
    </w:p>
    <w:p>
      <w:pPr>
        <w:pStyle w:val="NoSpacing"/>
        <w:shd w:val="clear" w:color="auto" w:fill="F2F2F2"/>
        <w:spacing w:after="0" w:line="240" w:lineRule="auto"/>
        <w:ind w:left="120" w:right="120"/>
        <w:jc w:val="left"/>
      </w:pPr>
      <w:r>
        <w:rPr>
          <w:rFonts w:ascii="Courier New" w:hAnsi="Courier New" w:cs="Courier New"/>
          <w:sz w:val="13"/>
          <w:szCs w:val="13"/>
        </w:rPr>
        <w:t xml:space="preserve">import matplotlib.pyplot as plt</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PROB = {1: .10, 2: .25, 3: .40, 4: .60, 5: .80}</w:t>
      </w:r>
    </w:p>
    <w:p>
      <w:pPr>
        <w:pStyle w:val="NoSpacing"/>
        <w:shd w:val="clear" w:color="auto" w:fill="F2F2F2"/>
        <w:spacing w:after="0" w:line="240" w:lineRule="auto"/>
        <w:ind w:left="120" w:right="120"/>
        <w:jc w:val="left"/>
      </w:pPr>
      <w:r>
        <w:rPr>
          <w:rFonts w:ascii="Courier New" w:hAnsi="Courier New" w:cs="Courier New"/>
          <w:sz w:val="13"/>
          <w:szCs w:val="13"/>
        </w:rPr>
        <w:t xml:space="preserve"># id: (risk, P, I, residual P, residual I, cost impact EUR m, owner, response, linked task)</w:t>
      </w:r>
    </w:p>
    <w:p>
      <w:pPr>
        <w:pStyle w:val="NoSpacing"/>
        <w:shd w:val="clear" w:color="auto" w:fill="F2F2F2"/>
        <w:spacing w:after="0" w:line="240" w:lineRule="auto"/>
        <w:ind w:left="120" w:right="120"/>
        <w:jc w:val="left"/>
      </w:pPr>
      <w:r>
        <w:rPr>
          <w:rFonts w:ascii="Courier New" w:hAnsi="Courier New" w:cs="Courier New"/>
          <w:sz w:val="13"/>
          <w:szCs w:val="13"/>
        </w:rPr>
        <w:t xml:space="preserve">R = {</w:t>
      </w:r>
    </w:p>
    <w:p>
      <w:pPr>
        <w:pStyle w:val="NoSpacing"/>
        <w:shd w:val="clear" w:color="auto" w:fill="F2F2F2"/>
        <w:spacing w:after="0" w:line="240" w:lineRule="auto"/>
        <w:ind w:left="120" w:right="120"/>
        <w:jc w:val="left"/>
      </w:pPr>
      <w:r>
        <w:rPr>
          <w:rFonts w:ascii="Courier New" w:hAnsi="Courier New" w:cs="Courier New"/>
          <w:sz w:val="13"/>
          <w:szCs w:val="13"/>
        </w:rPr>
        <w:t xml:space="preserve">    "R1":  ("Second-source trials slip or fail", 4, 4, 2, 4, 1.5, "Head of Sourcing", "Extra candidates; 4-week buffer", "3.3, 1.3B"),</w:t>
      </w:r>
    </w:p>
    <w:p>
      <w:pPr>
        <w:pStyle w:val="NoSpacing"/>
        <w:shd w:val="clear" w:color="auto" w:fill="F2F2F2"/>
        <w:spacing w:after="0" w:line="240" w:lineRule="auto"/>
        <w:ind w:left="120" w:right="120"/>
        <w:jc w:val="left"/>
      </w:pPr>
      <w:r>
        <w:rPr>
          <w:rFonts w:ascii="Courier New" w:hAnsi="Courier New" w:cs="Courier New"/>
          <w:sz w:val="13"/>
          <w:szCs w:val="13"/>
        </w:rPr>
        <w:t xml:space="preserve">    "R2":  ("Factories resist data sharing", 4, 4, 2, 4, 1.0, "Supplier Relations", "Contract clause; workshops; incentives", "2.3, 5.2"),</w:t>
      </w:r>
    </w:p>
    <w:p>
      <w:pPr>
        <w:pStyle w:val="NoSpacing"/>
        <w:shd w:val="clear" w:color="auto" w:fill="F2F2F2"/>
        <w:spacing w:after="0" w:line="240" w:lineRule="auto"/>
        <w:ind w:left="120" w:right="120"/>
        <w:jc w:val="left"/>
      </w:pPr>
      <w:r>
        <w:rPr>
          <w:rFonts w:ascii="Courier New" w:hAnsi="Courier New" w:cs="Courier New"/>
          <w:sz w:val="13"/>
          <w:szCs w:val="13"/>
        </w:rPr>
        <w:t xml:space="preserve">    "R3":  ("US tariff rules change mid-project", 3, 5, 2, 5, 1.8, "Trade Compliance", "Monthly review; scope reserve", "1.3, 4.2"),</w:t>
      </w:r>
    </w:p>
    <w:p>
      <w:pPr>
        <w:pStyle w:val="NoSpacing"/>
        <w:shd w:val="clear" w:color="auto" w:fill="F2F2F2"/>
        <w:spacing w:after="0" w:line="240" w:lineRule="auto"/>
        <w:ind w:left="120" w:right="120"/>
        <w:jc w:val="left"/>
      </w:pPr>
      <w:r>
        <w:rPr>
          <w:rFonts w:ascii="Courier New" w:hAnsi="Courier New" w:cs="Courier New"/>
          <w:sz w:val="13"/>
          <w:szCs w:val="13"/>
        </w:rPr>
        <w:t xml:space="preserve">    "R4":  ("Platform integration overruns", 3, 4, 2, 4, 0.8, "IT Programme Lead", "Phased go-live; fixed-price build", "2.2"),</w:t>
      </w:r>
    </w:p>
    <w:p>
      <w:pPr>
        <w:pStyle w:val="NoSpacing"/>
        <w:shd w:val="clear" w:color="auto" w:fill="F2F2F2"/>
        <w:spacing w:after="0" w:line="240" w:lineRule="auto"/>
        <w:ind w:left="120" w:right="120"/>
        <w:jc w:val="left"/>
      </w:pPr>
      <w:r>
        <w:rPr>
          <w:rFonts w:ascii="Courier New" w:hAnsi="Courier New" w:cs="Courier New"/>
          <w:sz w:val="13"/>
          <w:szCs w:val="13"/>
        </w:rPr>
        <w:t xml:space="preserve">    "R5":  ("New factory fails labour audit", 3, 4, 2, 4, 0.7, "Sustainability Lead", "Audit before trial; remediation plan", "3.2"),</w:t>
      </w:r>
    </w:p>
    <w:p>
      <w:pPr>
        <w:pStyle w:val="NoSpacing"/>
        <w:shd w:val="clear" w:color="auto" w:fill="F2F2F2"/>
        <w:spacing w:after="0" w:line="240" w:lineRule="auto"/>
        <w:ind w:left="120" w:right="120"/>
        <w:jc w:val="left"/>
      </w:pPr>
      <w:r>
        <w:rPr>
          <w:rFonts w:ascii="Courier New" w:hAnsi="Courier New" w:cs="Courier New"/>
          <w:sz w:val="13"/>
          <w:szCs w:val="13"/>
        </w:rPr>
        <w:t xml:space="preserve">    "R6":  ("Sourcing team capacity or change fatigue", 3, 3, 2, 3, 0.4, "HR Business Partner", "Backfill; training", "5.1"),</w:t>
      </w:r>
    </w:p>
    <w:p>
      <w:pPr>
        <w:pStyle w:val="NoSpacing"/>
        <w:shd w:val="clear" w:color="auto" w:fill="F2F2F2"/>
        <w:spacing w:after="0" w:line="240" w:lineRule="auto"/>
        <w:ind w:left="120" w:right="120"/>
        <w:jc w:val="left"/>
      </w:pPr>
      <w:r>
        <w:rPr>
          <w:rFonts w:ascii="Courier New" w:hAnsi="Courier New" w:cs="Courier New"/>
          <w:sz w:val="13"/>
          <w:szCs w:val="13"/>
        </w:rPr>
        <w:t xml:space="preserve">    "R7":  ("Platform vendor fails or locks in", 2, 4, 1, 4, 0.6, "Procurement", "Escrow; exit clause", "2.1"),</w:t>
      </w:r>
    </w:p>
    <w:p>
      <w:pPr>
        <w:pStyle w:val="NoSpacing"/>
        <w:shd w:val="clear" w:color="auto" w:fill="F2F2F2"/>
        <w:spacing w:after="0" w:line="240" w:lineRule="auto"/>
        <w:ind w:left="120" w:right="120"/>
        <w:jc w:val="left"/>
      </w:pPr>
      <w:r>
        <w:rPr>
          <w:rFonts w:ascii="Courier New" w:hAnsi="Courier New" w:cs="Courier New"/>
          <w:sz w:val="13"/>
          <w:szCs w:val="13"/>
        </w:rPr>
        <w:t xml:space="preserve">    "R8":  ("Sensitive supplier data breach", 2, 5, 1, 5, 0.9, "CISO", "Access controls; audit", "2.2"),</w:t>
      </w:r>
    </w:p>
    <w:p>
      <w:pPr>
        <w:pStyle w:val="NoSpacing"/>
        <w:shd w:val="clear" w:color="auto" w:fill="F2F2F2"/>
        <w:spacing w:after="0" w:line="240" w:lineRule="auto"/>
        <w:ind w:left="120" w:right="120"/>
        <w:jc w:val="left"/>
      </w:pPr>
      <w:r>
        <w:rPr>
          <w:rFonts w:ascii="Courier New" w:hAnsi="Courier New" w:cs="Courier New"/>
          <w:sz w:val="13"/>
          <w:szCs w:val="13"/>
        </w:rPr>
        <w:t xml:space="preserve">    "R9":  ("Audit and trial cost inflation", 3, 3, 2, 3, 0.4, "Finance Partner", "Fixed-price audits; reserve", "1.3"),</w:t>
      </w:r>
    </w:p>
    <w:p>
      <w:pPr>
        <w:pStyle w:val="NoSpacing"/>
        <w:shd w:val="clear" w:color="auto" w:fill="F2F2F2"/>
        <w:spacing w:after="0" w:line="240" w:lineRule="auto"/>
        <w:ind w:left="120" w:right="120"/>
        <w:jc w:val="left"/>
      </w:pPr>
      <w:r>
        <w:rPr>
          <w:rFonts w:ascii="Courier New" w:hAnsi="Courier New" w:cs="Courier New"/>
          <w:sz w:val="13"/>
          <w:szCs w:val="13"/>
        </w:rPr>
        <w:t xml:space="preserve">    "R10": ("Freight disruption delays trial shipments", 3, 3, 2, 3, 0.4, "Logistics Lead", "Air-freight samples; buffer stock", "3.3"),</w:t>
      </w:r>
    </w:p>
    <w:p>
      <w:pPr>
        <w:pStyle w:val="NoSpacing"/>
        <w:shd w:val="clear" w:color="auto" w:fill="F2F2F2"/>
        <w:spacing w:after="0" w:line="240" w:lineRule="auto"/>
        <w:ind w:left="120" w:right="120"/>
        <w:jc w:val="left"/>
      </w:pPr>
      <w:r>
        <w:rPr>
          <w:rFonts w:ascii="Courier New" w:hAnsi="Courier New" w:cs="Courier New"/>
          <w:sz w:val="13"/>
          <w:szCs w:val="13"/>
        </w:rPr>
        <w:t xml:space="preserve">}</w:t>
      </w:r>
    </w:p>
    <w:p>
      <w:pPr>
        <w:pStyle w:val="NoSpacing"/>
        <w:shd w:val="clear" w:color="auto" w:fill="F2F2F2"/>
        <w:spacing w:after="0" w:line="240" w:lineRule="auto"/>
        <w:ind w:left="120" w:right="120"/>
        <w:jc w:val="left"/>
      </w:pPr>
      <w:r>
        <w:rPr>
          <w:rFonts w:ascii="Courier New" w:hAnsi="Courier New" w:cs="Courier New"/>
          <w:sz w:val="13"/>
          <w:szCs w:val="13"/>
        </w:rPr>
        <w:t xml:space="preserve">def emv(r, residual=False):</w:t>
      </w:r>
    </w:p>
    <w:p>
      <w:pPr>
        <w:pStyle w:val="NoSpacing"/>
        <w:shd w:val="clear" w:color="auto" w:fill="F2F2F2"/>
        <w:spacing w:after="0" w:line="240" w:lineRule="auto"/>
        <w:ind w:left="120" w:right="120"/>
        <w:jc w:val="left"/>
      </w:pPr>
      <w:r>
        <w:rPr>
          <w:rFonts w:ascii="Courier New" w:hAnsi="Courier New" w:cs="Courier New"/>
          <w:sz w:val="13"/>
          <w:szCs w:val="13"/>
        </w:rPr>
        <w:t xml:space="preserve">    p, i = (r[3], r[4]) if residual else (r[1], r[2]); return PROB[p] * r[5]</w:t>
      </w:r>
    </w:p>
    <w:p>
      <w:pPr>
        <w:pStyle w:val="NoSpacing"/>
        <w:shd w:val="clear" w:color="auto" w:fill="F2F2F2"/>
        <w:spacing w:after="0" w:line="240" w:lineRule="auto"/>
        <w:ind w:left="120" w:right="120"/>
        <w:jc w:val="left"/>
      </w:pPr>
      <w:r>
        <w:rPr>
          <w:rFonts w:ascii="Courier New" w:hAnsi="Courier New" w:cs="Courier New"/>
          <w:sz w:val="13"/>
          <w:szCs w:val="13"/>
        </w:rPr>
        <w:t xml:space="preserve">def score(r): return r[1] * r[2]</w:t>
      </w:r>
    </w:p>
    <w:p>
      <w:pPr>
        <w:pStyle w:val="NoSpacing"/>
        <w:shd w:val="clear" w:color="auto" w:fill="F2F2F2"/>
        <w:spacing w:after="0" w:line="240" w:lineRule="auto"/>
        <w:ind w:left="120" w:right="120"/>
        <w:jc w:val="left"/>
      </w:pPr>
      <w:r>
        <w:rPr>
          <w:rFonts w:ascii="Courier New" w:hAnsi="Courier New" w:cs="Courier New"/>
          <w:sz w:val="13"/>
          <w:szCs w:val="13"/>
        </w:rPr>
        <w:t xml:space="preserve"> </w:t>
      </w:r>
    </w:p>
    <w:p>
      <w:pPr>
        <w:pStyle w:val="NoSpacing"/>
        <w:shd w:val="clear" w:color="auto" w:fill="F2F2F2"/>
        <w:spacing w:after="0" w:line="240" w:lineRule="auto"/>
        <w:ind w:left="120" w:right="120"/>
        <w:jc w:val="left"/>
      </w:pPr>
      <w:r>
        <w:rPr>
          <w:rFonts w:ascii="Courier New" w:hAnsi="Courier New" w:cs="Courier New"/>
          <w:sz w:val="13"/>
          <w:szCs w:val="13"/>
        </w:rPr>
        <w:t xml:space="preserve">if __name__ == "__main__":</w:t>
      </w:r>
    </w:p>
    <w:p>
      <w:pPr>
        <w:pStyle w:val="NoSpacing"/>
        <w:shd w:val="clear" w:color="auto" w:fill="F2F2F2"/>
        <w:spacing w:after="0" w:line="240" w:lineRule="auto"/>
        <w:ind w:left="120" w:right="120"/>
        <w:jc w:val="left"/>
      </w:pPr>
      <w:r>
        <w:rPr>
          <w:rFonts w:ascii="Courier New" w:hAnsi="Courier New" w:cs="Courier New"/>
          <w:sz w:val="13"/>
          <w:szCs w:val="13"/>
        </w:rPr>
        <w:t xml:space="preserve">    plt.rcParams["font.family"] = ["DejaVu Sans"]</w:t>
      </w:r>
    </w:p>
    <w:p>
      <w:pPr>
        <w:pStyle w:val="NoSpacing"/>
        <w:shd w:val="clear" w:color="auto" w:fill="F2F2F2"/>
        <w:spacing w:after="0" w:line="240" w:lineRule="auto"/>
        <w:ind w:left="120" w:right="120"/>
        <w:jc w:val="left"/>
      </w:pPr>
      <w:r>
        <w:rPr>
          <w:rFonts w:ascii="Courier New" w:hAnsi="Courier New" w:cs="Courier New"/>
          <w:sz w:val="13"/>
          <w:szCs w:val="13"/>
        </w:rPr>
        <w:t xml:space="preserve">    fig, ax = plt.subplots(figsize=(8.5, 7.2))</w:t>
      </w:r>
    </w:p>
    <w:p>
      <w:pPr>
        <w:pStyle w:val="NoSpacing"/>
        <w:shd w:val="clear" w:color="auto" w:fill="F2F2F2"/>
        <w:spacing w:after="0" w:line="240" w:lineRule="auto"/>
        <w:ind w:left="120" w:right="120"/>
        <w:jc w:val="left"/>
      </w:pPr>
      <w:r>
        <w:rPr>
          <w:rFonts w:ascii="Courier New" w:hAnsi="Courier New" w:cs="Courier New"/>
          <w:sz w:val="13"/>
          <w:szCs w:val="13"/>
        </w:rPr>
        <w:t xml:space="preserve">    shades = {range(1, 5): "#f2f2f2", range(5, 10): "#d9d9d9", range(10, 15): "#a6a6a6", range(15, 26): "#595959"}</w:t>
      </w:r>
    </w:p>
    <w:p>
      <w:pPr>
        <w:pStyle w:val="NoSpacing"/>
        <w:shd w:val="clear" w:color="auto" w:fill="F2F2F2"/>
        <w:spacing w:after="0" w:line="240" w:lineRule="auto"/>
        <w:ind w:left="120" w:right="120"/>
        <w:jc w:val="left"/>
      </w:pPr>
      <w:r>
        <w:rPr>
          <w:rFonts w:ascii="Courier New" w:hAnsi="Courier New" w:cs="Courier New"/>
          <w:sz w:val="13"/>
          <w:szCs w:val="13"/>
        </w:rPr>
        <w:t xml:space="preserve">    for p in range(1, 6):</w:t>
      </w:r>
    </w:p>
    <w:p>
      <w:pPr>
        <w:pStyle w:val="NoSpacing"/>
        <w:shd w:val="clear" w:color="auto" w:fill="F2F2F2"/>
        <w:spacing w:after="0" w:line="240" w:lineRule="auto"/>
        <w:ind w:left="120" w:right="120"/>
        <w:jc w:val="left"/>
      </w:pPr>
      <w:r>
        <w:rPr>
          <w:rFonts w:ascii="Courier New" w:hAnsi="Courier New" w:cs="Courier New"/>
          <w:sz w:val="13"/>
          <w:szCs w:val="13"/>
        </w:rPr>
        <w:t xml:space="preserve">        for i in range(1, 6):</w:t>
      </w:r>
    </w:p>
    <w:p>
      <w:pPr>
        <w:pStyle w:val="NoSpacing"/>
        <w:shd w:val="clear" w:color="auto" w:fill="F2F2F2"/>
        <w:spacing w:after="0" w:line="240" w:lineRule="auto"/>
        <w:ind w:left="120" w:right="120"/>
        <w:jc w:val="left"/>
      </w:pPr>
      <w:r>
        <w:rPr>
          <w:rFonts w:ascii="Courier New" w:hAnsi="Courier New" w:cs="Courier New"/>
          <w:sz w:val="13"/>
          <w:szCs w:val="13"/>
        </w:rPr>
        <w:t xml:space="preserve">            s = p * i; c = next(v for k, v in shades.items() if s in k)</w:t>
      </w:r>
    </w:p>
    <w:p>
      <w:pPr>
        <w:pStyle w:val="NoSpacing"/>
        <w:shd w:val="clear" w:color="auto" w:fill="F2F2F2"/>
        <w:spacing w:after="0" w:line="240" w:lineRule="auto"/>
        <w:ind w:left="120" w:right="120"/>
        <w:jc w:val="left"/>
      </w:pPr>
      <w:r>
        <w:rPr>
          <w:rFonts w:ascii="Courier New" w:hAnsi="Courier New" w:cs="Courier New"/>
          <w:sz w:val="13"/>
          <w:szCs w:val="13"/>
        </w:rPr>
        <w:t xml:space="preserve">            ax.add_patch(plt.Rectangle((i - .5, p - .5), 1, 1, fc=c, ec="white", lw=2))</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ax.text(i + .4, p - .42, str(s), ha="right", va="bottom", fontsize=7, color="white" if s &gt;= 15 else "#333333")</w:t>
      </w:r>
    </w:p>
    <w:p>
      <w:pPr>
        <w:pStyle w:val="NoSpacing"/>
        <w:shd w:val="clear" w:color="auto" w:fill="F2F2F2"/>
        <w:spacing w:after="0" w:line="240" w:lineRule="auto"/>
        <w:ind w:left="120" w:right="120"/>
        <w:jc w:val="left"/>
      </w:pPr>
      <w:r>
        <w:rPr>
          <w:rFonts w:ascii="Courier New" w:hAnsi="Courier New" w:cs="Courier New"/>
          <w:sz w:val="13"/>
          <w:szCs w:val="13"/>
        </w:rPr>
        <w:t xml:space="preserve">    from collections import defaultdict</w:t>
      </w:r>
    </w:p>
    <w:p>
      <w:pPr>
        <w:pStyle w:val="NoSpacing"/>
        <w:shd w:val="clear" w:color="auto" w:fill="F2F2F2"/>
        <w:spacing w:after="0" w:line="240" w:lineRule="auto"/>
        <w:ind w:left="120" w:right="120"/>
        <w:jc w:val="left"/>
      </w:pPr>
      <w:r>
        <w:rPr>
          <w:rFonts w:ascii="Courier New" w:hAnsi="Courier New" w:cs="Courier New"/>
          <w:sz w:val="13"/>
          <w:szCs w:val="13"/>
        </w:rPr>
        <w:t xml:space="preserve">    def place(idx, which):</w:t>
      </w:r>
    </w:p>
    <w:p>
      <w:pPr>
        <w:pStyle w:val="NoSpacing"/>
        <w:shd w:val="clear" w:color="auto" w:fill="F2F2F2"/>
        <w:spacing w:after="0" w:line="240" w:lineRule="auto"/>
        <w:ind w:left="120" w:right="120"/>
        <w:jc w:val="left"/>
      </w:pPr>
      <w:r>
        <w:rPr>
          <w:rFonts w:ascii="Courier New" w:hAnsi="Courier New" w:cs="Courier New"/>
          <w:sz w:val="13"/>
          <w:szCs w:val="13"/>
        </w:rPr>
        <w:t xml:space="preserve">        cell = defaultdict(list)</w:t>
      </w:r>
    </w:p>
    <w:p>
      <w:pPr>
        <w:pStyle w:val="NoSpacing"/>
        <w:shd w:val="clear" w:color="auto" w:fill="F2F2F2"/>
        <w:spacing w:after="0" w:line="240" w:lineRule="auto"/>
        <w:ind w:left="120" w:right="120"/>
        <w:jc w:val="left"/>
      </w:pPr>
      <w:r>
        <w:rPr>
          <w:rFonts w:ascii="Courier New" w:hAnsi="Courier New" w:cs="Courier New"/>
          <w:sz w:val="13"/>
          <w:szCs w:val="13"/>
        </w:rPr>
        <w:t xml:space="preserve">        for k, r in R.items(): cell[(r[idx[0]], r[idx[1]])].append(k)</w:t>
      </w:r>
    </w:p>
    <w:p>
      <w:pPr>
        <w:pStyle w:val="NoSpacing"/>
        <w:shd w:val="clear" w:color="auto" w:fill="F2F2F2"/>
        <w:spacing w:after="0" w:line="240" w:lineRule="auto"/>
        <w:ind w:left="120" w:right="120"/>
        <w:jc w:val="left"/>
      </w:pPr>
      <w:r>
        <w:rPr>
          <w:rFonts w:ascii="Courier New" w:hAnsi="Courier New" w:cs="Courier New"/>
          <w:sz w:val="13"/>
          <w:szCs w:val="13"/>
        </w:rPr>
        <w:t xml:space="preserve">        for (i, p), ks in cell.items():</w:t>
      </w:r>
    </w:p>
    <w:p>
      <w:pPr>
        <w:pStyle w:val="NoSpacing"/>
        <w:shd w:val="clear" w:color="auto" w:fill="F2F2F2"/>
        <w:spacing w:after="0" w:line="240" w:lineRule="auto"/>
        <w:ind w:left="120" w:right="120"/>
        <w:jc w:val="left"/>
      </w:pPr>
      <w:r>
        <w:rPr>
          <w:rFonts w:ascii="Courier New" w:hAnsi="Courier New" w:cs="Courier New"/>
          <w:sz w:val="13"/>
          <w:szCs w:val="13"/>
        </w:rPr>
        <w:t xml:space="preserve">            for n, k in enumerate(ks):</w:t>
      </w:r>
    </w:p>
    <w:p>
      <w:pPr>
        <w:pStyle w:val="NoSpacing"/>
        <w:shd w:val="clear" w:color="auto" w:fill="F2F2F2"/>
        <w:spacing w:after="0" w:line="240" w:lineRule="auto"/>
        <w:ind w:left="120" w:right="120"/>
        <w:jc w:val="left"/>
      </w:pPr>
      <w:r>
        <w:rPr>
          <w:rFonts w:ascii="Courier New" w:hAnsi="Courier New" w:cs="Courier New"/>
          <w:sz w:val="13"/>
          <w:szCs w:val="13"/>
        </w:rPr>
        <w:t xml:space="preserve">                x = i + (n - (len(ks) - 1) / 2) * 0.24</w:t>
      </w:r>
    </w:p>
    <w:p>
      <w:pPr>
        <w:pStyle w:val="NoSpacing"/>
        <w:shd w:val="clear" w:color="auto" w:fill="F2F2F2"/>
        <w:spacing w:after="0" w:line="240" w:lineRule="auto"/>
        <w:ind w:left="120" w:right="120"/>
        <w:jc w:val="left"/>
      </w:pPr>
      <w:r>
        <w:rPr>
          <w:rFonts w:ascii="Courier New" w:hAnsi="Courier New" w:cs="Courier New"/>
          <w:sz w:val="13"/>
          <w:szCs w:val="13"/>
        </w:rPr>
        <w:t xml:space="preserve">                if which == "inh":</w:t>
      </w:r>
    </w:p>
    <w:p>
      <w:pPr>
        <w:pStyle w:val="NoSpacing"/>
        <w:shd w:val="clear" w:color="auto" w:fill="F2F2F2"/>
        <w:spacing w:after="0" w:line="240" w:lineRule="auto"/>
        <w:ind w:left="120" w:right="120"/>
        <w:jc w:val="left"/>
      </w:pPr>
      <w:r>
        <w:rPr>
          <w:rFonts w:ascii="Courier New" w:hAnsi="Courier New" w:cs="Courier New"/>
          <w:sz w:val="13"/>
          <w:szCs w:val="13"/>
        </w:rPr>
        <w:t xml:space="preserve">                    ax.scatter(x, p + .12, s=300, marker="o", fc="white", ec="black", lw=1.4, zorder=4)</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p + .12, k[1:], ha="center", va="center", fontsize=7.5, fontweight="bold", zorder=5)</w:t>
      </w:r>
    </w:p>
    <w:p>
      <w:pPr>
        <w:pStyle w:val="NoSpacing"/>
        <w:shd w:val="clear" w:color="auto" w:fill="F2F2F2"/>
        <w:spacing w:after="0" w:line="240" w:lineRule="auto"/>
        <w:ind w:left="120" w:right="120"/>
        <w:jc w:val="left"/>
      </w:pPr>
      <w:r>
        <w:rPr>
          <w:rFonts w:ascii="Courier New" w:hAnsi="Courier New" w:cs="Courier New"/>
          <w:sz w:val="13"/>
          <w:szCs w:val="13"/>
        </w:rPr>
        <w:t xml:space="preserve">                else:</w:t>
      </w:r>
    </w:p>
    <w:p>
      <w:pPr>
        <w:pStyle w:val="NoSpacing"/>
        <w:shd w:val="clear" w:color="auto" w:fill="F2F2F2"/>
        <w:spacing w:after="0" w:line="240" w:lineRule="auto"/>
        <w:ind w:left="120" w:right="120"/>
        <w:jc w:val="left"/>
      </w:pPr>
      <w:r>
        <w:rPr>
          <w:rFonts w:ascii="Courier New" w:hAnsi="Courier New" w:cs="Courier New"/>
          <w:sz w:val="13"/>
          <w:szCs w:val="13"/>
        </w:rPr>
        <w:t xml:space="preserve">                    ax.scatter(x, p - .25, s=260, marker="s", fc="black", ec="white", zorder=4)</w:t>
      </w:r>
    </w:p>
    <w:p>
      <w:pPr>
        <w:pStyle w:val="NoSpacing"/>
        <w:shd w:val="clear" w:color="auto" w:fill="F2F2F2"/>
        <w:spacing w:after="0" w:line="240" w:lineRule="auto"/>
        <w:ind w:left="120" w:right="120"/>
        <w:jc w:val="left"/>
      </w:pPr>
      <w:r>
        <w:rPr>
          <w:rFonts w:ascii="Courier New" w:hAnsi="Courier New" w:cs="Courier New"/>
          <w:sz w:val="13"/>
          <w:szCs w:val="13"/>
        </w:rPr>
        <w:t xml:space="preserve">                    ax.text(x, p - .25, k[1:], ha="center", va="center", fontsize=7, fontweight="bold", color="white", zorder=5)</w:t>
      </w:r>
    </w:p>
    <w:p>
      <w:pPr>
        <w:pStyle w:val="NoSpacing"/>
        <w:shd w:val="clear" w:color="auto" w:fill="F2F2F2"/>
        <w:spacing w:after="0" w:line="240" w:lineRule="auto"/>
        <w:ind w:left="120" w:right="120"/>
        <w:jc w:val="left"/>
      </w:pPr>
      <w:r>
        <w:rPr>
          <w:rFonts w:ascii="Courier New" w:hAnsi="Courier New" w:cs="Courier New"/>
          <w:sz w:val="13"/>
          <w:szCs w:val="13"/>
        </w:rPr>
        <w:t xml:space="preserve">    place((2, 1), "inh"); place((4, 3), "res")</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ax.set_xlim(.5, 5.5); ax.set_ylim(.5, 5.5); ax.set_xticks(range(1, 6)); ax.set_yticks(range(1, 6))</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ax.set_xlabel("Impact (1 low to 5 severe)"); ax.set_ylabel("Probability (1 rare to 5 almost certain)")</w:t>
      </w:r>
    </w:p>
    <w:p>
      <w:pPr>
        <w:pStyle w:val="NoSpacing"/>
        <w:shd w:val="clear" w:color="auto" w:fill="F2F2F2"/>
        <w:spacing w:after="0" w:line="240" w:lineRule="auto"/>
        <w:ind w:left="120" w:right="120"/>
        <w:jc w:val="left"/>
      </w:pPr>
      <w:r>
        <w:rPr>
          <w:rFonts w:ascii="Courier New" w:hAnsi="Courier New" w:cs="Courier New"/>
          <w:sz w:val="13"/>
          <w:szCs w:val="13"/>
        </w:rPr>
        <w:t xml:space="preserve">    ax.set_title("Risk heat map: circles = inherent (R1 to R10), black squares = residual after response", fontsize=9.5)</w:t>
      </w:r>
    </w:p>
    <w:p>
      <w:pPr>
        <w:pStyle w:val="NoSpacing"/>
        <w:shd w:val="clear" w:color="auto" w:fill="F2F2F2"/>
        <w:spacing w:after="0" w:line="240" w:lineRule="auto"/>
        <w:ind w:left="120" w:right="120"/>
        <w:jc w:val="left"/>
      </w:pPr>
      <w:r>
        <w:rPr>
          <w:rFonts w:ascii="Courier New" w:hAnsi="Courier New" w:cs="Courier New"/>
          <w:sz w:val="13"/>
          <w:szCs w:val="13"/>
        </w:rPr>
        <w:t xml:space="preserve">    top = sorted(R, key=lambda k: -score(R[k]))[:3]</w:t>
      </w:r>
    </w:p>
    <w:p>
      <w:pPr>
        <w:pStyle w:val="NoSpacing"/>
        <w:shd w:val="clear" w:color="auto" w:fill="F2F2F2"/>
        <w:spacing w:after="0" w:line="240" w:lineRule="auto"/>
        <w:ind w:left="120" w:right="120"/>
        <w:jc w:val="left"/>
      </w:pPr>
      <w:r>
        <w:rPr>
          <w:rFonts w:ascii="Courier New" w:hAnsi="Courier New" w:cs="Courier New"/>
          <w:sz w:val="13"/>
          <w:szCs w:val="13"/>
        </w:rPr>
        <w:t xml:space="preserve">    txt = "Top 3 (EMV, EUR m): " + "; ".join(f"{k} {emv(R[k]):.2f} -&gt; {emv(R[k], True):.2f}" for k in top)</w:t>
      </w:r>
    </w:p>
    <w:p>
      <w:pPr>
        <w:pStyle w:val="NoSpacing"/>
        <w:shd w:val="clear" w:color="auto" w:fill="F2F2F2"/>
        <w:spacing w:after="0" w:line="240" w:lineRule="auto"/>
        <w:ind w:left="120" w:right="120"/>
        <w:jc w:val="left"/>
      </w:pPr>
      <w:r>
        <w:rPr>
          <w:rFonts w:ascii="Courier New" w:hAnsi="Courier New" w:cs="Courier New"/>
          <w:sz w:val="13"/>
          <w:szCs w:val="13"/>
        </w:rPr>
        <w:t xml:space="preserve">    fig.text(0.5, 0.0, txt, ha="center", fontsize=8.5, style="italic")</w:t>
      </w:r>
    </w:p>
    <w:p>
      <w:pPr>
        <w:pStyle w:val="NoSpacing"/>
        <w:shd w:val="clear" w:color="auto" w:fill="F2F2F2"/>
        <w:spacing w:after="0" w:line="240" w:lineRule="auto"/>
        <w:ind w:left="120" w:right="120"/>
        <w:jc w:val="left"/>
      </w:pPr>
      <w:r>
        <w:rPr>
          <w:rFonts w:ascii="Courier New" w:hAnsi="Courier New" w:cs="Courier New"/>
          <w:sz w:val="13"/>
          <w:szCs w:val="13"/>
        </w:rPr>
        <w:t xml:space="preserve">    plt.savefig("fig6_risk_heatmap.png", dpi=200, bbox_inches="tight", facecolor="white")</w:t>
      </w:r>
    </w:p>
    <w:p>
      <w:pPr>
        <w:pStyle w:val="NoSpacing"/>
        <w:shd w:val="clear" w:color="auto" w:fill="F2F2F2"/>
        <w:spacing w:after="0" w:line="240" w:lineRule="auto"/>
        <w:ind w:left="120" w:right="120"/>
        <w:jc w:val="left"/>
      </w:pPr>
      <w:r>
        <w:rPr>
          <w:rFonts w:ascii="Courier New" w:hAnsi="Courier New" w:cs="Courier New"/>
          <w:sz w:val="13"/>
          <w:szCs w:val="13"/>
        </w:rPr>
        <w:t xml:space="preserve">    print(txt, "| residual EMV top3:", round(sum(emv(R[k], True) for k in top), 3))</w:t>
      </w:r>
    </w:p>
    <w:p>
      <w:pPr>
        <w:pStyle w:val="NoSpacing"/>
        <w:spacing w:after="200" w:before="60"/>
        <w:jc w:val="left"/>
      </w:pPr>
      <w:r>
        <w:rPr>
          <w:rFonts w:ascii="Arial" w:hAnsi="Arial" w:cs="Arial"/>
          <w:i/>
          <w:sz w:val="16"/>
          <w:szCs w:val="16"/>
        </w:rPr>
        <w:t xml:space="preserve">Source: author's scoring (ISO, 2018). Probability and impact are subjective; see Appendix C.</w:t>
      </w:r>
    </w:p>
    <w:p>
      <w:pPr>
        <w:pStyle w:val="Heading1"/>
      </w:pPr>
      <w:r>
        <w:t>Conclusion</w:t>
      </w:r>
    </w:p>
    <w:p>
      <w:pPr>
        <w:pStyle w:val="NoSpacing"/>
        <w:spacing w:after="120"/>
      </w:pPr>
      <w:r>
        <w:rPr>
          <w:rFonts w:ascii="Arial" w:hAnsi="Arial" w:cs="Arial"/>
        </w:rPr>
        <w:t xml:space="preserve">The answer is that Adidas's asset-light model is efficient but concentrated. Adidas outsources almost all production to a highly concentrated Asian base, which makes it efficient but exposed to tariffs and geopolitical shocks; the best response is a time-bound, budget-capped flexible sourcing project, planned and risk-managed with the tools in the Project Planning section.</w:t>
      </w:r>
    </w:p>
    <w:p>
      <w:pPr>
        <w:pStyle w:val="NoSpacing"/>
        <w:spacing w:after="120"/>
      </w:pPr>
      <w:r>
        <w:rPr>
          <w:rFonts w:ascii="Arial" w:hAnsi="Arial" w:cs="Arial"/>
        </w:rPr>
        <w:t xml:space="preserve">Project FLEX, at €12.0m and 18 months, builds the ability to move volume as rules change, through Tier 2 visibility, pre-qualified second sources and a tested switching playbook. One task list produced the structure, schedule, costs and risks, so the figures agree.</w:t>
      </w:r>
    </w:p>
    <w:p>
      <w:pPr>
        <w:pStyle w:val="NoSpacing"/>
        <w:spacing w:after="120"/>
      </w:pPr>
      <w:r>
        <w:rPr>
          <w:rFonts w:ascii="Arial" w:hAnsi="Arial" w:cs="Arial"/>
        </w:rPr>
        <w:t xml:space="preserve">The limits are honest ones. Planning figures are assumptions, Adidas publishes no supplier-level data, and the option ranking depends on valuing risk reduction over cost. The next step is to confirm baselines through Tier 1 onboarding (2.3) and test the switching playbook on two pilot styles before committing the full budget.</w:t>
      </w:r>
    </w:p>
    <w:p>
      <w:pPr>
        <w:pStyle w:val="NoSpacing"/>
      </w:pPr>
      <w:r>
        <w:br w:type="page"/>
      </w:r>
    </w:p>
    <w:p>
      <w:pPr>
        <w:pStyle w:val="Heading1"/>
      </w:pPr>
      <w:r>
        <w:t>References</w:t>
      </w:r>
    </w:p>
    <w:p>
      <w:pPr>
        <w:pStyle w:val="NoSpacing"/>
        <w:spacing w:after="100"/>
        <w:ind w:left="567" w:hanging="567"/>
        <w:jc w:val="left"/>
      </w:pPr>
      <w:r>
        <w:rPr>
          <w:rFonts w:ascii="Arial" w:hAnsi="Arial" w:cs="Arial"/>
          <w:sz w:val="20"/>
          <w:szCs w:val="20"/>
        </w:rPr>
        <w:t xml:space="preserve">adidas AG (2019) </w:t>
      </w:r>
      <w:r>
        <w:rPr>
          <w:rFonts w:ascii="Arial" w:hAnsi="Arial" w:cs="Arial"/>
          <w:i/>
          <w:sz w:val="20"/>
          <w:szCs w:val="20"/>
        </w:rPr>
        <w:t xml:space="preserve">adidas to transfer Speedfactory technology to Asian suppliers</w:t>
      </w:r>
      <w:r>
        <w:rPr>
          <w:rFonts w:ascii="Arial" w:hAnsi="Arial" w:cs="Arial"/>
          <w:sz w:val="20"/>
          <w:szCs w:val="20"/>
        </w:rPr>
        <w:t xml:space="preserve"> [Press release], 11 November. Herzogenaurach: adidas AG.</w:t>
      </w:r>
    </w:p>
    <w:p>
      <w:pPr>
        <w:pStyle w:val="NoSpacing"/>
        <w:spacing w:after="100"/>
        <w:ind w:left="567" w:hanging="567"/>
        <w:jc w:val="left"/>
      </w:pPr>
      <w:r>
        <w:rPr>
          <w:rFonts w:ascii="Arial" w:hAnsi="Arial" w:cs="Arial"/>
          <w:sz w:val="20"/>
          <w:szCs w:val="20"/>
        </w:rPr>
        <w:t xml:space="preserve">adidas AG (2023) </w:t>
      </w:r>
      <w:r>
        <w:rPr>
          <w:rFonts w:ascii="Arial" w:hAnsi="Arial" w:cs="Arial"/>
          <w:i/>
          <w:sz w:val="20"/>
          <w:szCs w:val="20"/>
        </w:rPr>
        <w:t xml:space="preserve">Annual Report 2022</w:t>
      </w:r>
      <w:r>
        <w:rPr>
          <w:rFonts w:ascii="Arial" w:hAnsi="Arial" w:cs="Arial"/>
          <w:sz w:val="20"/>
          <w:szCs w:val="20"/>
        </w:rPr>
        <w:t xml:space="preserve">. Herzogenaurach: adidas AG.</w:t>
      </w:r>
    </w:p>
    <w:p>
      <w:pPr>
        <w:pStyle w:val="NoSpacing"/>
        <w:spacing w:after="100"/>
        <w:ind w:left="567" w:hanging="567"/>
        <w:jc w:val="left"/>
      </w:pPr>
      <w:r>
        <w:rPr>
          <w:rFonts w:ascii="Arial" w:hAnsi="Arial" w:cs="Arial"/>
          <w:sz w:val="20"/>
          <w:szCs w:val="20"/>
        </w:rPr>
        <w:t xml:space="preserve">adidas AG (2026) </w:t>
      </w:r>
      <w:r>
        <w:rPr>
          <w:rFonts w:ascii="Arial" w:hAnsi="Arial" w:cs="Arial"/>
          <w:i/>
          <w:sz w:val="20"/>
          <w:szCs w:val="20"/>
        </w:rPr>
        <w:t xml:space="preserve">Annual Report 2025</w:t>
      </w:r>
      <w:r>
        <w:rPr>
          <w:rFonts w:ascii="Arial" w:hAnsi="Arial" w:cs="Arial"/>
          <w:sz w:val="20"/>
          <w:szCs w:val="20"/>
        </w:rPr>
        <w:t xml:space="preserve">. Herzogenaurach: adidas AG.</w:t>
      </w:r>
    </w:p>
    <w:p>
      <w:pPr>
        <w:pStyle w:val="NoSpacing"/>
        <w:spacing w:after="100"/>
        <w:ind w:left="567" w:hanging="567"/>
        <w:jc w:val="left"/>
      </w:pPr>
      <w:r>
        <w:rPr>
          <w:rFonts w:ascii="Arial" w:hAnsi="Arial" w:cs="Arial"/>
          <w:sz w:val="20"/>
          <w:szCs w:val="20"/>
        </w:rPr>
        <w:t xml:space="preserve">Atkinson, R. (1999) 'Project management: cost, time and quality, two best guesses and a phenomenon, its time to accept other success criteria', </w:t>
      </w:r>
      <w:r>
        <w:rPr>
          <w:rFonts w:ascii="Arial" w:hAnsi="Arial" w:cs="Arial"/>
          <w:i/>
          <w:sz w:val="20"/>
          <w:szCs w:val="20"/>
        </w:rPr>
        <w:t xml:space="preserve">International Journal of Project Management</w:t>
      </w:r>
      <w:r>
        <w:rPr>
          <w:rFonts w:ascii="Arial" w:hAnsi="Arial" w:cs="Arial"/>
          <w:sz w:val="20"/>
          <w:szCs w:val="20"/>
        </w:rPr>
        <w:t xml:space="preserve">, 17(6), pp. 337-342.</w:t>
      </w:r>
    </w:p>
    <w:p>
      <w:pPr>
        <w:pStyle w:val="NoSpacing"/>
        <w:spacing w:after="100"/>
        <w:ind w:left="567" w:hanging="567"/>
        <w:jc w:val="left"/>
      </w:pPr>
      <w:r>
        <w:rPr>
          <w:rFonts w:ascii="Arial" w:hAnsi="Arial" w:cs="Arial"/>
          <w:sz w:val="20"/>
          <w:szCs w:val="20"/>
        </w:rPr>
        <w:t xml:space="preserve">Chopra, S. and Sodhi, M.S. (2004) 'Managing risk to avoid supply-chain breakdown', </w:t>
      </w:r>
      <w:r>
        <w:rPr>
          <w:rFonts w:ascii="Arial" w:hAnsi="Arial" w:cs="Arial"/>
          <w:i/>
          <w:sz w:val="20"/>
          <w:szCs w:val="20"/>
        </w:rPr>
        <w:t xml:space="preserve">MIT Sloan Management Review</w:t>
      </w:r>
      <w:r>
        <w:rPr>
          <w:rFonts w:ascii="Arial" w:hAnsi="Arial" w:cs="Arial"/>
          <w:sz w:val="20"/>
          <w:szCs w:val="20"/>
        </w:rPr>
        <w:t xml:space="preserve">, 46(1), pp. 53-61.</w:t>
      </w:r>
    </w:p>
    <w:p>
      <w:pPr>
        <w:pStyle w:val="NoSpacing"/>
        <w:spacing w:after="100"/>
        <w:ind w:left="567" w:hanging="567"/>
        <w:jc w:val="left"/>
      </w:pPr>
      <w:r>
        <w:rPr>
          <w:rFonts w:ascii="Arial" w:hAnsi="Arial" w:cs="Arial"/>
          <w:sz w:val="20"/>
          <w:szCs w:val="20"/>
        </w:rPr>
        <w:t xml:space="preserve">Christopher, M. (2016) </w:t>
      </w:r>
      <w:r>
        <w:rPr>
          <w:rFonts w:ascii="Arial" w:hAnsi="Arial" w:cs="Arial"/>
          <w:i/>
          <w:sz w:val="20"/>
          <w:szCs w:val="20"/>
        </w:rPr>
        <w:t xml:space="preserve">Logistics and Supply Chain Management</w:t>
      </w:r>
      <w:r>
        <w:rPr>
          <w:rFonts w:ascii="Arial" w:hAnsi="Arial" w:cs="Arial"/>
          <w:sz w:val="20"/>
          <w:szCs w:val="20"/>
        </w:rPr>
        <w:t xml:space="preserve">. 5th edn. Harlow: Pearson.</w:t>
      </w:r>
    </w:p>
    <w:p>
      <w:pPr>
        <w:pStyle w:val="NoSpacing"/>
        <w:spacing w:after="100"/>
        <w:ind w:left="567" w:hanging="567"/>
        <w:jc w:val="left"/>
      </w:pPr>
      <w:r>
        <w:rPr>
          <w:rFonts w:ascii="Arial" w:hAnsi="Arial" w:cs="Arial"/>
          <w:sz w:val="20"/>
          <w:szCs w:val="20"/>
        </w:rPr>
        <w:t xml:space="preserve">Christopher, M. and Peck, H. (2004) 'Building the resilient supply chain', </w:t>
      </w:r>
      <w:r>
        <w:rPr>
          <w:rFonts w:ascii="Arial" w:hAnsi="Arial" w:cs="Arial"/>
          <w:i/>
          <w:sz w:val="20"/>
          <w:szCs w:val="20"/>
        </w:rPr>
        <w:t xml:space="preserve">International Journal of Logistics Management</w:t>
      </w:r>
      <w:r>
        <w:rPr>
          <w:rFonts w:ascii="Arial" w:hAnsi="Arial" w:cs="Arial"/>
          <w:sz w:val="20"/>
          <w:szCs w:val="20"/>
        </w:rPr>
        <w:t xml:space="preserve">, 15(2), pp. 1-14.</w:t>
      </w:r>
    </w:p>
    <w:p>
      <w:pPr>
        <w:pStyle w:val="NoSpacing"/>
        <w:spacing w:after="100"/>
        <w:ind w:left="567" w:hanging="567"/>
        <w:jc w:val="left"/>
      </w:pPr>
      <w:r>
        <w:rPr>
          <w:rFonts w:ascii="Arial" w:hAnsi="Arial" w:cs="Arial"/>
          <w:sz w:val="20"/>
          <w:szCs w:val="20"/>
        </w:rPr>
        <w:t xml:space="preserve">Christopher, M. and Towill, D. (2001) 'An integrated model for the design of agile supply chains', </w:t>
      </w:r>
      <w:r>
        <w:rPr>
          <w:rFonts w:ascii="Arial" w:hAnsi="Arial" w:cs="Arial"/>
          <w:i/>
          <w:sz w:val="20"/>
          <w:szCs w:val="20"/>
        </w:rPr>
        <w:t xml:space="preserve">International Journal of Physical Distribution and Logistics Management</w:t>
      </w:r>
      <w:r>
        <w:rPr>
          <w:rFonts w:ascii="Arial" w:hAnsi="Arial" w:cs="Arial"/>
          <w:sz w:val="20"/>
          <w:szCs w:val="20"/>
        </w:rPr>
        <w:t xml:space="preserve">, 31(4), pp. 235-246.</w:t>
      </w:r>
    </w:p>
    <w:p>
      <w:pPr>
        <w:pStyle w:val="NoSpacing"/>
        <w:spacing w:after="100"/>
        <w:ind w:left="567" w:hanging="567"/>
        <w:jc w:val="left"/>
      </w:pPr>
      <w:r>
        <w:rPr>
          <w:rFonts w:ascii="Arial" w:hAnsi="Arial" w:cs="Arial"/>
          <w:sz w:val="20"/>
          <w:szCs w:val="20"/>
        </w:rPr>
        <w:t xml:space="preserve">Executive Office of the President (2025) 'Executive Order 14257: Regulating imports with a reciprocal tariff to rectify trade practices that contribute to large and persistent annual United States goods trade deficits', </w:t>
      </w:r>
      <w:r>
        <w:rPr>
          <w:rFonts w:ascii="Arial" w:hAnsi="Arial" w:cs="Arial"/>
          <w:i/>
          <w:sz w:val="20"/>
          <w:szCs w:val="20"/>
        </w:rPr>
        <w:t xml:space="preserve">Federal Register</w:t>
      </w:r>
      <w:r>
        <w:rPr>
          <w:rFonts w:ascii="Arial" w:hAnsi="Arial" w:cs="Arial"/>
          <w:sz w:val="20"/>
          <w:szCs w:val="20"/>
        </w:rPr>
        <w:t xml:space="preserve">, 90 FR 15041.</w:t>
      </w:r>
    </w:p>
    <w:p>
      <w:pPr>
        <w:pStyle w:val="NoSpacing"/>
        <w:spacing w:after="100"/>
        <w:ind w:left="567" w:hanging="567"/>
        <w:jc w:val="left"/>
      </w:pPr>
      <w:r>
        <w:rPr>
          <w:rFonts w:ascii="Arial" w:hAnsi="Arial" w:cs="Arial"/>
          <w:sz w:val="20"/>
          <w:szCs w:val="20"/>
        </w:rPr>
        <w:t xml:space="preserve">Fisher, M.L. (1997) 'What is the right supply chain for your product?', </w:t>
      </w:r>
      <w:r>
        <w:rPr>
          <w:rFonts w:ascii="Arial" w:hAnsi="Arial" w:cs="Arial"/>
          <w:i/>
          <w:sz w:val="20"/>
          <w:szCs w:val="20"/>
        </w:rPr>
        <w:t xml:space="preserve">Harvard Business Review</w:t>
      </w:r>
      <w:r>
        <w:rPr>
          <w:rFonts w:ascii="Arial" w:hAnsi="Arial" w:cs="Arial"/>
          <w:sz w:val="20"/>
          <w:szCs w:val="20"/>
        </w:rPr>
        <w:t xml:space="preserve">, 75(2), pp. 105-116.</w:t>
      </w:r>
    </w:p>
    <w:p>
      <w:pPr>
        <w:pStyle w:val="NoSpacing"/>
        <w:spacing w:after="100"/>
        <w:ind w:left="567" w:hanging="567"/>
        <w:jc w:val="left"/>
      </w:pPr>
      <w:r>
        <w:rPr>
          <w:rFonts w:ascii="Arial" w:hAnsi="Arial" w:cs="Arial"/>
          <w:sz w:val="20"/>
          <w:szCs w:val="20"/>
        </w:rPr>
        <w:t xml:space="preserve">Freeman, R.E. (1984) </w:t>
      </w:r>
      <w:r>
        <w:rPr>
          <w:rFonts w:ascii="Arial" w:hAnsi="Arial" w:cs="Arial"/>
          <w:i/>
          <w:sz w:val="20"/>
          <w:szCs w:val="20"/>
        </w:rPr>
        <w:t xml:space="preserve">Strategic Management: A Stakeholder Approach</w:t>
      </w:r>
      <w:r>
        <w:rPr>
          <w:rFonts w:ascii="Arial" w:hAnsi="Arial" w:cs="Arial"/>
          <w:sz w:val="20"/>
          <w:szCs w:val="20"/>
        </w:rPr>
        <w:t xml:space="preserve">. Boston: Pitman.</w:t>
      </w:r>
    </w:p>
    <w:p>
      <w:pPr>
        <w:pStyle w:val="NoSpacing"/>
        <w:spacing w:after="100"/>
        <w:ind w:left="567" w:hanging="567"/>
        <w:jc w:val="left"/>
      </w:pPr>
      <w:r>
        <w:rPr>
          <w:rFonts w:ascii="Arial" w:hAnsi="Arial" w:cs="Arial"/>
          <w:sz w:val="20"/>
          <w:szCs w:val="20"/>
        </w:rPr>
        <w:t xml:space="preserve">Gereffi, G., Humphrey, J. and Sturgeon, T. (2005) 'The governance of global value chains', </w:t>
      </w:r>
      <w:r>
        <w:rPr>
          <w:rFonts w:ascii="Arial" w:hAnsi="Arial" w:cs="Arial"/>
          <w:i/>
          <w:sz w:val="20"/>
          <w:szCs w:val="20"/>
        </w:rPr>
        <w:t xml:space="preserve">Review of International Political Economy</w:t>
      </w:r>
      <w:r>
        <w:rPr>
          <w:rFonts w:ascii="Arial" w:hAnsi="Arial" w:cs="Arial"/>
          <w:sz w:val="20"/>
          <w:szCs w:val="20"/>
        </w:rPr>
        <w:t xml:space="preserve">, 12(1), pp. 78-104.</w:t>
      </w:r>
    </w:p>
    <w:p>
      <w:pPr>
        <w:pStyle w:val="NoSpacing"/>
        <w:spacing w:after="100"/>
        <w:ind w:left="567" w:hanging="567"/>
        <w:jc w:val="left"/>
      </w:pPr>
      <w:r>
        <w:rPr>
          <w:rFonts w:ascii="Arial" w:hAnsi="Arial" w:cs="Arial"/>
          <w:sz w:val="20"/>
          <w:szCs w:val="20"/>
        </w:rPr>
        <w:t xml:space="preserve">Hirschman, A.O. (1945) </w:t>
      </w:r>
      <w:r>
        <w:rPr>
          <w:rFonts w:ascii="Arial" w:hAnsi="Arial" w:cs="Arial"/>
          <w:i/>
          <w:sz w:val="20"/>
          <w:szCs w:val="20"/>
        </w:rPr>
        <w:t xml:space="preserve">National Power and the Structure of Foreign Trade</w:t>
      </w:r>
      <w:r>
        <w:rPr>
          <w:rFonts w:ascii="Arial" w:hAnsi="Arial" w:cs="Arial"/>
          <w:sz w:val="20"/>
          <w:szCs w:val="20"/>
        </w:rPr>
        <w:t xml:space="preserve">. Berkeley: University of California Press.</w:t>
      </w:r>
    </w:p>
    <w:p>
      <w:pPr>
        <w:pStyle w:val="NoSpacing"/>
        <w:spacing w:after="100"/>
        <w:ind w:left="567" w:hanging="567"/>
        <w:jc w:val="left"/>
      </w:pPr>
      <w:r>
        <w:rPr>
          <w:rFonts w:ascii="Arial" w:hAnsi="Arial" w:cs="Arial"/>
          <w:sz w:val="20"/>
          <w:szCs w:val="20"/>
        </w:rPr>
        <w:t xml:space="preserve">International Organization for Standardization (ISO) (2018) </w:t>
      </w:r>
      <w:r>
        <w:rPr>
          <w:rFonts w:ascii="Arial" w:hAnsi="Arial" w:cs="Arial"/>
          <w:i/>
          <w:sz w:val="20"/>
          <w:szCs w:val="20"/>
        </w:rPr>
        <w:t xml:space="preserve">ISO 31000:2018 Risk management: Guidelines</w:t>
      </w:r>
      <w:r>
        <w:rPr>
          <w:rFonts w:ascii="Arial" w:hAnsi="Arial" w:cs="Arial"/>
          <w:sz w:val="20"/>
          <w:szCs w:val="20"/>
        </w:rPr>
        <w:t xml:space="preserve">. Geneva: ISO.</w:t>
      </w:r>
    </w:p>
    <w:p>
      <w:pPr>
        <w:pStyle w:val="NoSpacing"/>
        <w:spacing w:after="100"/>
        <w:ind w:left="567" w:hanging="567"/>
        <w:jc w:val="left"/>
      </w:pPr>
      <w:r>
        <w:rPr>
          <w:rFonts w:ascii="Arial" w:hAnsi="Arial" w:cs="Arial"/>
          <w:sz w:val="20"/>
          <w:szCs w:val="20"/>
        </w:rPr>
        <w:t xml:space="preserve">Ivanov, D. and Dolgui, A. (2020) 'Viability of intertwined supply networks: extending the supply chain resilience angles towards survivability', </w:t>
      </w:r>
      <w:r>
        <w:rPr>
          <w:rFonts w:ascii="Arial" w:hAnsi="Arial" w:cs="Arial"/>
          <w:i/>
          <w:sz w:val="20"/>
          <w:szCs w:val="20"/>
        </w:rPr>
        <w:t xml:space="preserve">International Journal of Production Research</w:t>
      </w:r>
      <w:r>
        <w:rPr>
          <w:rFonts w:ascii="Arial" w:hAnsi="Arial" w:cs="Arial"/>
          <w:sz w:val="20"/>
          <w:szCs w:val="20"/>
        </w:rPr>
        <w:t xml:space="preserve">, 58(10), pp. 2904-2915.</w:t>
      </w:r>
    </w:p>
    <w:p>
      <w:pPr>
        <w:pStyle w:val="NoSpacing"/>
        <w:spacing w:after="100"/>
        <w:ind w:left="567" w:hanging="567"/>
        <w:jc w:val="left"/>
      </w:pPr>
      <w:r>
        <w:rPr>
          <w:rFonts w:ascii="Arial" w:hAnsi="Arial" w:cs="Arial"/>
          <w:sz w:val="20"/>
          <w:szCs w:val="20"/>
        </w:rPr>
        <w:t xml:space="preserve">Kelley, J.E. and Walker, M.R. (1959) 'Critical-path planning and scheduling', </w:t>
      </w:r>
      <w:r>
        <w:rPr>
          <w:rFonts w:ascii="Arial" w:hAnsi="Arial" w:cs="Arial"/>
          <w:i/>
          <w:sz w:val="20"/>
          <w:szCs w:val="20"/>
        </w:rPr>
        <w:t xml:space="preserve">Proceedings of the Eastern Joint Computer Conference</w:t>
      </w:r>
      <w:r>
        <w:rPr>
          <w:rFonts w:ascii="Arial" w:hAnsi="Arial" w:cs="Arial"/>
          <w:sz w:val="20"/>
          <w:szCs w:val="20"/>
        </w:rPr>
        <w:t xml:space="preserve">, Boston, 1-3 December, pp. 160-173.</w:t>
      </w:r>
    </w:p>
    <w:p>
      <w:pPr>
        <w:pStyle w:val="NoSpacing"/>
        <w:spacing w:after="100"/>
        <w:ind w:left="567" w:hanging="567"/>
        <w:jc w:val="left"/>
      </w:pPr>
      <w:r>
        <w:rPr>
          <w:rFonts w:ascii="Arial" w:hAnsi="Arial" w:cs="Arial"/>
          <w:sz w:val="20"/>
          <w:szCs w:val="20"/>
        </w:rPr>
        <w:t xml:space="preserve">Kerzner, H. (2022) </w:t>
      </w:r>
      <w:r>
        <w:rPr>
          <w:rFonts w:ascii="Arial" w:hAnsi="Arial" w:cs="Arial"/>
          <w:i/>
          <w:sz w:val="20"/>
          <w:szCs w:val="20"/>
        </w:rPr>
        <w:t xml:space="preserve">Project Management: A Systems Approach to Planning, Scheduling, and Controlling</w:t>
      </w:r>
      <w:r>
        <w:rPr>
          <w:rFonts w:ascii="Arial" w:hAnsi="Arial" w:cs="Arial"/>
          <w:sz w:val="20"/>
          <w:szCs w:val="20"/>
        </w:rPr>
        <w:t xml:space="preserve">. 13th edn. Hoboken: Wiley.</w:t>
      </w:r>
    </w:p>
    <w:p>
      <w:pPr>
        <w:pStyle w:val="NoSpacing"/>
        <w:spacing w:after="100"/>
        <w:ind w:left="567" w:hanging="567"/>
        <w:jc w:val="left"/>
      </w:pPr>
      <w:r>
        <w:rPr>
          <w:rFonts w:ascii="Arial" w:hAnsi="Arial" w:cs="Arial"/>
          <w:sz w:val="20"/>
          <w:szCs w:val="20"/>
        </w:rPr>
        <w:t xml:space="preserve">Kraljic, P. (1983) 'Purchasing must become supply management', </w:t>
      </w:r>
      <w:r>
        <w:rPr>
          <w:rFonts w:ascii="Arial" w:hAnsi="Arial" w:cs="Arial"/>
          <w:i/>
          <w:sz w:val="20"/>
          <w:szCs w:val="20"/>
        </w:rPr>
        <w:t xml:space="preserve">Harvard Business Review</w:t>
      </w:r>
      <w:r>
        <w:rPr>
          <w:rFonts w:ascii="Arial" w:hAnsi="Arial" w:cs="Arial"/>
          <w:sz w:val="20"/>
          <w:szCs w:val="20"/>
        </w:rPr>
        <w:t xml:space="preserve">, 61(5), pp. 109-117.</w:t>
      </w:r>
    </w:p>
    <w:p>
      <w:pPr>
        <w:pStyle w:val="NoSpacing"/>
        <w:spacing w:after="100"/>
        <w:ind w:left="567" w:hanging="567"/>
        <w:jc w:val="left"/>
      </w:pPr>
      <w:r>
        <w:rPr>
          <w:rFonts w:ascii="Arial" w:hAnsi="Arial" w:cs="Arial"/>
          <w:sz w:val="20"/>
          <w:szCs w:val="20"/>
        </w:rPr>
        <w:t xml:space="preserve">Lee, H.L., Padmanabhan, V. and Whang, S. (1997) 'The bullwhip effect in supply chains', </w:t>
      </w:r>
      <w:r>
        <w:rPr>
          <w:rFonts w:ascii="Arial" w:hAnsi="Arial" w:cs="Arial"/>
          <w:i/>
          <w:sz w:val="20"/>
          <w:szCs w:val="20"/>
        </w:rPr>
        <w:t xml:space="preserve">Sloan Management Review</w:t>
      </w:r>
      <w:r>
        <w:rPr>
          <w:rFonts w:ascii="Arial" w:hAnsi="Arial" w:cs="Arial"/>
          <w:sz w:val="20"/>
          <w:szCs w:val="20"/>
        </w:rPr>
        <w:t xml:space="preserve">, 38(3), pp. 93-102.</w:t>
      </w:r>
    </w:p>
    <w:p>
      <w:pPr>
        <w:pStyle w:val="NoSpacing"/>
        <w:spacing w:after="100"/>
        <w:ind w:left="567" w:hanging="567"/>
        <w:jc w:val="left"/>
      </w:pPr>
      <w:r>
        <w:rPr>
          <w:rFonts w:ascii="Arial" w:hAnsi="Arial" w:cs="Arial"/>
          <w:sz w:val="20"/>
          <w:szCs w:val="20"/>
        </w:rPr>
        <w:t xml:space="preserve">Malcolm, D.G., Roseboom, J.H., Clark, C.E. and Fazar, W. (1959) 'Application of a technique for research and development program evaluation', </w:t>
      </w:r>
      <w:r>
        <w:rPr>
          <w:rFonts w:ascii="Arial" w:hAnsi="Arial" w:cs="Arial"/>
          <w:i/>
          <w:sz w:val="20"/>
          <w:szCs w:val="20"/>
        </w:rPr>
        <w:t xml:space="preserve">Operations Research</w:t>
      </w:r>
      <w:r>
        <w:rPr>
          <w:rFonts w:ascii="Arial" w:hAnsi="Arial" w:cs="Arial"/>
          <w:sz w:val="20"/>
          <w:szCs w:val="20"/>
        </w:rPr>
        <w:t xml:space="preserve">, 7(5), pp. 646-669.</w:t>
      </w:r>
    </w:p>
    <w:p>
      <w:pPr>
        <w:pStyle w:val="NoSpacing"/>
        <w:spacing w:after="100"/>
        <w:ind w:left="567" w:hanging="567"/>
        <w:jc w:val="left"/>
      </w:pPr>
      <w:r>
        <w:rPr>
          <w:rFonts w:ascii="Arial" w:hAnsi="Arial" w:cs="Arial"/>
          <w:sz w:val="20"/>
          <w:szCs w:val="20"/>
        </w:rPr>
        <w:t xml:space="preserve">Mendelow, A.L. (1991) 'Stakeholder mapping', </w:t>
      </w:r>
      <w:r>
        <w:rPr>
          <w:rFonts w:ascii="Arial" w:hAnsi="Arial" w:cs="Arial"/>
          <w:i/>
          <w:sz w:val="20"/>
          <w:szCs w:val="20"/>
        </w:rPr>
        <w:t xml:space="preserve">Proceedings of the 2nd International Conference on Information Systems</w:t>
      </w:r>
      <w:r>
        <w:rPr>
          <w:rFonts w:ascii="Arial" w:hAnsi="Arial" w:cs="Arial"/>
          <w:sz w:val="20"/>
          <w:szCs w:val="20"/>
        </w:rPr>
        <w:t xml:space="preserve">, Cambridge, MA.</w:t>
      </w:r>
    </w:p>
    <w:p>
      <w:pPr>
        <w:pStyle w:val="NoSpacing"/>
        <w:spacing w:after="100"/>
        <w:ind w:left="567" w:hanging="567"/>
        <w:jc w:val="left"/>
      </w:pPr>
      <w:r>
        <w:rPr>
          <w:rFonts w:ascii="Arial" w:hAnsi="Arial" w:cs="Arial"/>
          <w:sz w:val="20"/>
          <w:szCs w:val="20"/>
        </w:rPr>
        <w:t xml:space="preserve">Mentzer, J.T., DeWitt, W., Keebler, J.S., Min, S., Nix, N.W., Smith, C.D. and Zacharia, Z.G. (2001) 'Defining supply chain management', </w:t>
      </w:r>
      <w:r>
        <w:rPr>
          <w:rFonts w:ascii="Arial" w:hAnsi="Arial" w:cs="Arial"/>
          <w:i/>
          <w:sz w:val="20"/>
          <w:szCs w:val="20"/>
        </w:rPr>
        <w:t xml:space="preserve">Journal of Business Logistics</w:t>
      </w:r>
      <w:r>
        <w:rPr>
          <w:rFonts w:ascii="Arial" w:hAnsi="Arial" w:cs="Arial"/>
          <w:sz w:val="20"/>
          <w:szCs w:val="20"/>
        </w:rPr>
        <w:t xml:space="preserve">, 22(2), pp. 1-25.</w:t>
      </w:r>
    </w:p>
    <w:p>
      <w:pPr>
        <w:pStyle w:val="NoSpacing"/>
        <w:spacing w:after="100"/>
        <w:ind w:left="567" w:hanging="567"/>
        <w:jc w:val="left"/>
      </w:pPr>
      <w:r>
        <w:rPr>
          <w:rFonts w:ascii="Arial" w:hAnsi="Arial" w:cs="Arial"/>
          <w:sz w:val="20"/>
          <w:szCs w:val="20"/>
        </w:rPr>
        <w:t xml:space="preserve">Mitchell, R.K., Agle, B.R. and Wood, D.J. (1997) 'Toward a theory of stakeholder identification and salience', </w:t>
      </w:r>
      <w:r>
        <w:rPr>
          <w:rFonts w:ascii="Arial" w:hAnsi="Arial" w:cs="Arial"/>
          <w:i/>
          <w:sz w:val="20"/>
          <w:szCs w:val="20"/>
        </w:rPr>
        <w:t xml:space="preserve">Academy of Management Review</w:t>
      </w:r>
      <w:r>
        <w:rPr>
          <w:rFonts w:ascii="Arial" w:hAnsi="Arial" w:cs="Arial"/>
          <w:sz w:val="20"/>
          <w:szCs w:val="20"/>
        </w:rPr>
        <w:t xml:space="preserve">, 22(4), pp. 853-886.</w:t>
      </w:r>
    </w:p>
    <w:p>
      <w:pPr>
        <w:pStyle w:val="NoSpacing"/>
        <w:spacing w:after="100"/>
        <w:ind w:left="567" w:hanging="567"/>
        <w:jc w:val="left"/>
      </w:pPr>
      <w:r>
        <w:rPr>
          <w:rFonts w:ascii="Arial" w:hAnsi="Arial" w:cs="Arial"/>
          <w:sz w:val="20"/>
          <w:szCs w:val="20"/>
        </w:rPr>
        <w:t xml:space="preserve">Naylor, J.B., Naim, M.M. and Berry, D. (1999) 'Leagility: integrating the lean and agile manufacturing paradigms in the total supply chain', </w:t>
      </w:r>
      <w:r>
        <w:rPr>
          <w:rFonts w:ascii="Arial" w:hAnsi="Arial" w:cs="Arial"/>
          <w:i/>
          <w:sz w:val="20"/>
          <w:szCs w:val="20"/>
        </w:rPr>
        <w:t xml:space="preserve">International Journal of Production Economics</w:t>
      </w:r>
      <w:r>
        <w:rPr>
          <w:rFonts w:ascii="Arial" w:hAnsi="Arial" w:cs="Arial"/>
          <w:sz w:val="20"/>
          <w:szCs w:val="20"/>
        </w:rPr>
        <w:t xml:space="preserve">, 62(1-2), pp. 107-118.</w:t>
      </w:r>
    </w:p>
    <w:p>
      <w:pPr>
        <w:pStyle w:val="NoSpacing"/>
        <w:spacing w:after="100"/>
        <w:ind w:left="567" w:hanging="567"/>
        <w:jc w:val="left"/>
      </w:pPr>
      <w:r>
        <w:rPr>
          <w:rFonts w:ascii="Arial" w:hAnsi="Arial" w:cs="Arial"/>
          <w:sz w:val="20"/>
          <w:szCs w:val="20"/>
        </w:rPr>
        <w:t xml:space="preserve">Nike, Inc. (2025) </w:t>
      </w:r>
      <w:r>
        <w:rPr>
          <w:rFonts w:ascii="Arial" w:hAnsi="Arial" w:cs="Arial"/>
          <w:i/>
          <w:sz w:val="20"/>
          <w:szCs w:val="20"/>
        </w:rPr>
        <w:t xml:space="preserve">Annual Report on Form 10-K for the fiscal year ended 31 May 2025</w:t>
      </w:r>
      <w:r>
        <w:rPr>
          <w:rFonts w:ascii="Arial" w:hAnsi="Arial" w:cs="Arial"/>
          <w:sz w:val="20"/>
          <w:szCs w:val="20"/>
        </w:rPr>
        <w:t xml:space="preserve">. Beaverton: Nike, Inc.</w:t>
      </w:r>
    </w:p>
    <w:p>
      <w:pPr>
        <w:pStyle w:val="NoSpacing"/>
        <w:spacing w:after="100"/>
        <w:ind w:left="567" w:hanging="567"/>
        <w:jc w:val="left"/>
      </w:pPr>
      <w:r>
        <w:rPr>
          <w:rFonts w:ascii="Arial" w:hAnsi="Arial" w:cs="Arial"/>
          <w:sz w:val="20"/>
          <w:szCs w:val="20"/>
        </w:rPr>
        <w:t xml:space="preserve">Project Management Institute (PMI) (2021) </w:t>
      </w:r>
      <w:r>
        <w:rPr>
          <w:rFonts w:ascii="Arial" w:hAnsi="Arial" w:cs="Arial"/>
          <w:i/>
          <w:sz w:val="20"/>
          <w:szCs w:val="20"/>
        </w:rPr>
        <w:t xml:space="preserve">A Guide to the Project Management Body of Knowledge (PMBOK Guide)</w:t>
      </w:r>
      <w:r>
        <w:rPr>
          <w:rFonts w:ascii="Arial" w:hAnsi="Arial" w:cs="Arial"/>
          <w:sz w:val="20"/>
          <w:szCs w:val="20"/>
        </w:rPr>
        <w:t xml:space="preserve">. 7th edn. Newtown Square: PMI.</w:t>
      </w:r>
    </w:p>
    <w:p>
      <w:pPr>
        <w:pStyle w:val="NoSpacing"/>
        <w:spacing w:after="100"/>
        <w:ind w:left="567" w:hanging="567"/>
        <w:jc w:val="left"/>
      </w:pPr>
      <w:r>
        <w:rPr>
          <w:rFonts w:ascii="Arial" w:hAnsi="Arial" w:cs="Arial"/>
          <w:sz w:val="20"/>
          <w:szCs w:val="20"/>
        </w:rPr>
        <w:t xml:space="preserve">Sheffi, Y. and Rice, J.B. (2005) 'A supply chain view of the resilient enterprise', </w:t>
      </w:r>
      <w:r>
        <w:rPr>
          <w:rFonts w:ascii="Arial" w:hAnsi="Arial" w:cs="Arial"/>
          <w:i/>
          <w:sz w:val="20"/>
          <w:szCs w:val="20"/>
        </w:rPr>
        <w:t xml:space="preserve">MIT Sloan Management Review</w:t>
      </w:r>
      <w:r>
        <w:rPr>
          <w:rFonts w:ascii="Arial" w:hAnsi="Arial" w:cs="Arial"/>
          <w:sz w:val="20"/>
          <w:szCs w:val="20"/>
        </w:rPr>
        <w:t xml:space="preserve">, 47(1), pp. 41-48.</w:t>
      </w:r>
    </w:p>
    <w:p>
      <w:pPr>
        <w:pStyle w:val="NoSpacing"/>
        <w:spacing w:after="100"/>
        <w:ind w:left="567" w:hanging="567"/>
        <w:jc w:val="left"/>
      </w:pPr>
      <w:r>
        <w:rPr>
          <w:rFonts w:ascii="Arial" w:hAnsi="Arial" w:cs="Arial"/>
          <w:sz w:val="20"/>
          <w:szCs w:val="20"/>
        </w:rPr>
        <w:t xml:space="preserve">Slack, N., Brandon-Jones, A. and Burgess, N. (2022) </w:t>
      </w:r>
      <w:r>
        <w:rPr>
          <w:rFonts w:ascii="Arial" w:hAnsi="Arial" w:cs="Arial"/>
          <w:i/>
          <w:sz w:val="20"/>
          <w:szCs w:val="20"/>
        </w:rPr>
        <w:t xml:space="preserve">Operations Management</w:t>
      </w:r>
      <w:r>
        <w:rPr>
          <w:rFonts w:ascii="Arial" w:hAnsi="Arial" w:cs="Arial"/>
          <w:sz w:val="20"/>
          <w:szCs w:val="20"/>
        </w:rPr>
        <w:t xml:space="preserve">. 10th edn. Harlow: Pearson.</w:t>
      </w:r>
    </w:p>
    <w:p>
      <w:pPr>
        <w:pStyle w:val="NoSpacing"/>
        <w:spacing w:after="100"/>
        <w:ind w:left="567" w:hanging="567"/>
        <w:jc w:val="left"/>
      </w:pPr>
      <w:r>
        <w:rPr>
          <w:rFonts w:ascii="Arial" w:hAnsi="Arial" w:cs="Arial"/>
          <w:sz w:val="20"/>
          <w:szCs w:val="20"/>
        </w:rPr>
        <w:t xml:space="preserve">Tang, C.S. (2006) 'Perspectives in supply chain risk management', </w:t>
      </w:r>
      <w:r>
        <w:rPr>
          <w:rFonts w:ascii="Arial" w:hAnsi="Arial" w:cs="Arial"/>
          <w:i/>
          <w:sz w:val="20"/>
          <w:szCs w:val="20"/>
        </w:rPr>
        <w:t xml:space="preserve">International Journal of Production Economics</w:t>
      </w:r>
      <w:r>
        <w:rPr>
          <w:rFonts w:ascii="Arial" w:hAnsi="Arial" w:cs="Arial"/>
          <w:sz w:val="20"/>
          <w:szCs w:val="20"/>
        </w:rPr>
        <w:t xml:space="preserve">, 103(2), pp. 451-488.</w:t>
      </w:r>
    </w:p>
    <w:p>
      <w:pPr>
        <w:pStyle w:val="NoSpacing"/>
        <w:spacing w:after="100"/>
        <w:ind w:left="567" w:hanging="567"/>
        <w:jc w:val="left"/>
      </w:pPr>
      <w:r>
        <w:rPr>
          <w:rFonts w:ascii="Arial" w:hAnsi="Arial" w:cs="Arial"/>
          <w:sz w:val="20"/>
          <w:szCs w:val="20"/>
        </w:rPr>
        <w:t xml:space="preserve">Tukamuhabwa, B.R., Stevenson, M., Busby, J. and Zorzini, M. (2015) 'Supply chain resilience: definition, review and theoretical foundations for further study', </w:t>
      </w:r>
      <w:r>
        <w:rPr>
          <w:rFonts w:ascii="Arial" w:hAnsi="Arial" w:cs="Arial"/>
          <w:i/>
          <w:sz w:val="20"/>
          <w:szCs w:val="20"/>
        </w:rPr>
        <w:t xml:space="preserve">International Journal of Production Research</w:t>
      </w:r>
      <w:r>
        <w:rPr>
          <w:rFonts w:ascii="Arial" w:hAnsi="Arial" w:cs="Arial"/>
          <w:sz w:val="20"/>
          <w:szCs w:val="20"/>
        </w:rPr>
        <w:t xml:space="preserve">, 53(18), pp. 5592-5623.</w:t>
      </w:r>
    </w:p>
    <w:p>
      <w:pPr>
        <w:pStyle w:val="NoSpacing"/>
        <w:spacing w:after="100"/>
        <w:ind w:left="567" w:hanging="567"/>
        <w:jc w:val="left"/>
      </w:pPr>
      <w:r>
        <w:rPr>
          <w:rFonts w:ascii="Arial" w:hAnsi="Arial" w:cs="Arial"/>
          <w:sz w:val="20"/>
          <w:szCs w:val="20"/>
        </w:rPr>
        <w:t xml:space="preserve">Williamson, O.E. (1985) </w:t>
      </w:r>
      <w:r>
        <w:rPr>
          <w:rFonts w:ascii="Arial" w:hAnsi="Arial" w:cs="Arial"/>
          <w:i/>
          <w:sz w:val="20"/>
          <w:szCs w:val="20"/>
        </w:rPr>
        <w:t xml:space="preserve">The Economic Institutions of Capitalism</w:t>
      </w:r>
      <w:r>
        <w:rPr>
          <w:rFonts w:ascii="Arial" w:hAnsi="Arial" w:cs="Arial"/>
          <w:sz w:val="20"/>
          <w:szCs w:val="20"/>
        </w:rPr>
        <w:t xml:space="preserve">. New York: Free Press.</w:t>
      </w:r>
    </w:p>
    <w:p>
      <w:pPr>
        <w:pStyle w:val="NoSpacing"/>
      </w:pPr>
      <w:r>
        <w:br w:type="page"/>
      </w:r>
    </w:p>
    <w:p>
      <w:pPr>
        <w:pStyle w:val="Heading1"/>
      </w:pPr>
      <w:r>
        <w:t>Appendices</w:t>
      </w:r>
    </w:p>
    <w:p>
      <w:pPr>
        <w:pStyle w:val="NoSpacing"/>
        <w:spacing w:after="120"/>
        <w:jc w:val="left"/>
      </w:pPr>
      <w:r>
        <w:rPr>
          <w:rFonts w:ascii="Arial" w:hAnsi="Arial" w:cs="Arial"/>
        </w:rPr>
        <w:t xml:space="preserve">Appendices A to F carry the calculations behind Figures 2 to 6. The report body refers to each one.</w:t>
      </w:r>
    </w:p>
    <w:p>
      <w:pPr>
        <w:pStyle w:val="NoSpacing"/>
        <w:keepNext/>
        <w:spacing w:after="120"/>
      </w:pPr>
      <w:r>
        <w:rPr>
          <w:rFonts w:ascii="Arial" w:hAnsi="Arial" w:cs="Arial"/>
          <w:b/>
        </w:rPr>
        <w:t xml:space="preserve">Appendix A: Gantt task table and critical path calculation</w:t>
      </w:r>
    </w:p>
    <w:p>
      <w:pPr>
        <w:pStyle w:val="NoSpacing"/>
        <w:spacing w:after="120"/>
        <w:jc w:val="left"/>
      </w:pPr>
      <w:r>
        <w:rPr>
          <w:rFonts w:ascii="Arial" w:hAnsi="Arial" w:cs="Arial"/>
          <w:sz w:val="18"/>
          <w:szCs w:val="18"/>
        </w:rPr>
        <w:t xml:space="preserve">Durations are in weeks from Monday 4 January 2027 (week 0). ES and EF are earliest start and finish, LS and LF latest start and finish, and float is LS minus ES. Task 1.3B is the four-week schedule buffer. Task 1.3 (risk and tariff reviews) is a monthly level-of-effort task and is outside the network.</w:t>
      </w:r>
    </w:p>
    <w:tbl>
      <w:tblPr>
        <w:tblW w:w="87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600"/>
        <w:gridCol w:w="3000"/>
        <w:gridCol w:w="560"/>
        <w:gridCol w:w="1100"/>
        <w:gridCol w:w="520"/>
        <w:gridCol w:w="520"/>
        <w:gridCol w:w="520"/>
        <w:gridCol w:w="520"/>
        <w:gridCol w:w="600"/>
        <w:gridCol w:w="786"/>
      </w:tblGrid>
      <w:tr>
        <w:trPr>
          <w:cantSplit/>
          <w:tblHeader/>
        </w:trPr>
        <w:tc>
          <w:tcPr>
            <w:tcW w:w="600" w:type="dxa"/>
            <w:shd w:val="clear" w:color="auto" w:fill="D9D9D9"/>
          </w:tcPr>
          <w:p>
            <w:pPr>
              <w:spacing w:after="0" w:line="240" w:lineRule="auto"/>
              <w:jc w:val="left"/>
            </w:pPr>
            <w:r>
              <w:rPr>
                <w:rFonts w:ascii="Arial" w:hAnsi="Arial" w:cs="Arial"/>
                <w:b/>
                <w:sz w:val="15"/>
                <w:szCs w:val="15"/>
              </w:rPr>
              <w:t xml:space="preserve">ID</w:t>
            </w:r>
          </w:p>
        </w:tc>
        <w:tc>
          <w:tcPr>
            <w:tcW w:w="3000" w:type="dxa"/>
            <w:shd w:val="clear" w:color="auto" w:fill="D9D9D9"/>
          </w:tcPr>
          <w:p>
            <w:pPr>
              <w:spacing w:after="0" w:line="240" w:lineRule="auto"/>
              <w:jc w:val="left"/>
            </w:pPr>
            <w:r>
              <w:rPr>
                <w:rFonts w:ascii="Arial" w:hAnsi="Arial" w:cs="Arial"/>
                <w:b/>
                <w:sz w:val="15"/>
                <w:szCs w:val="15"/>
              </w:rPr>
              <w:t xml:space="preserve">Task</w:t>
            </w:r>
          </w:p>
        </w:tc>
        <w:tc>
          <w:tcPr>
            <w:tcW w:w="560" w:type="dxa"/>
            <w:shd w:val="clear" w:color="auto" w:fill="D9D9D9"/>
          </w:tcPr>
          <w:p>
            <w:pPr>
              <w:spacing w:after="0" w:line="240" w:lineRule="auto"/>
              <w:jc w:val="center"/>
            </w:pPr>
            <w:r>
              <w:rPr>
                <w:rFonts w:ascii="Arial" w:hAnsi="Arial" w:cs="Arial"/>
                <w:b/>
                <w:sz w:val="15"/>
                <w:szCs w:val="15"/>
              </w:rPr>
              <w:t xml:space="preserve">Dur.</w:t>
            </w:r>
          </w:p>
        </w:tc>
        <w:tc>
          <w:tcPr>
            <w:tcW w:w="1100" w:type="dxa"/>
            <w:shd w:val="clear" w:color="auto" w:fill="D9D9D9"/>
          </w:tcPr>
          <w:p>
            <w:pPr>
              <w:spacing w:after="0" w:line="240" w:lineRule="auto"/>
              <w:jc w:val="left"/>
            </w:pPr>
            <w:r>
              <w:rPr>
                <w:rFonts w:ascii="Arial" w:hAnsi="Arial" w:cs="Arial"/>
                <w:b/>
                <w:sz w:val="15"/>
                <w:szCs w:val="15"/>
              </w:rPr>
              <w:t xml:space="preserve">Predecessors</w:t>
            </w:r>
          </w:p>
        </w:tc>
        <w:tc>
          <w:tcPr>
            <w:tcW w:w="520" w:type="dxa"/>
            <w:shd w:val="clear" w:color="auto" w:fill="D9D9D9"/>
          </w:tcPr>
          <w:p>
            <w:pPr>
              <w:spacing w:after="0" w:line="240" w:lineRule="auto"/>
              <w:jc w:val="center"/>
            </w:pPr>
            <w:r>
              <w:rPr>
                <w:rFonts w:ascii="Arial" w:hAnsi="Arial" w:cs="Arial"/>
                <w:b/>
                <w:sz w:val="15"/>
                <w:szCs w:val="15"/>
              </w:rPr>
              <w:t xml:space="preserve">ES</w:t>
            </w:r>
          </w:p>
        </w:tc>
        <w:tc>
          <w:tcPr>
            <w:tcW w:w="520" w:type="dxa"/>
            <w:shd w:val="clear" w:color="auto" w:fill="D9D9D9"/>
          </w:tcPr>
          <w:p>
            <w:pPr>
              <w:spacing w:after="0" w:line="240" w:lineRule="auto"/>
              <w:jc w:val="center"/>
            </w:pPr>
            <w:r>
              <w:rPr>
                <w:rFonts w:ascii="Arial" w:hAnsi="Arial" w:cs="Arial"/>
                <w:b/>
                <w:sz w:val="15"/>
                <w:szCs w:val="15"/>
              </w:rPr>
              <w:t xml:space="preserve">EF</w:t>
            </w:r>
          </w:p>
        </w:tc>
        <w:tc>
          <w:tcPr>
            <w:tcW w:w="520" w:type="dxa"/>
            <w:shd w:val="clear" w:color="auto" w:fill="D9D9D9"/>
          </w:tcPr>
          <w:p>
            <w:pPr>
              <w:spacing w:after="0" w:line="240" w:lineRule="auto"/>
              <w:jc w:val="center"/>
            </w:pPr>
            <w:r>
              <w:rPr>
                <w:rFonts w:ascii="Arial" w:hAnsi="Arial" w:cs="Arial"/>
                <w:b/>
                <w:sz w:val="15"/>
                <w:szCs w:val="15"/>
              </w:rPr>
              <w:t xml:space="preserve">LS</w:t>
            </w:r>
          </w:p>
        </w:tc>
        <w:tc>
          <w:tcPr>
            <w:tcW w:w="520" w:type="dxa"/>
            <w:shd w:val="clear" w:color="auto" w:fill="D9D9D9"/>
          </w:tcPr>
          <w:p>
            <w:pPr>
              <w:spacing w:after="0" w:line="240" w:lineRule="auto"/>
              <w:jc w:val="center"/>
            </w:pPr>
            <w:r>
              <w:rPr>
                <w:rFonts w:ascii="Arial" w:hAnsi="Arial" w:cs="Arial"/>
                <w:b/>
                <w:sz w:val="15"/>
                <w:szCs w:val="15"/>
              </w:rPr>
              <w:t xml:space="preserve">LF</w:t>
            </w:r>
          </w:p>
        </w:tc>
        <w:tc>
          <w:tcPr>
            <w:tcW w:w="600" w:type="dxa"/>
            <w:shd w:val="clear" w:color="auto" w:fill="D9D9D9"/>
          </w:tcPr>
          <w:p>
            <w:pPr>
              <w:spacing w:after="0" w:line="240" w:lineRule="auto"/>
              <w:jc w:val="center"/>
            </w:pPr>
            <w:r>
              <w:rPr>
                <w:rFonts w:ascii="Arial" w:hAnsi="Arial" w:cs="Arial"/>
                <w:b/>
                <w:sz w:val="15"/>
                <w:szCs w:val="15"/>
              </w:rPr>
              <w:t xml:space="preserve">Float</w:t>
            </w:r>
          </w:p>
        </w:tc>
        <w:tc>
          <w:tcPr>
            <w:tcW w:w="786" w:type="dxa"/>
            <w:shd w:val="clear" w:color="auto" w:fill="D9D9D9"/>
          </w:tcPr>
          <w:p>
            <w:pPr>
              <w:spacing w:after="0" w:line="240" w:lineRule="auto"/>
              <w:jc w:val="center"/>
            </w:pPr>
            <w:r>
              <w:rPr>
                <w:rFonts w:ascii="Arial" w:hAnsi="Arial" w:cs="Arial"/>
                <w:b/>
                <w:sz w:val="15"/>
                <w:szCs w:val="15"/>
              </w:rPr>
              <w:t xml:space="preserve">Critical</w:t>
            </w:r>
          </w:p>
        </w:tc>
      </w:tr>
      <w:tr>
        <w:trPr>
          <w:cantSplit/>
        </w:trPr>
        <w:tc>
          <w:tcPr>
            <w:tcW w:w="600" w:type="dxa"/>
          </w:tcPr>
          <w:p>
            <w:pPr>
              <w:spacing w:after="0" w:line="240" w:lineRule="auto"/>
              <w:jc w:val="left"/>
            </w:pPr>
            <w:r>
              <w:rPr>
                <w:rFonts w:ascii="Arial" w:hAnsi="Arial" w:cs="Arial"/>
                <w:sz w:val="15"/>
                <w:szCs w:val="15"/>
              </w:rPr>
              <w:t xml:space="preserve">1.1</w:t>
            </w:r>
          </w:p>
        </w:tc>
        <w:tc>
          <w:tcPr>
            <w:tcW w:w="3000" w:type="dxa"/>
          </w:tcPr>
          <w:p>
            <w:pPr>
              <w:spacing w:after="0" w:line="240" w:lineRule="auto"/>
              <w:jc w:val="left"/>
            </w:pPr>
            <w:r>
              <w:rPr>
                <w:rFonts w:ascii="Arial" w:hAnsi="Arial" w:cs="Arial"/>
                <w:sz w:val="15"/>
                <w:szCs w:val="15"/>
              </w:rPr>
              <w:t xml:space="preserve">Charter and steering committee</w:t>
            </w:r>
          </w:p>
        </w:tc>
        <w:tc>
          <w:tcPr>
            <w:tcW w:w="560" w:type="dxa"/>
          </w:tcPr>
          <w:p>
            <w:pPr>
              <w:spacing w:after="0" w:line="240" w:lineRule="auto"/>
              <w:jc w:val="center"/>
            </w:pPr>
            <w:r>
              <w:rPr>
                <w:rFonts w:ascii="Arial" w:hAnsi="Arial" w:cs="Arial"/>
                <w:sz w:val="15"/>
                <w:szCs w:val="15"/>
              </w:rPr>
              <w:t xml:space="preserve">4</w:t>
            </w:r>
          </w:p>
        </w:tc>
        <w:tc>
          <w:tcPr>
            <w:tcW w:w="1100" w:type="dxa"/>
          </w:tcPr>
          <w:p>
            <w:pPr>
              <w:spacing w:after="0" w:line="240" w:lineRule="auto"/>
              <w:jc w:val="left"/>
            </w:pPr>
            <w:r>
              <w:rPr>
                <w:rFonts w:ascii="Arial" w:hAnsi="Arial" w:cs="Arial"/>
                <w:sz w:val="15"/>
                <w:szCs w:val="15"/>
              </w:rPr>
              <w:t xml:space="preserve">-</w:t>
            </w:r>
          </w:p>
        </w:tc>
        <w:tc>
          <w:tcPr>
            <w:tcW w:w="520" w:type="dxa"/>
          </w:tcPr>
          <w:p>
            <w:pPr>
              <w:spacing w:after="0" w:line="240" w:lineRule="auto"/>
              <w:jc w:val="center"/>
            </w:pPr>
            <w:r>
              <w:rPr>
                <w:rFonts w:ascii="Arial" w:hAnsi="Arial" w:cs="Arial"/>
                <w:sz w:val="15"/>
                <w:szCs w:val="15"/>
              </w:rPr>
              <w:t xml:space="preserve">0</w:t>
            </w:r>
          </w:p>
        </w:tc>
        <w:tc>
          <w:tcPr>
            <w:tcW w:w="520" w:type="dxa"/>
          </w:tcPr>
          <w:p>
            <w:pPr>
              <w:spacing w:after="0" w:line="240" w:lineRule="auto"/>
              <w:jc w:val="center"/>
            </w:pPr>
            <w:r>
              <w:rPr>
                <w:rFonts w:ascii="Arial" w:hAnsi="Arial" w:cs="Arial"/>
                <w:sz w:val="15"/>
                <w:szCs w:val="15"/>
              </w:rPr>
              <w:t xml:space="preserve">4</w:t>
            </w:r>
          </w:p>
        </w:tc>
        <w:tc>
          <w:tcPr>
            <w:tcW w:w="520" w:type="dxa"/>
          </w:tcPr>
          <w:p>
            <w:pPr>
              <w:spacing w:after="0" w:line="240" w:lineRule="auto"/>
              <w:jc w:val="center"/>
            </w:pPr>
            <w:r>
              <w:rPr>
                <w:rFonts w:ascii="Arial" w:hAnsi="Arial" w:cs="Arial"/>
                <w:sz w:val="15"/>
                <w:szCs w:val="15"/>
              </w:rPr>
              <w:t xml:space="preserve">0</w:t>
            </w:r>
          </w:p>
        </w:tc>
        <w:tc>
          <w:tcPr>
            <w:tcW w:w="520" w:type="dxa"/>
          </w:tcPr>
          <w:p>
            <w:pPr>
              <w:spacing w:after="0" w:line="240" w:lineRule="auto"/>
              <w:jc w:val="center"/>
            </w:pPr>
            <w:r>
              <w:rPr>
                <w:rFonts w:ascii="Arial" w:hAnsi="Arial" w:cs="Arial"/>
                <w:sz w:val="15"/>
                <w:szCs w:val="15"/>
              </w:rPr>
              <w:t xml:space="preserve">4</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1.2</w:t>
            </w:r>
          </w:p>
        </w:tc>
        <w:tc>
          <w:tcPr>
            <w:tcW w:w="3000" w:type="dxa"/>
          </w:tcPr>
          <w:p>
            <w:pPr>
              <w:spacing w:after="0" w:line="240" w:lineRule="auto"/>
              <w:jc w:val="left"/>
            </w:pPr>
            <w:r>
              <w:rPr>
                <w:rFonts w:ascii="Arial" w:hAnsi="Arial" w:cs="Arial"/>
                <w:sz w:val="15"/>
                <w:szCs w:val="15"/>
              </w:rPr>
              <w:t xml:space="preserve">Stakeholder and communication plan</w:t>
            </w:r>
          </w:p>
        </w:tc>
        <w:tc>
          <w:tcPr>
            <w:tcW w:w="560" w:type="dxa"/>
          </w:tcPr>
          <w:p>
            <w:pPr>
              <w:spacing w:after="0" w:line="240" w:lineRule="auto"/>
              <w:jc w:val="center"/>
            </w:pPr>
            <w:r>
              <w:rPr>
                <w:rFonts w:ascii="Arial" w:hAnsi="Arial" w:cs="Arial"/>
                <w:sz w:val="15"/>
                <w:szCs w:val="15"/>
              </w:rPr>
              <w:t xml:space="preserve">4</w:t>
            </w:r>
          </w:p>
        </w:tc>
        <w:tc>
          <w:tcPr>
            <w:tcW w:w="1100" w:type="dxa"/>
          </w:tcPr>
          <w:p>
            <w:pPr>
              <w:spacing w:after="0" w:line="240" w:lineRule="auto"/>
              <w:jc w:val="left"/>
            </w:pPr>
            <w:r>
              <w:rPr>
                <w:rFonts w:ascii="Arial" w:hAnsi="Arial" w:cs="Arial"/>
                <w:sz w:val="15"/>
                <w:szCs w:val="15"/>
              </w:rPr>
              <w:t xml:space="preserve">1.1</w:t>
            </w:r>
          </w:p>
        </w:tc>
        <w:tc>
          <w:tcPr>
            <w:tcW w:w="520" w:type="dxa"/>
          </w:tcPr>
          <w:p>
            <w:pPr>
              <w:spacing w:after="0" w:line="240" w:lineRule="auto"/>
              <w:jc w:val="center"/>
            </w:pPr>
            <w:r>
              <w:rPr>
                <w:rFonts w:ascii="Arial" w:hAnsi="Arial" w:cs="Arial"/>
                <w:sz w:val="15"/>
                <w:szCs w:val="15"/>
              </w:rPr>
              <w:t xml:space="preserve">4</w:t>
            </w:r>
          </w:p>
        </w:tc>
        <w:tc>
          <w:tcPr>
            <w:tcW w:w="520" w:type="dxa"/>
          </w:tcPr>
          <w:p>
            <w:pPr>
              <w:spacing w:after="0" w:line="240" w:lineRule="auto"/>
              <w:jc w:val="center"/>
            </w:pPr>
            <w:r>
              <w:rPr>
                <w:rFonts w:ascii="Arial" w:hAnsi="Arial" w:cs="Arial"/>
                <w:sz w:val="15"/>
                <w:szCs w:val="15"/>
              </w:rPr>
              <w:t xml:space="preserve">8</w:t>
            </w:r>
          </w:p>
        </w:tc>
        <w:tc>
          <w:tcPr>
            <w:tcW w:w="520" w:type="dxa"/>
          </w:tcPr>
          <w:p>
            <w:pPr>
              <w:spacing w:after="0" w:line="240" w:lineRule="auto"/>
              <w:jc w:val="center"/>
            </w:pPr>
            <w:r>
              <w:rPr>
                <w:rFonts w:ascii="Arial" w:hAnsi="Arial" w:cs="Arial"/>
                <w:sz w:val="15"/>
                <w:szCs w:val="15"/>
              </w:rPr>
              <w:t xml:space="preserve">74</w:t>
            </w:r>
          </w:p>
        </w:tc>
        <w:tc>
          <w:tcPr>
            <w:tcW w:w="520" w:type="dxa"/>
          </w:tcPr>
          <w:p>
            <w:pPr>
              <w:spacing w:after="0" w:line="240" w:lineRule="auto"/>
              <w:jc w:val="center"/>
            </w:pPr>
            <w:r>
              <w:rPr>
                <w:rFonts w:ascii="Arial" w:hAnsi="Arial" w:cs="Arial"/>
                <w:sz w:val="15"/>
                <w:szCs w:val="15"/>
              </w:rPr>
              <w:t xml:space="preserve">78</w:t>
            </w:r>
          </w:p>
        </w:tc>
        <w:tc>
          <w:tcPr>
            <w:tcW w:w="600" w:type="dxa"/>
          </w:tcPr>
          <w:p>
            <w:pPr>
              <w:spacing w:after="0" w:line="240" w:lineRule="auto"/>
              <w:jc w:val="center"/>
            </w:pPr>
            <w:r>
              <w:rPr>
                <w:rFonts w:ascii="Arial" w:hAnsi="Arial" w:cs="Arial"/>
                <w:sz w:val="15"/>
                <w:szCs w:val="15"/>
              </w:rPr>
              <w:t xml:space="preserve">70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1.3B</w:t>
            </w:r>
          </w:p>
        </w:tc>
        <w:tc>
          <w:tcPr>
            <w:tcW w:w="3000" w:type="dxa"/>
          </w:tcPr>
          <w:p>
            <w:pPr>
              <w:spacing w:after="0" w:line="240" w:lineRule="auto"/>
              <w:jc w:val="left"/>
            </w:pPr>
            <w:r>
              <w:rPr>
                <w:rFonts w:ascii="Arial" w:hAnsi="Arial" w:cs="Arial"/>
                <w:sz w:val="15"/>
                <w:szCs w:val="15"/>
              </w:rPr>
              <w:t xml:space="preserve">Schedule buffer (supplier approval risk)</w:t>
            </w:r>
          </w:p>
        </w:tc>
        <w:tc>
          <w:tcPr>
            <w:tcW w:w="560" w:type="dxa"/>
          </w:tcPr>
          <w:p>
            <w:pPr>
              <w:spacing w:after="0" w:line="240" w:lineRule="auto"/>
              <w:jc w:val="center"/>
            </w:pPr>
            <w:r>
              <w:rPr>
                <w:rFonts w:ascii="Arial" w:hAnsi="Arial" w:cs="Arial"/>
                <w:sz w:val="15"/>
                <w:szCs w:val="15"/>
              </w:rPr>
              <w:t xml:space="preserve">4</w:t>
            </w:r>
          </w:p>
        </w:tc>
        <w:tc>
          <w:tcPr>
            <w:tcW w:w="1100" w:type="dxa"/>
          </w:tcPr>
          <w:p>
            <w:pPr>
              <w:spacing w:after="0" w:line="240" w:lineRule="auto"/>
              <w:jc w:val="left"/>
            </w:pPr>
            <w:r>
              <w:rPr>
                <w:rFonts w:ascii="Arial" w:hAnsi="Arial" w:cs="Arial"/>
                <w:sz w:val="15"/>
                <w:szCs w:val="15"/>
              </w:rPr>
              <w:t xml:space="preserve">3.3</w:t>
            </w:r>
          </w:p>
        </w:tc>
        <w:tc>
          <w:tcPr>
            <w:tcW w:w="520" w:type="dxa"/>
          </w:tcPr>
          <w:p>
            <w:pPr>
              <w:spacing w:after="0" w:line="240" w:lineRule="auto"/>
              <w:jc w:val="center"/>
            </w:pPr>
            <w:r>
              <w:rPr>
                <w:rFonts w:ascii="Arial" w:hAnsi="Arial" w:cs="Arial"/>
                <w:sz w:val="15"/>
                <w:szCs w:val="15"/>
              </w:rPr>
              <w:t xml:space="preserve">44</w:t>
            </w:r>
          </w:p>
        </w:tc>
        <w:tc>
          <w:tcPr>
            <w:tcW w:w="520" w:type="dxa"/>
          </w:tcPr>
          <w:p>
            <w:pPr>
              <w:spacing w:after="0" w:line="240" w:lineRule="auto"/>
              <w:jc w:val="center"/>
            </w:pPr>
            <w:r>
              <w:rPr>
                <w:rFonts w:ascii="Arial" w:hAnsi="Arial" w:cs="Arial"/>
                <w:sz w:val="15"/>
                <w:szCs w:val="15"/>
              </w:rPr>
              <w:t xml:space="preserve">48</w:t>
            </w:r>
          </w:p>
        </w:tc>
        <w:tc>
          <w:tcPr>
            <w:tcW w:w="520" w:type="dxa"/>
          </w:tcPr>
          <w:p>
            <w:pPr>
              <w:spacing w:after="0" w:line="240" w:lineRule="auto"/>
              <w:jc w:val="center"/>
            </w:pPr>
            <w:r>
              <w:rPr>
                <w:rFonts w:ascii="Arial" w:hAnsi="Arial" w:cs="Arial"/>
                <w:sz w:val="15"/>
                <w:szCs w:val="15"/>
              </w:rPr>
              <w:t xml:space="preserve">44</w:t>
            </w:r>
          </w:p>
        </w:tc>
        <w:tc>
          <w:tcPr>
            <w:tcW w:w="520" w:type="dxa"/>
          </w:tcPr>
          <w:p>
            <w:pPr>
              <w:spacing w:after="0" w:line="240" w:lineRule="auto"/>
              <w:jc w:val="center"/>
            </w:pPr>
            <w:r>
              <w:rPr>
                <w:rFonts w:ascii="Arial" w:hAnsi="Arial" w:cs="Arial"/>
                <w:sz w:val="15"/>
                <w:szCs w:val="15"/>
              </w:rPr>
              <w:t xml:space="preserve">48</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1.4</w:t>
            </w:r>
          </w:p>
        </w:tc>
        <w:tc>
          <w:tcPr>
            <w:tcW w:w="3000" w:type="dxa"/>
          </w:tcPr>
          <w:p>
            <w:pPr>
              <w:spacing w:after="0" w:line="240" w:lineRule="auto"/>
              <w:jc w:val="left"/>
            </w:pPr>
            <w:r>
              <w:rPr>
                <w:rFonts w:ascii="Arial" w:hAnsi="Arial" w:cs="Arial"/>
                <w:sz w:val="15"/>
                <w:szCs w:val="15"/>
              </w:rPr>
              <w:t xml:space="preserve">Benefits tracking and close-out</w:t>
            </w:r>
          </w:p>
        </w:tc>
        <w:tc>
          <w:tcPr>
            <w:tcW w:w="560" w:type="dxa"/>
          </w:tcPr>
          <w:p>
            <w:pPr>
              <w:spacing w:after="0" w:line="240" w:lineRule="auto"/>
              <w:jc w:val="center"/>
            </w:pPr>
            <w:r>
              <w:rPr>
                <w:rFonts w:ascii="Arial" w:hAnsi="Arial" w:cs="Arial"/>
                <w:sz w:val="15"/>
                <w:szCs w:val="15"/>
              </w:rPr>
              <w:t xml:space="preserve">2</w:t>
            </w:r>
          </w:p>
        </w:tc>
        <w:tc>
          <w:tcPr>
            <w:tcW w:w="1100" w:type="dxa"/>
          </w:tcPr>
          <w:p>
            <w:pPr>
              <w:spacing w:after="0" w:line="240" w:lineRule="auto"/>
              <w:jc w:val="left"/>
            </w:pPr>
            <w:r>
              <w:rPr>
                <w:rFonts w:ascii="Arial" w:hAnsi="Arial" w:cs="Arial"/>
                <w:sz w:val="15"/>
                <w:szCs w:val="15"/>
              </w:rPr>
              <w:t xml:space="preserve">6.4</w:t>
            </w:r>
          </w:p>
        </w:tc>
        <w:tc>
          <w:tcPr>
            <w:tcW w:w="520" w:type="dxa"/>
          </w:tcPr>
          <w:p>
            <w:pPr>
              <w:spacing w:after="0" w:line="240" w:lineRule="auto"/>
              <w:jc w:val="center"/>
            </w:pPr>
            <w:r>
              <w:rPr>
                <w:rFonts w:ascii="Arial" w:hAnsi="Arial" w:cs="Arial"/>
                <w:sz w:val="15"/>
                <w:szCs w:val="15"/>
              </w:rPr>
              <w:t xml:space="preserve">76</w:t>
            </w:r>
          </w:p>
        </w:tc>
        <w:tc>
          <w:tcPr>
            <w:tcW w:w="520" w:type="dxa"/>
          </w:tcPr>
          <w:p>
            <w:pPr>
              <w:spacing w:after="0" w:line="240" w:lineRule="auto"/>
              <w:jc w:val="center"/>
            </w:pPr>
            <w:r>
              <w:rPr>
                <w:rFonts w:ascii="Arial" w:hAnsi="Arial" w:cs="Arial"/>
                <w:sz w:val="15"/>
                <w:szCs w:val="15"/>
              </w:rPr>
              <w:t xml:space="preserve">78</w:t>
            </w:r>
          </w:p>
        </w:tc>
        <w:tc>
          <w:tcPr>
            <w:tcW w:w="520" w:type="dxa"/>
          </w:tcPr>
          <w:p>
            <w:pPr>
              <w:spacing w:after="0" w:line="240" w:lineRule="auto"/>
              <w:jc w:val="center"/>
            </w:pPr>
            <w:r>
              <w:rPr>
                <w:rFonts w:ascii="Arial" w:hAnsi="Arial" w:cs="Arial"/>
                <w:sz w:val="15"/>
                <w:szCs w:val="15"/>
              </w:rPr>
              <w:t xml:space="preserve">76</w:t>
            </w:r>
          </w:p>
        </w:tc>
        <w:tc>
          <w:tcPr>
            <w:tcW w:w="520" w:type="dxa"/>
          </w:tcPr>
          <w:p>
            <w:pPr>
              <w:spacing w:after="0" w:line="240" w:lineRule="auto"/>
              <w:jc w:val="center"/>
            </w:pPr>
            <w:r>
              <w:rPr>
                <w:rFonts w:ascii="Arial" w:hAnsi="Arial" w:cs="Arial"/>
                <w:sz w:val="15"/>
                <w:szCs w:val="15"/>
              </w:rPr>
              <w:t xml:space="preserve">78</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2.1</w:t>
            </w:r>
          </w:p>
        </w:tc>
        <w:tc>
          <w:tcPr>
            <w:tcW w:w="3000" w:type="dxa"/>
          </w:tcPr>
          <w:p>
            <w:pPr>
              <w:spacing w:after="0" w:line="240" w:lineRule="auto"/>
              <w:jc w:val="left"/>
            </w:pPr>
            <w:r>
              <w:rPr>
                <w:rFonts w:ascii="Arial" w:hAnsi="Arial" w:cs="Arial"/>
                <w:sz w:val="15"/>
                <w:szCs w:val="15"/>
              </w:rPr>
              <w:t xml:space="preserve">Requirements and vendor selection</w:t>
            </w:r>
          </w:p>
        </w:tc>
        <w:tc>
          <w:tcPr>
            <w:tcW w:w="560" w:type="dxa"/>
          </w:tcPr>
          <w:p>
            <w:pPr>
              <w:spacing w:after="0" w:line="240" w:lineRule="auto"/>
              <w:jc w:val="center"/>
            </w:pPr>
            <w:r>
              <w:rPr>
                <w:rFonts w:ascii="Arial" w:hAnsi="Arial" w:cs="Arial"/>
                <w:sz w:val="15"/>
                <w:szCs w:val="15"/>
              </w:rPr>
              <w:t xml:space="preserve">10</w:t>
            </w:r>
          </w:p>
        </w:tc>
        <w:tc>
          <w:tcPr>
            <w:tcW w:w="1100" w:type="dxa"/>
          </w:tcPr>
          <w:p>
            <w:pPr>
              <w:spacing w:after="0" w:line="240" w:lineRule="auto"/>
              <w:jc w:val="left"/>
            </w:pPr>
            <w:r>
              <w:rPr>
                <w:rFonts w:ascii="Arial" w:hAnsi="Arial" w:cs="Arial"/>
                <w:sz w:val="15"/>
                <w:szCs w:val="15"/>
              </w:rPr>
              <w:t xml:space="preserve">1.1</w:t>
            </w:r>
          </w:p>
        </w:tc>
        <w:tc>
          <w:tcPr>
            <w:tcW w:w="520" w:type="dxa"/>
          </w:tcPr>
          <w:p>
            <w:pPr>
              <w:spacing w:after="0" w:line="240" w:lineRule="auto"/>
              <w:jc w:val="center"/>
            </w:pPr>
            <w:r>
              <w:rPr>
                <w:rFonts w:ascii="Arial" w:hAnsi="Arial" w:cs="Arial"/>
                <w:sz w:val="15"/>
                <w:szCs w:val="15"/>
              </w:rPr>
              <w:t xml:space="preserve">4</w:t>
            </w:r>
          </w:p>
        </w:tc>
        <w:tc>
          <w:tcPr>
            <w:tcW w:w="520" w:type="dxa"/>
          </w:tcPr>
          <w:p>
            <w:pPr>
              <w:spacing w:after="0" w:line="240" w:lineRule="auto"/>
              <w:jc w:val="center"/>
            </w:pPr>
            <w:r>
              <w:rPr>
                <w:rFonts w:ascii="Arial" w:hAnsi="Arial" w:cs="Arial"/>
                <w:sz w:val="15"/>
                <w:szCs w:val="15"/>
              </w:rPr>
              <w:t xml:space="preserve">14</w:t>
            </w:r>
          </w:p>
        </w:tc>
        <w:tc>
          <w:tcPr>
            <w:tcW w:w="520" w:type="dxa"/>
          </w:tcPr>
          <w:p>
            <w:pPr>
              <w:spacing w:after="0" w:line="240" w:lineRule="auto"/>
              <w:jc w:val="center"/>
            </w:pPr>
            <w:r>
              <w:rPr>
                <w:rFonts w:ascii="Arial" w:hAnsi="Arial" w:cs="Arial"/>
                <w:sz w:val="15"/>
                <w:szCs w:val="15"/>
              </w:rPr>
              <w:t xml:space="preserve">14</w:t>
            </w:r>
          </w:p>
        </w:tc>
        <w:tc>
          <w:tcPr>
            <w:tcW w:w="520" w:type="dxa"/>
          </w:tcPr>
          <w:p>
            <w:pPr>
              <w:spacing w:after="0" w:line="240" w:lineRule="auto"/>
              <w:jc w:val="center"/>
            </w:pPr>
            <w:r>
              <w:rPr>
                <w:rFonts w:ascii="Arial" w:hAnsi="Arial" w:cs="Arial"/>
                <w:sz w:val="15"/>
                <w:szCs w:val="15"/>
              </w:rPr>
              <w:t xml:space="preserve">24</w:t>
            </w:r>
          </w:p>
        </w:tc>
        <w:tc>
          <w:tcPr>
            <w:tcW w:w="600" w:type="dxa"/>
          </w:tcPr>
          <w:p>
            <w:pPr>
              <w:spacing w:after="0" w:line="240" w:lineRule="auto"/>
              <w:jc w:val="center"/>
            </w:pPr>
            <w:r>
              <w:rPr>
                <w:rFonts w:ascii="Arial" w:hAnsi="Arial" w:cs="Arial"/>
                <w:sz w:val="15"/>
                <w:szCs w:val="15"/>
              </w:rPr>
              <w:t xml:space="preserve">10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2.2</w:t>
            </w:r>
          </w:p>
        </w:tc>
        <w:tc>
          <w:tcPr>
            <w:tcW w:w="3000" w:type="dxa"/>
          </w:tcPr>
          <w:p>
            <w:pPr>
              <w:spacing w:after="0" w:line="240" w:lineRule="auto"/>
              <w:jc w:val="left"/>
            </w:pPr>
            <w:r>
              <w:rPr>
                <w:rFonts w:ascii="Arial" w:hAnsi="Arial" w:cs="Arial"/>
                <w:sz w:val="15"/>
                <w:szCs w:val="15"/>
              </w:rPr>
              <w:t xml:space="preserve">Platform configuration and integration</w:t>
            </w:r>
          </w:p>
        </w:tc>
        <w:tc>
          <w:tcPr>
            <w:tcW w:w="560" w:type="dxa"/>
          </w:tcPr>
          <w:p>
            <w:pPr>
              <w:spacing w:after="0" w:line="240" w:lineRule="auto"/>
              <w:jc w:val="center"/>
            </w:pPr>
            <w:r>
              <w:rPr>
                <w:rFonts w:ascii="Arial" w:hAnsi="Arial" w:cs="Arial"/>
                <w:sz w:val="15"/>
                <w:szCs w:val="15"/>
              </w:rPr>
              <w:t xml:space="preserve">16</w:t>
            </w:r>
          </w:p>
        </w:tc>
        <w:tc>
          <w:tcPr>
            <w:tcW w:w="1100" w:type="dxa"/>
          </w:tcPr>
          <w:p>
            <w:pPr>
              <w:spacing w:after="0" w:line="240" w:lineRule="auto"/>
              <w:jc w:val="left"/>
            </w:pPr>
            <w:r>
              <w:rPr>
                <w:rFonts w:ascii="Arial" w:hAnsi="Arial" w:cs="Arial"/>
                <w:sz w:val="15"/>
                <w:szCs w:val="15"/>
              </w:rPr>
              <w:t xml:space="preserve">2.1</w:t>
            </w:r>
          </w:p>
        </w:tc>
        <w:tc>
          <w:tcPr>
            <w:tcW w:w="520" w:type="dxa"/>
          </w:tcPr>
          <w:p>
            <w:pPr>
              <w:spacing w:after="0" w:line="240" w:lineRule="auto"/>
              <w:jc w:val="center"/>
            </w:pPr>
            <w:r>
              <w:rPr>
                <w:rFonts w:ascii="Arial" w:hAnsi="Arial" w:cs="Arial"/>
                <w:sz w:val="15"/>
                <w:szCs w:val="15"/>
              </w:rPr>
              <w:t xml:space="preserve">14</w:t>
            </w:r>
          </w:p>
        </w:tc>
        <w:tc>
          <w:tcPr>
            <w:tcW w:w="520" w:type="dxa"/>
          </w:tcPr>
          <w:p>
            <w:pPr>
              <w:spacing w:after="0" w:line="240" w:lineRule="auto"/>
              <w:jc w:val="center"/>
            </w:pPr>
            <w:r>
              <w:rPr>
                <w:rFonts w:ascii="Arial" w:hAnsi="Arial" w:cs="Arial"/>
                <w:sz w:val="15"/>
                <w:szCs w:val="15"/>
              </w:rPr>
              <w:t xml:space="preserve">30</w:t>
            </w:r>
          </w:p>
        </w:tc>
        <w:tc>
          <w:tcPr>
            <w:tcW w:w="520" w:type="dxa"/>
          </w:tcPr>
          <w:p>
            <w:pPr>
              <w:spacing w:after="0" w:line="240" w:lineRule="auto"/>
              <w:jc w:val="center"/>
            </w:pPr>
            <w:r>
              <w:rPr>
                <w:rFonts w:ascii="Arial" w:hAnsi="Arial" w:cs="Arial"/>
                <w:sz w:val="15"/>
                <w:szCs w:val="15"/>
              </w:rPr>
              <w:t xml:space="preserve">24</w:t>
            </w:r>
          </w:p>
        </w:tc>
        <w:tc>
          <w:tcPr>
            <w:tcW w:w="520" w:type="dxa"/>
          </w:tcPr>
          <w:p>
            <w:pPr>
              <w:spacing w:after="0" w:line="240" w:lineRule="auto"/>
              <w:jc w:val="center"/>
            </w:pPr>
            <w:r>
              <w:rPr>
                <w:rFonts w:ascii="Arial" w:hAnsi="Arial" w:cs="Arial"/>
                <w:sz w:val="15"/>
                <w:szCs w:val="15"/>
              </w:rPr>
              <w:t xml:space="preserve">40</w:t>
            </w:r>
          </w:p>
        </w:tc>
        <w:tc>
          <w:tcPr>
            <w:tcW w:w="600" w:type="dxa"/>
          </w:tcPr>
          <w:p>
            <w:pPr>
              <w:spacing w:after="0" w:line="240" w:lineRule="auto"/>
              <w:jc w:val="center"/>
            </w:pPr>
            <w:r>
              <w:rPr>
                <w:rFonts w:ascii="Arial" w:hAnsi="Arial" w:cs="Arial"/>
                <w:sz w:val="15"/>
                <w:szCs w:val="15"/>
              </w:rPr>
              <w:t xml:space="preserve">10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2.3</w:t>
            </w:r>
          </w:p>
        </w:tc>
        <w:tc>
          <w:tcPr>
            <w:tcW w:w="3000" w:type="dxa"/>
          </w:tcPr>
          <w:p>
            <w:pPr>
              <w:spacing w:after="0" w:line="240" w:lineRule="auto"/>
              <w:jc w:val="left"/>
            </w:pPr>
            <w:r>
              <w:rPr>
                <w:rFonts w:ascii="Arial" w:hAnsi="Arial" w:cs="Arial"/>
                <w:sz w:val="15"/>
                <w:szCs w:val="15"/>
              </w:rPr>
              <w:t xml:space="preserve">Tier 1 data onboarding</w:t>
            </w:r>
          </w:p>
        </w:tc>
        <w:tc>
          <w:tcPr>
            <w:tcW w:w="560" w:type="dxa"/>
          </w:tcPr>
          <w:p>
            <w:pPr>
              <w:spacing w:after="0" w:line="240" w:lineRule="auto"/>
              <w:jc w:val="center"/>
            </w:pPr>
            <w:r>
              <w:rPr>
                <w:rFonts w:ascii="Arial" w:hAnsi="Arial" w:cs="Arial"/>
                <w:sz w:val="15"/>
                <w:szCs w:val="15"/>
              </w:rPr>
              <w:t xml:space="preserve">12</w:t>
            </w:r>
          </w:p>
        </w:tc>
        <w:tc>
          <w:tcPr>
            <w:tcW w:w="1100" w:type="dxa"/>
          </w:tcPr>
          <w:p>
            <w:pPr>
              <w:spacing w:after="0" w:line="240" w:lineRule="auto"/>
              <w:jc w:val="left"/>
            </w:pPr>
            <w:r>
              <w:rPr>
                <w:rFonts w:ascii="Arial" w:hAnsi="Arial" w:cs="Arial"/>
                <w:sz w:val="15"/>
                <w:szCs w:val="15"/>
              </w:rPr>
              <w:t xml:space="preserve">2.2</w:t>
            </w:r>
          </w:p>
        </w:tc>
        <w:tc>
          <w:tcPr>
            <w:tcW w:w="520" w:type="dxa"/>
          </w:tcPr>
          <w:p>
            <w:pPr>
              <w:spacing w:after="0" w:line="240" w:lineRule="auto"/>
              <w:jc w:val="center"/>
            </w:pPr>
            <w:r>
              <w:rPr>
                <w:rFonts w:ascii="Arial" w:hAnsi="Arial" w:cs="Arial"/>
                <w:sz w:val="15"/>
                <w:szCs w:val="15"/>
              </w:rPr>
              <w:t xml:space="preserve">30</w:t>
            </w:r>
          </w:p>
        </w:tc>
        <w:tc>
          <w:tcPr>
            <w:tcW w:w="520" w:type="dxa"/>
          </w:tcPr>
          <w:p>
            <w:pPr>
              <w:spacing w:after="0" w:line="240" w:lineRule="auto"/>
              <w:jc w:val="center"/>
            </w:pPr>
            <w:r>
              <w:rPr>
                <w:rFonts w:ascii="Arial" w:hAnsi="Arial" w:cs="Arial"/>
                <w:sz w:val="15"/>
                <w:szCs w:val="15"/>
              </w:rPr>
              <w:t xml:space="preserve">42</w:t>
            </w:r>
          </w:p>
        </w:tc>
        <w:tc>
          <w:tcPr>
            <w:tcW w:w="520" w:type="dxa"/>
          </w:tcPr>
          <w:p>
            <w:pPr>
              <w:spacing w:after="0" w:line="240" w:lineRule="auto"/>
              <w:jc w:val="center"/>
            </w:pPr>
            <w:r>
              <w:rPr>
                <w:rFonts w:ascii="Arial" w:hAnsi="Arial" w:cs="Arial"/>
                <w:sz w:val="15"/>
                <w:szCs w:val="15"/>
              </w:rPr>
              <w:t xml:space="preserve">40</w:t>
            </w:r>
          </w:p>
        </w:tc>
        <w:tc>
          <w:tcPr>
            <w:tcW w:w="520" w:type="dxa"/>
          </w:tcPr>
          <w:p>
            <w:pPr>
              <w:spacing w:after="0" w:line="240" w:lineRule="auto"/>
              <w:jc w:val="center"/>
            </w:pPr>
            <w:r>
              <w:rPr>
                <w:rFonts w:ascii="Arial" w:hAnsi="Arial" w:cs="Arial"/>
                <w:sz w:val="15"/>
                <w:szCs w:val="15"/>
              </w:rPr>
              <w:t xml:space="preserve">52</w:t>
            </w:r>
          </w:p>
        </w:tc>
        <w:tc>
          <w:tcPr>
            <w:tcW w:w="600" w:type="dxa"/>
          </w:tcPr>
          <w:p>
            <w:pPr>
              <w:spacing w:after="0" w:line="240" w:lineRule="auto"/>
              <w:jc w:val="center"/>
            </w:pPr>
            <w:r>
              <w:rPr>
                <w:rFonts w:ascii="Arial" w:hAnsi="Arial" w:cs="Arial"/>
                <w:sz w:val="15"/>
                <w:szCs w:val="15"/>
              </w:rPr>
              <w:t xml:space="preserve">10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2.4</w:t>
            </w:r>
          </w:p>
        </w:tc>
        <w:tc>
          <w:tcPr>
            <w:tcW w:w="3000" w:type="dxa"/>
          </w:tcPr>
          <w:p>
            <w:pPr>
              <w:spacing w:after="0" w:line="240" w:lineRule="auto"/>
              <w:jc w:val="left"/>
            </w:pPr>
            <w:r>
              <w:rPr>
                <w:rFonts w:ascii="Arial" w:hAnsi="Arial" w:cs="Arial"/>
                <w:sz w:val="15"/>
                <w:szCs w:val="15"/>
              </w:rPr>
              <w:t xml:space="preserve">Tier 2 mill mapping</w:t>
            </w:r>
          </w:p>
        </w:tc>
        <w:tc>
          <w:tcPr>
            <w:tcW w:w="560" w:type="dxa"/>
          </w:tcPr>
          <w:p>
            <w:pPr>
              <w:spacing w:after="0" w:line="240" w:lineRule="auto"/>
              <w:jc w:val="center"/>
            </w:pPr>
            <w:r>
              <w:rPr>
                <w:rFonts w:ascii="Arial" w:hAnsi="Arial" w:cs="Arial"/>
                <w:sz w:val="15"/>
                <w:szCs w:val="15"/>
              </w:rPr>
              <w:t xml:space="preserve">20</w:t>
            </w:r>
          </w:p>
        </w:tc>
        <w:tc>
          <w:tcPr>
            <w:tcW w:w="1100" w:type="dxa"/>
          </w:tcPr>
          <w:p>
            <w:pPr>
              <w:spacing w:after="0" w:line="240" w:lineRule="auto"/>
              <w:jc w:val="left"/>
            </w:pPr>
            <w:r>
              <w:rPr>
                <w:rFonts w:ascii="Arial" w:hAnsi="Arial" w:cs="Arial"/>
                <w:sz w:val="15"/>
                <w:szCs w:val="15"/>
              </w:rPr>
              <w:t xml:space="preserve">2.3</w:t>
            </w:r>
          </w:p>
        </w:tc>
        <w:tc>
          <w:tcPr>
            <w:tcW w:w="520" w:type="dxa"/>
          </w:tcPr>
          <w:p>
            <w:pPr>
              <w:spacing w:after="0" w:line="240" w:lineRule="auto"/>
              <w:jc w:val="center"/>
            </w:pPr>
            <w:r>
              <w:rPr>
                <w:rFonts w:ascii="Arial" w:hAnsi="Arial" w:cs="Arial"/>
                <w:sz w:val="15"/>
                <w:szCs w:val="15"/>
              </w:rPr>
              <w:t xml:space="preserve">42</w:t>
            </w:r>
          </w:p>
        </w:tc>
        <w:tc>
          <w:tcPr>
            <w:tcW w:w="520" w:type="dxa"/>
          </w:tcPr>
          <w:p>
            <w:pPr>
              <w:spacing w:after="0" w:line="240" w:lineRule="auto"/>
              <w:jc w:val="center"/>
            </w:pPr>
            <w:r>
              <w:rPr>
                <w:rFonts w:ascii="Arial" w:hAnsi="Arial" w:cs="Arial"/>
                <w:sz w:val="15"/>
                <w:szCs w:val="15"/>
              </w:rPr>
              <w:t xml:space="preserve">62</w:t>
            </w:r>
          </w:p>
        </w:tc>
        <w:tc>
          <w:tcPr>
            <w:tcW w:w="520" w:type="dxa"/>
          </w:tcPr>
          <w:p>
            <w:pPr>
              <w:spacing w:after="0" w:line="240" w:lineRule="auto"/>
              <w:jc w:val="center"/>
            </w:pPr>
            <w:r>
              <w:rPr>
                <w:rFonts w:ascii="Arial" w:hAnsi="Arial" w:cs="Arial"/>
                <w:sz w:val="15"/>
                <w:szCs w:val="15"/>
              </w:rPr>
              <w:t xml:space="preserve">52</w:t>
            </w:r>
          </w:p>
        </w:tc>
        <w:tc>
          <w:tcPr>
            <w:tcW w:w="520" w:type="dxa"/>
          </w:tcPr>
          <w:p>
            <w:pPr>
              <w:spacing w:after="0" w:line="240" w:lineRule="auto"/>
              <w:jc w:val="center"/>
            </w:pPr>
            <w:r>
              <w:rPr>
                <w:rFonts w:ascii="Arial" w:hAnsi="Arial" w:cs="Arial"/>
                <w:sz w:val="15"/>
                <w:szCs w:val="15"/>
              </w:rPr>
              <w:t xml:space="preserve">72</w:t>
            </w:r>
          </w:p>
        </w:tc>
        <w:tc>
          <w:tcPr>
            <w:tcW w:w="600" w:type="dxa"/>
          </w:tcPr>
          <w:p>
            <w:pPr>
              <w:spacing w:after="0" w:line="240" w:lineRule="auto"/>
              <w:jc w:val="center"/>
            </w:pPr>
            <w:r>
              <w:rPr>
                <w:rFonts w:ascii="Arial" w:hAnsi="Arial" w:cs="Arial"/>
                <w:sz w:val="15"/>
                <w:szCs w:val="15"/>
              </w:rPr>
              <w:t xml:space="preserve">10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3.1</w:t>
            </w:r>
          </w:p>
        </w:tc>
        <w:tc>
          <w:tcPr>
            <w:tcW w:w="3000" w:type="dxa"/>
          </w:tcPr>
          <w:p>
            <w:pPr>
              <w:spacing w:after="0" w:line="240" w:lineRule="auto"/>
              <w:jc w:val="left"/>
            </w:pPr>
            <w:r>
              <w:rPr>
                <w:rFonts w:ascii="Arial" w:hAnsi="Arial" w:cs="Arial"/>
                <w:sz w:val="15"/>
                <w:szCs w:val="15"/>
              </w:rPr>
              <w:t xml:space="preserve">Candidate factory selection</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1.1</w:t>
            </w:r>
          </w:p>
        </w:tc>
        <w:tc>
          <w:tcPr>
            <w:tcW w:w="520" w:type="dxa"/>
          </w:tcPr>
          <w:p>
            <w:pPr>
              <w:spacing w:after="0" w:line="240" w:lineRule="auto"/>
              <w:jc w:val="center"/>
            </w:pPr>
            <w:r>
              <w:rPr>
                <w:rFonts w:ascii="Arial" w:hAnsi="Arial" w:cs="Arial"/>
                <w:sz w:val="15"/>
                <w:szCs w:val="15"/>
              </w:rPr>
              <w:t xml:space="preserve">4</w:t>
            </w:r>
          </w:p>
        </w:tc>
        <w:tc>
          <w:tcPr>
            <w:tcW w:w="520" w:type="dxa"/>
          </w:tcPr>
          <w:p>
            <w:pPr>
              <w:spacing w:after="0" w:line="240" w:lineRule="auto"/>
              <w:jc w:val="center"/>
            </w:pPr>
            <w:r>
              <w:rPr>
                <w:rFonts w:ascii="Arial" w:hAnsi="Arial" w:cs="Arial"/>
                <w:sz w:val="15"/>
                <w:szCs w:val="15"/>
              </w:rPr>
              <w:t xml:space="preserve">10</w:t>
            </w:r>
          </w:p>
        </w:tc>
        <w:tc>
          <w:tcPr>
            <w:tcW w:w="520" w:type="dxa"/>
          </w:tcPr>
          <w:p>
            <w:pPr>
              <w:spacing w:after="0" w:line="240" w:lineRule="auto"/>
              <w:jc w:val="center"/>
            </w:pPr>
            <w:r>
              <w:rPr>
                <w:rFonts w:ascii="Arial" w:hAnsi="Arial" w:cs="Arial"/>
                <w:sz w:val="15"/>
                <w:szCs w:val="15"/>
              </w:rPr>
              <w:t xml:space="preserve">4</w:t>
            </w:r>
          </w:p>
        </w:tc>
        <w:tc>
          <w:tcPr>
            <w:tcW w:w="520" w:type="dxa"/>
          </w:tcPr>
          <w:p>
            <w:pPr>
              <w:spacing w:after="0" w:line="240" w:lineRule="auto"/>
              <w:jc w:val="center"/>
            </w:pPr>
            <w:r>
              <w:rPr>
                <w:rFonts w:ascii="Arial" w:hAnsi="Arial" w:cs="Arial"/>
                <w:sz w:val="15"/>
                <w:szCs w:val="15"/>
              </w:rPr>
              <w:t xml:space="preserve">10</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3.2</w:t>
            </w:r>
          </w:p>
        </w:tc>
        <w:tc>
          <w:tcPr>
            <w:tcW w:w="3000" w:type="dxa"/>
          </w:tcPr>
          <w:p>
            <w:pPr>
              <w:spacing w:after="0" w:line="240" w:lineRule="auto"/>
              <w:jc w:val="left"/>
            </w:pPr>
            <w:r>
              <w:rPr>
                <w:rFonts w:ascii="Arial" w:hAnsi="Arial" w:cs="Arial"/>
                <w:sz w:val="15"/>
                <w:szCs w:val="15"/>
              </w:rPr>
              <w:t xml:space="preserve">HREDD audits</w:t>
            </w:r>
          </w:p>
        </w:tc>
        <w:tc>
          <w:tcPr>
            <w:tcW w:w="560" w:type="dxa"/>
          </w:tcPr>
          <w:p>
            <w:pPr>
              <w:spacing w:after="0" w:line="240" w:lineRule="auto"/>
              <w:jc w:val="center"/>
            </w:pPr>
            <w:r>
              <w:rPr>
                <w:rFonts w:ascii="Arial" w:hAnsi="Arial" w:cs="Arial"/>
                <w:sz w:val="15"/>
                <w:szCs w:val="15"/>
              </w:rPr>
              <w:t xml:space="preserve">10</w:t>
            </w:r>
          </w:p>
        </w:tc>
        <w:tc>
          <w:tcPr>
            <w:tcW w:w="1100" w:type="dxa"/>
          </w:tcPr>
          <w:p>
            <w:pPr>
              <w:spacing w:after="0" w:line="240" w:lineRule="auto"/>
              <w:jc w:val="left"/>
            </w:pPr>
            <w:r>
              <w:rPr>
                <w:rFonts w:ascii="Arial" w:hAnsi="Arial" w:cs="Arial"/>
                <w:sz w:val="15"/>
                <w:szCs w:val="15"/>
              </w:rPr>
              <w:t xml:space="preserve">3.1</w:t>
            </w:r>
          </w:p>
        </w:tc>
        <w:tc>
          <w:tcPr>
            <w:tcW w:w="520" w:type="dxa"/>
          </w:tcPr>
          <w:p>
            <w:pPr>
              <w:spacing w:after="0" w:line="240" w:lineRule="auto"/>
              <w:jc w:val="center"/>
            </w:pPr>
            <w:r>
              <w:rPr>
                <w:rFonts w:ascii="Arial" w:hAnsi="Arial" w:cs="Arial"/>
                <w:sz w:val="15"/>
                <w:szCs w:val="15"/>
              </w:rPr>
              <w:t xml:space="preserve">10</w:t>
            </w:r>
          </w:p>
        </w:tc>
        <w:tc>
          <w:tcPr>
            <w:tcW w:w="520" w:type="dxa"/>
          </w:tcPr>
          <w:p>
            <w:pPr>
              <w:spacing w:after="0" w:line="240" w:lineRule="auto"/>
              <w:jc w:val="center"/>
            </w:pPr>
            <w:r>
              <w:rPr>
                <w:rFonts w:ascii="Arial" w:hAnsi="Arial" w:cs="Arial"/>
                <w:sz w:val="15"/>
                <w:szCs w:val="15"/>
              </w:rPr>
              <w:t xml:space="preserve">20</w:t>
            </w:r>
          </w:p>
        </w:tc>
        <w:tc>
          <w:tcPr>
            <w:tcW w:w="520" w:type="dxa"/>
          </w:tcPr>
          <w:p>
            <w:pPr>
              <w:spacing w:after="0" w:line="240" w:lineRule="auto"/>
              <w:jc w:val="center"/>
            </w:pPr>
            <w:r>
              <w:rPr>
                <w:rFonts w:ascii="Arial" w:hAnsi="Arial" w:cs="Arial"/>
                <w:sz w:val="15"/>
                <w:szCs w:val="15"/>
              </w:rPr>
              <w:t xml:space="preserve">10</w:t>
            </w:r>
          </w:p>
        </w:tc>
        <w:tc>
          <w:tcPr>
            <w:tcW w:w="520" w:type="dxa"/>
          </w:tcPr>
          <w:p>
            <w:pPr>
              <w:spacing w:after="0" w:line="240" w:lineRule="auto"/>
              <w:jc w:val="center"/>
            </w:pPr>
            <w:r>
              <w:rPr>
                <w:rFonts w:ascii="Arial" w:hAnsi="Arial" w:cs="Arial"/>
                <w:sz w:val="15"/>
                <w:szCs w:val="15"/>
              </w:rPr>
              <w:t xml:space="preserve">20</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3.3</w:t>
            </w:r>
          </w:p>
        </w:tc>
        <w:tc>
          <w:tcPr>
            <w:tcW w:w="3000" w:type="dxa"/>
          </w:tcPr>
          <w:p>
            <w:pPr>
              <w:spacing w:after="0" w:line="240" w:lineRule="auto"/>
              <w:jc w:val="left"/>
            </w:pPr>
            <w:r>
              <w:rPr>
                <w:rFonts w:ascii="Arial" w:hAnsi="Arial" w:cs="Arial"/>
                <w:sz w:val="15"/>
                <w:szCs w:val="15"/>
              </w:rPr>
              <w:t xml:space="preserve">Technical trials and sample approval</w:t>
            </w:r>
          </w:p>
        </w:tc>
        <w:tc>
          <w:tcPr>
            <w:tcW w:w="560" w:type="dxa"/>
          </w:tcPr>
          <w:p>
            <w:pPr>
              <w:spacing w:after="0" w:line="240" w:lineRule="auto"/>
              <w:jc w:val="center"/>
            </w:pPr>
            <w:r>
              <w:rPr>
                <w:rFonts w:ascii="Arial" w:hAnsi="Arial" w:cs="Arial"/>
                <w:sz w:val="15"/>
                <w:szCs w:val="15"/>
              </w:rPr>
              <w:t xml:space="preserve">24</w:t>
            </w:r>
          </w:p>
        </w:tc>
        <w:tc>
          <w:tcPr>
            <w:tcW w:w="1100" w:type="dxa"/>
          </w:tcPr>
          <w:p>
            <w:pPr>
              <w:spacing w:after="0" w:line="240" w:lineRule="auto"/>
              <w:jc w:val="left"/>
            </w:pPr>
            <w:r>
              <w:rPr>
                <w:rFonts w:ascii="Arial" w:hAnsi="Arial" w:cs="Arial"/>
                <w:sz w:val="15"/>
                <w:szCs w:val="15"/>
              </w:rPr>
              <w:t xml:space="preserve">3.2</w:t>
            </w:r>
          </w:p>
        </w:tc>
        <w:tc>
          <w:tcPr>
            <w:tcW w:w="520" w:type="dxa"/>
          </w:tcPr>
          <w:p>
            <w:pPr>
              <w:spacing w:after="0" w:line="240" w:lineRule="auto"/>
              <w:jc w:val="center"/>
            </w:pPr>
            <w:r>
              <w:rPr>
                <w:rFonts w:ascii="Arial" w:hAnsi="Arial" w:cs="Arial"/>
                <w:sz w:val="15"/>
                <w:szCs w:val="15"/>
              </w:rPr>
              <w:t xml:space="preserve">20</w:t>
            </w:r>
          </w:p>
        </w:tc>
        <w:tc>
          <w:tcPr>
            <w:tcW w:w="520" w:type="dxa"/>
          </w:tcPr>
          <w:p>
            <w:pPr>
              <w:spacing w:after="0" w:line="240" w:lineRule="auto"/>
              <w:jc w:val="center"/>
            </w:pPr>
            <w:r>
              <w:rPr>
                <w:rFonts w:ascii="Arial" w:hAnsi="Arial" w:cs="Arial"/>
                <w:sz w:val="15"/>
                <w:szCs w:val="15"/>
              </w:rPr>
              <w:t xml:space="preserve">44</w:t>
            </w:r>
          </w:p>
        </w:tc>
        <w:tc>
          <w:tcPr>
            <w:tcW w:w="520" w:type="dxa"/>
          </w:tcPr>
          <w:p>
            <w:pPr>
              <w:spacing w:after="0" w:line="240" w:lineRule="auto"/>
              <w:jc w:val="center"/>
            </w:pPr>
            <w:r>
              <w:rPr>
                <w:rFonts w:ascii="Arial" w:hAnsi="Arial" w:cs="Arial"/>
                <w:sz w:val="15"/>
                <w:szCs w:val="15"/>
              </w:rPr>
              <w:t xml:space="preserve">20</w:t>
            </w:r>
          </w:p>
        </w:tc>
        <w:tc>
          <w:tcPr>
            <w:tcW w:w="520" w:type="dxa"/>
          </w:tcPr>
          <w:p>
            <w:pPr>
              <w:spacing w:after="0" w:line="240" w:lineRule="auto"/>
              <w:jc w:val="center"/>
            </w:pPr>
            <w:r>
              <w:rPr>
                <w:rFonts w:ascii="Arial" w:hAnsi="Arial" w:cs="Arial"/>
                <w:sz w:val="15"/>
                <w:szCs w:val="15"/>
              </w:rPr>
              <w:t xml:space="preserve">44</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3.4</w:t>
            </w:r>
          </w:p>
        </w:tc>
        <w:tc>
          <w:tcPr>
            <w:tcW w:w="3000" w:type="dxa"/>
          </w:tcPr>
          <w:p>
            <w:pPr>
              <w:spacing w:after="0" w:line="240" w:lineRule="auto"/>
              <w:jc w:val="left"/>
            </w:pPr>
            <w:r>
              <w:rPr>
                <w:rFonts w:ascii="Arial" w:hAnsi="Arial" w:cs="Arial"/>
                <w:sz w:val="15"/>
                <w:szCs w:val="15"/>
              </w:rPr>
              <w:t xml:space="preserve">Commercial agreements</w:t>
            </w:r>
          </w:p>
        </w:tc>
        <w:tc>
          <w:tcPr>
            <w:tcW w:w="560" w:type="dxa"/>
          </w:tcPr>
          <w:p>
            <w:pPr>
              <w:spacing w:after="0" w:line="240" w:lineRule="auto"/>
              <w:jc w:val="center"/>
            </w:pPr>
            <w:r>
              <w:rPr>
                <w:rFonts w:ascii="Arial" w:hAnsi="Arial" w:cs="Arial"/>
                <w:sz w:val="15"/>
                <w:szCs w:val="15"/>
              </w:rPr>
              <w:t xml:space="preserve">8</w:t>
            </w:r>
          </w:p>
        </w:tc>
        <w:tc>
          <w:tcPr>
            <w:tcW w:w="1100" w:type="dxa"/>
          </w:tcPr>
          <w:p>
            <w:pPr>
              <w:spacing w:after="0" w:line="240" w:lineRule="auto"/>
              <w:jc w:val="left"/>
            </w:pPr>
            <w:r>
              <w:rPr>
                <w:rFonts w:ascii="Arial" w:hAnsi="Arial" w:cs="Arial"/>
                <w:sz w:val="15"/>
                <w:szCs w:val="15"/>
              </w:rPr>
              <w:t xml:space="preserve">1.3B</w:t>
            </w:r>
          </w:p>
        </w:tc>
        <w:tc>
          <w:tcPr>
            <w:tcW w:w="520" w:type="dxa"/>
          </w:tcPr>
          <w:p>
            <w:pPr>
              <w:spacing w:after="0" w:line="240" w:lineRule="auto"/>
              <w:jc w:val="center"/>
            </w:pPr>
            <w:r>
              <w:rPr>
                <w:rFonts w:ascii="Arial" w:hAnsi="Arial" w:cs="Arial"/>
                <w:sz w:val="15"/>
                <w:szCs w:val="15"/>
              </w:rPr>
              <w:t xml:space="preserve">48</w:t>
            </w:r>
          </w:p>
        </w:tc>
        <w:tc>
          <w:tcPr>
            <w:tcW w:w="520" w:type="dxa"/>
          </w:tcPr>
          <w:p>
            <w:pPr>
              <w:spacing w:after="0" w:line="240" w:lineRule="auto"/>
              <w:jc w:val="center"/>
            </w:pPr>
            <w:r>
              <w:rPr>
                <w:rFonts w:ascii="Arial" w:hAnsi="Arial" w:cs="Arial"/>
                <w:sz w:val="15"/>
                <w:szCs w:val="15"/>
              </w:rPr>
              <w:t xml:space="preserve">56</w:t>
            </w:r>
          </w:p>
        </w:tc>
        <w:tc>
          <w:tcPr>
            <w:tcW w:w="520" w:type="dxa"/>
          </w:tcPr>
          <w:p>
            <w:pPr>
              <w:spacing w:after="0" w:line="240" w:lineRule="auto"/>
              <w:jc w:val="center"/>
            </w:pPr>
            <w:r>
              <w:rPr>
                <w:rFonts w:ascii="Arial" w:hAnsi="Arial" w:cs="Arial"/>
                <w:sz w:val="15"/>
                <w:szCs w:val="15"/>
              </w:rPr>
              <w:t xml:space="preserve">48</w:t>
            </w:r>
          </w:p>
        </w:tc>
        <w:tc>
          <w:tcPr>
            <w:tcW w:w="520" w:type="dxa"/>
          </w:tcPr>
          <w:p>
            <w:pPr>
              <w:spacing w:after="0" w:line="240" w:lineRule="auto"/>
              <w:jc w:val="center"/>
            </w:pPr>
            <w:r>
              <w:rPr>
                <w:rFonts w:ascii="Arial" w:hAnsi="Arial" w:cs="Arial"/>
                <w:sz w:val="15"/>
                <w:szCs w:val="15"/>
              </w:rPr>
              <w:t xml:space="preserve">56</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4.1</w:t>
            </w:r>
          </w:p>
        </w:tc>
        <w:tc>
          <w:tcPr>
            <w:tcW w:w="3000" w:type="dxa"/>
          </w:tcPr>
          <w:p>
            <w:pPr>
              <w:spacing w:after="0" w:line="240" w:lineRule="auto"/>
              <w:jc w:val="left"/>
            </w:pPr>
            <w:r>
              <w:rPr>
                <w:rFonts w:ascii="Arial" w:hAnsi="Arial" w:cs="Arial"/>
                <w:sz w:val="15"/>
                <w:szCs w:val="15"/>
              </w:rPr>
              <w:t xml:space="preserve">Style-factory capability matrix</w:t>
            </w:r>
          </w:p>
        </w:tc>
        <w:tc>
          <w:tcPr>
            <w:tcW w:w="560" w:type="dxa"/>
          </w:tcPr>
          <w:p>
            <w:pPr>
              <w:spacing w:after="0" w:line="240" w:lineRule="auto"/>
              <w:jc w:val="center"/>
            </w:pPr>
            <w:r>
              <w:rPr>
                <w:rFonts w:ascii="Arial" w:hAnsi="Arial" w:cs="Arial"/>
                <w:sz w:val="15"/>
                <w:szCs w:val="15"/>
              </w:rPr>
              <w:t xml:space="preserve">8</w:t>
            </w:r>
          </w:p>
        </w:tc>
        <w:tc>
          <w:tcPr>
            <w:tcW w:w="1100" w:type="dxa"/>
          </w:tcPr>
          <w:p>
            <w:pPr>
              <w:spacing w:after="0" w:line="240" w:lineRule="auto"/>
              <w:jc w:val="left"/>
            </w:pPr>
            <w:r>
              <w:rPr>
                <w:rFonts w:ascii="Arial" w:hAnsi="Arial" w:cs="Arial"/>
                <w:sz w:val="15"/>
                <w:szCs w:val="15"/>
              </w:rPr>
              <w:t xml:space="preserve">3.1</w:t>
            </w:r>
          </w:p>
        </w:tc>
        <w:tc>
          <w:tcPr>
            <w:tcW w:w="520" w:type="dxa"/>
          </w:tcPr>
          <w:p>
            <w:pPr>
              <w:spacing w:after="0" w:line="240" w:lineRule="auto"/>
              <w:jc w:val="center"/>
            </w:pPr>
            <w:r>
              <w:rPr>
                <w:rFonts w:ascii="Arial" w:hAnsi="Arial" w:cs="Arial"/>
                <w:sz w:val="15"/>
                <w:szCs w:val="15"/>
              </w:rPr>
              <w:t xml:space="preserve">10</w:t>
            </w:r>
          </w:p>
        </w:tc>
        <w:tc>
          <w:tcPr>
            <w:tcW w:w="520" w:type="dxa"/>
          </w:tcPr>
          <w:p>
            <w:pPr>
              <w:spacing w:after="0" w:line="240" w:lineRule="auto"/>
              <w:jc w:val="center"/>
            </w:pPr>
            <w:r>
              <w:rPr>
                <w:rFonts w:ascii="Arial" w:hAnsi="Arial" w:cs="Arial"/>
                <w:sz w:val="15"/>
                <w:szCs w:val="15"/>
              </w:rPr>
              <w:t xml:space="preserve">18</w:t>
            </w:r>
          </w:p>
        </w:tc>
        <w:tc>
          <w:tcPr>
            <w:tcW w:w="520" w:type="dxa"/>
          </w:tcPr>
          <w:p>
            <w:pPr>
              <w:spacing w:after="0" w:line="240" w:lineRule="auto"/>
              <w:jc w:val="center"/>
            </w:pPr>
            <w:r>
              <w:rPr>
                <w:rFonts w:ascii="Arial" w:hAnsi="Arial" w:cs="Arial"/>
                <w:sz w:val="15"/>
                <w:szCs w:val="15"/>
              </w:rPr>
              <w:t xml:space="preserve">32</w:t>
            </w:r>
          </w:p>
        </w:tc>
        <w:tc>
          <w:tcPr>
            <w:tcW w:w="520" w:type="dxa"/>
          </w:tcPr>
          <w:p>
            <w:pPr>
              <w:spacing w:after="0" w:line="240" w:lineRule="auto"/>
              <w:jc w:val="center"/>
            </w:pPr>
            <w:r>
              <w:rPr>
                <w:rFonts w:ascii="Arial" w:hAnsi="Arial" w:cs="Arial"/>
                <w:sz w:val="15"/>
                <w:szCs w:val="15"/>
              </w:rPr>
              <w:t xml:space="preserve">40</w:t>
            </w:r>
          </w:p>
        </w:tc>
        <w:tc>
          <w:tcPr>
            <w:tcW w:w="600" w:type="dxa"/>
          </w:tcPr>
          <w:p>
            <w:pPr>
              <w:spacing w:after="0" w:line="240" w:lineRule="auto"/>
              <w:jc w:val="center"/>
            </w:pPr>
            <w:r>
              <w:rPr>
                <w:rFonts w:ascii="Arial" w:hAnsi="Arial" w:cs="Arial"/>
                <w:sz w:val="15"/>
                <w:szCs w:val="15"/>
              </w:rPr>
              <w:t xml:space="preserve">22</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4.2</w:t>
            </w:r>
          </w:p>
        </w:tc>
        <w:tc>
          <w:tcPr>
            <w:tcW w:w="3000" w:type="dxa"/>
          </w:tcPr>
          <w:p>
            <w:pPr>
              <w:spacing w:after="0" w:line="240" w:lineRule="auto"/>
              <w:jc w:val="left"/>
            </w:pPr>
            <w:r>
              <w:rPr>
                <w:rFonts w:ascii="Arial" w:hAnsi="Arial" w:cs="Arial"/>
                <w:sz w:val="15"/>
                <w:szCs w:val="15"/>
              </w:rPr>
              <w:t xml:space="preserve">Switching process design</w:t>
            </w:r>
          </w:p>
        </w:tc>
        <w:tc>
          <w:tcPr>
            <w:tcW w:w="560" w:type="dxa"/>
          </w:tcPr>
          <w:p>
            <w:pPr>
              <w:spacing w:after="0" w:line="240" w:lineRule="auto"/>
              <w:jc w:val="center"/>
            </w:pPr>
            <w:r>
              <w:rPr>
                <w:rFonts w:ascii="Arial" w:hAnsi="Arial" w:cs="Arial"/>
                <w:sz w:val="15"/>
                <w:szCs w:val="15"/>
              </w:rPr>
              <w:t xml:space="preserve">10</w:t>
            </w:r>
          </w:p>
        </w:tc>
        <w:tc>
          <w:tcPr>
            <w:tcW w:w="1100" w:type="dxa"/>
          </w:tcPr>
          <w:p>
            <w:pPr>
              <w:spacing w:after="0" w:line="240" w:lineRule="auto"/>
              <w:jc w:val="left"/>
            </w:pPr>
            <w:r>
              <w:rPr>
                <w:rFonts w:ascii="Arial" w:hAnsi="Arial" w:cs="Arial"/>
                <w:sz w:val="15"/>
                <w:szCs w:val="15"/>
              </w:rPr>
              <w:t xml:space="preserve">4.1</w:t>
            </w:r>
          </w:p>
        </w:tc>
        <w:tc>
          <w:tcPr>
            <w:tcW w:w="520" w:type="dxa"/>
          </w:tcPr>
          <w:p>
            <w:pPr>
              <w:spacing w:after="0" w:line="240" w:lineRule="auto"/>
              <w:jc w:val="center"/>
            </w:pPr>
            <w:r>
              <w:rPr>
                <w:rFonts w:ascii="Arial" w:hAnsi="Arial" w:cs="Arial"/>
                <w:sz w:val="15"/>
                <w:szCs w:val="15"/>
              </w:rPr>
              <w:t xml:space="preserve">18</w:t>
            </w:r>
          </w:p>
        </w:tc>
        <w:tc>
          <w:tcPr>
            <w:tcW w:w="520" w:type="dxa"/>
          </w:tcPr>
          <w:p>
            <w:pPr>
              <w:spacing w:after="0" w:line="240" w:lineRule="auto"/>
              <w:jc w:val="center"/>
            </w:pPr>
            <w:r>
              <w:rPr>
                <w:rFonts w:ascii="Arial" w:hAnsi="Arial" w:cs="Arial"/>
                <w:sz w:val="15"/>
                <w:szCs w:val="15"/>
              </w:rPr>
              <w:t xml:space="preserve">28</w:t>
            </w:r>
          </w:p>
        </w:tc>
        <w:tc>
          <w:tcPr>
            <w:tcW w:w="520" w:type="dxa"/>
          </w:tcPr>
          <w:p>
            <w:pPr>
              <w:spacing w:after="0" w:line="240" w:lineRule="auto"/>
              <w:jc w:val="center"/>
            </w:pPr>
            <w:r>
              <w:rPr>
                <w:rFonts w:ascii="Arial" w:hAnsi="Arial" w:cs="Arial"/>
                <w:sz w:val="15"/>
                <w:szCs w:val="15"/>
              </w:rPr>
              <w:t xml:space="preserve">40</w:t>
            </w:r>
          </w:p>
        </w:tc>
        <w:tc>
          <w:tcPr>
            <w:tcW w:w="520" w:type="dxa"/>
          </w:tcPr>
          <w:p>
            <w:pPr>
              <w:spacing w:after="0" w:line="240" w:lineRule="auto"/>
              <w:jc w:val="center"/>
            </w:pPr>
            <w:r>
              <w:rPr>
                <w:rFonts w:ascii="Arial" w:hAnsi="Arial" w:cs="Arial"/>
                <w:sz w:val="15"/>
                <w:szCs w:val="15"/>
              </w:rPr>
              <w:t xml:space="preserve">50</w:t>
            </w:r>
          </w:p>
        </w:tc>
        <w:tc>
          <w:tcPr>
            <w:tcW w:w="600" w:type="dxa"/>
          </w:tcPr>
          <w:p>
            <w:pPr>
              <w:spacing w:after="0" w:line="240" w:lineRule="auto"/>
              <w:jc w:val="center"/>
            </w:pPr>
            <w:r>
              <w:rPr>
                <w:rFonts w:ascii="Arial" w:hAnsi="Arial" w:cs="Arial"/>
                <w:sz w:val="15"/>
                <w:szCs w:val="15"/>
              </w:rPr>
              <w:t xml:space="preserve">22</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4.3</w:t>
            </w:r>
          </w:p>
        </w:tc>
        <w:tc>
          <w:tcPr>
            <w:tcW w:w="3000" w:type="dxa"/>
          </w:tcPr>
          <w:p>
            <w:pPr>
              <w:spacing w:after="0" w:line="240" w:lineRule="auto"/>
              <w:jc w:val="left"/>
            </w:pPr>
            <w:r>
              <w:rPr>
                <w:rFonts w:ascii="Arial" w:hAnsi="Arial" w:cs="Arial"/>
                <w:sz w:val="15"/>
                <w:szCs w:val="15"/>
              </w:rPr>
              <w:t xml:space="preserve">Simulated switch pilots</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4.2, 3.3</w:t>
            </w:r>
          </w:p>
        </w:tc>
        <w:tc>
          <w:tcPr>
            <w:tcW w:w="520" w:type="dxa"/>
          </w:tcPr>
          <w:p>
            <w:pPr>
              <w:spacing w:after="0" w:line="240" w:lineRule="auto"/>
              <w:jc w:val="center"/>
            </w:pPr>
            <w:r>
              <w:rPr>
                <w:rFonts w:ascii="Arial" w:hAnsi="Arial" w:cs="Arial"/>
                <w:sz w:val="15"/>
                <w:szCs w:val="15"/>
              </w:rPr>
              <w:t xml:space="preserve">44</w:t>
            </w:r>
          </w:p>
        </w:tc>
        <w:tc>
          <w:tcPr>
            <w:tcW w:w="520" w:type="dxa"/>
          </w:tcPr>
          <w:p>
            <w:pPr>
              <w:spacing w:after="0" w:line="240" w:lineRule="auto"/>
              <w:jc w:val="center"/>
            </w:pPr>
            <w:r>
              <w:rPr>
                <w:rFonts w:ascii="Arial" w:hAnsi="Arial" w:cs="Arial"/>
                <w:sz w:val="15"/>
                <w:szCs w:val="15"/>
              </w:rPr>
              <w:t xml:space="preserve">50</w:t>
            </w:r>
          </w:p>
        </w:tc>
        <w:tc>
          <w:tcPr>
            <w:tcW w:w="520" w:type="dxa"/>
          </w:tcPr>
          <w:p>
            <w:pPr>
              <w:spacing w:after="0" w:line="240" w:lineRule="auto"/>
              <w:jc w:val="center"/>
            </w:pPr>
            <w:r>
              <w:rPr>
                <w:rFonts w:ascii="Arial" w:hAnsi="Arial" w:cs="Arial"/>
                <w:sz w:val="15"/>
                <w:szCs w:val="15"/>
              </w:rPr>
              <w:t xml:space="preserve">50</w:t>
            </w:r>
          </w:p>
        </w:tc>
        <w:tc>
          <w:tcPr>
            <w:tcW w:w="520" w:type="dxa"/>
          </w:tcPr>
          <w:p>
            <w:pPr>
              <w:spacing w:after="0" w:line="240" w:lineRule="auto"/>
              <w:jc w:val="center"/>
            </w:pPr>
            <w:r>
              <w:rPr>
                <w:rFonts w:ascii="Arial" w:hAnsi="Arial" w:cs="Arial"/>
                <w:sz w:val="15"/>
                <w:szCs w:val="15"/>
              </w:rPr>
              <w:t xml:space="preserve">56</w:t>
            </w:r>
          </w:p>
        </w:tc>
        <w:tc>
          <w:tcPr>
            <w:tcW w:w="600" w:type="dxa"/>
          </w:tcPr>
          <w:p>
            <w:pPr>
              <w:spacing w:after="0" w:line="240" w:lineRule="auto"/>
              <w:jc w:val="center"/>
            </w:pPr>
            <w:r>
              <w:rPr>
                <w:rFonts w:ascii="Arial" w:hAnsi="Arial" w:cs="Arial"/>
                <w:sz w:val="15"/>
                <w:szCs w:val="15"/>
              </w:rPr>
              <w:t xml:space="preserve">6</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5.1</w:t>
            </w:r>
          </w:p>
        </w:tc>
        <w:tc>
          <w:tcPr>
            <w:tcW w:w="3000" w:type="dxa"/>
          </w:tcPr>
          <w:p>
            <w:pPr>
              <w:spacing w:after="0" w:line="240" w:lineRule="auto"/>
              <w:jc w:val="left"/>
            </w:pPr>
            <w:r>
              <w:rPr>
                <w:rFonts w:ascii="Arial" w:hAnsi="Arial" w:cs="Arial"/>
                <w:sz w:val="15"/>
                <w:szCs w:val="15"/>
              </w:rPr>
              <w:t xml:space="preserve">Sourcing team training</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2.2</w:t>
            </w:r>
          </w:p>
        </w:tc>
        <w:tc>
          <w:tcPr>
            <w:tcW w:w="520" w:type="dxa"/>
          </w:tcPr>
          <w:p>
            <w:pPr>
              <w:spacing w:after="0" w:line="240" w:lineRule="auto"/>
              <w:jc w:val="center"/>
            </w:pPr>
            <w:r>
              <w:rPr>
                <w:rFonts w:ascii="Arial" w:hAnsi="Arial" w:cs="Arial"/>
                <w:sz w:val="15"/>
                <w:szCs w:val="15"/>
              </w:rPr>
              <w:t xml:space="preserve">30</w:t>
            </w:r>
          </w:p>
        </w:tc>
        <w:tc>
          <w:tcPr>
            <w:tcW w:w="520" w:type="dxa"/>
          </w:tcPr>
          <w:p>
            <w:pPr>
              <w:spacing w:after="0" w:line="240" w:lineRule="auto"/>
              <w:jc w:val="center"/>
            </w:pPr>
            <w:r>
              <w:rPr>
                <w:rFonts w:ascii="Arial" w:hAnsi="Arial" w:cs="Arial"/>
                <w:sz w:val="15"/>
                <w:szCs w:val="15"/>
              </w:rPr>
              <w:t xml:space="preserve">36</w:t>
            </w:r>
          </w:p>
        </w:tc>
        <w:tc>
          <w:tcPr>
            <w:tcW w:w="520" w:type="dxa"/>
          </w:tcPr>
          <w:p>
            <w:pPr>
              <w:spacing w:after="0" w:line="240" w:lineRule="auto"/>
              <w:jc w:val="center"/>
            </w:pPr>
            <w:r>
              <w:rPr>
                <w:rFonts w:ascii="Arial" w:hAnsi="Arial" w:cs="Arial"/>
                <w:sz w:val="15"/>
                <w:szCs w:val="15"/>
              </w:rPr>
              <w:t xml:space="preserve">46</w:t>
            </w:r>
          </w:p>
        </w:tc>
        <w:tc>
          <w:tcPr>
            <w:tcW w:w="520" w:type="dxa"/>
          </w:tcPr>
          <w:p>
            <w:pPr>
              <w:spacing w:after="0" w:line="240" w:lineRule="auto"/>
              <w:jc w:val="center"/>
            </w:pPr>
            <w:r>
              <w:rPr>
                <w:rFonts w:ascii="Arial" w:hAnsi="Arial" w:cs="Arial"/>
                <w:sz w:val="15"/>
                <w:szCs w:val="15"/>
              </w:rPr>
              <w:t xml:space="preserve">52</w:t>
            </w:r>
          </w:p>
        </w:tc>
        <w:tc>
          <w:tcPr>
            <w:tcW w:w="600" w:type="dxa"/>
          </w:tcPr>
          <w:p>
            <w:pPr>
              <w:spacing w:after="0" w:line="240" w:lineRule="auto"/>
              <w:jc w:val="center"/>
            </w:pPr>
            <w:r>
              <w:rPr>
                <w:rFonts w:ascii="Arial" w:hAnsi="Arial" w:cs="Arial"/>
                <w:sz w:val="15"/>
                <w:szCs w:val="15"/>
              </w:rPr>
              <w:t xml:space="preserve">16</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5.2</w:t>
            </w:r>
          </w:p>
        </w:tc>
        <w:tc>
          <w:tcPr>
            <w:tcW w:w="3000" w:type="dxa"/>
          </w:tcPr>
          <w:p>
            <w:pPr>
              <w:spacing w:after="0" w:line="240" w:lineRule="auto"/>
              <w:jc w:val="left"/>
            </w:pPr>
            <w:r>
              <w:rPr>
                <w:rFonts w:ascii="Arial" w:hAnsi="Arial" w:cs="Arial"/>
                <w:sz w:val="15"/>
                <w:szCs w:val="15"/>
              </w:rPr>
              <w:t xml:space="preserve">Supplier onboarding workshops</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2.3</w:t>
            </w:r>
          </w:p>
        </w:tc>
        <w:tc>
          <w:tcPr>
            <w:tcW w:w="520" w:type="dxa"/>
          </w:tcPr>
          <w:p>
            <w:pPr>
              <w:spacing w:after="0" w:line="240" w:lineRule="auto"/>
              <w:jc w:val="center"/>
            </w:pPr>
            <w:r>
              <w:rPr>
                <w:rFonts w:ascii="Arial" w:hAnsi="Arial" w:cs="Arial"/>
                <w:sz w:val="15"/>
                <w:szCs w:val="15"/>
              </w:rPr>
              <w:t xml:space="preserve">42</w:t>
            </w:r>
          </w:p>
        </w:tc>
        <w:tc>
          <w:tcPr>
            <w:tcW w:w="520" w:type="dxa"/>
          </w:tcPr>
          <w:p>
            <w:pPr>
              <w:spacing w:after="0" w:line="240" w:lineRule="auto"/>
              <w:jc w:val="center"/>
            </w:pPr>
            <w:r>
              <w:rPr>
                <w:rFonts w:ascii="Arial" w:hAnsi="Arial" w:cs="Arial"/>
                <w:sz w:val="15"/>
                <w:szCs w:val="15"/>
              </w:rPr>
              <w:t xml:space="preserve">48</w:t>
            </w:r>
          </w:p>
        </w:tc>
        <w:tc>
          <w:tcPr>
            <w:tcW w:w="520" w:type="dxa"/>
          </w:tcPr>
          <w:p>
            <w:pPr>
              <w:spacing w:after="0" w:line="240" w:lineRule="auto"/>
              <w:jc w:val="center"/>
            </w:pPr>
            <w:r>
              <w:rPr>
                <w:rFonts w:ascii="Arial" w:hAnsi="Arial" w:cs="Arial"/>
                <w:sz w:val="15"/>
                <w:szCs w:val="15"/>
              </w:rPr>
              <w:t xml:space="preserve">72</w:t>
            </w:r>
          </w:p>
        </w:tc>
        <w:tc>
          <w:tcPr>
            <w:tcW w:w="520" w:type="dxa"/>
          </w:tcPr>
          <w:p>
            <w:pPr>
              <w:spacing w:after="0" w:line="240" w:lineRule="auto"/>
              <w:jc w:val="center"/>
            </w:pPr>
            <w:r>
              <w:rPr>
                <w:rFonts w:ascii="Arial" w:hAnsi="Arial" w:cs="Arial"/>
                <w:sz w:val="15"/>
                <w:szCs w:val="15"/>
              </w:rPr>
              <w:t xml:space="preserve">78</w:t>
            </w:r>
          </w:p>
        </w:tc>
        <w:tc>
          <w:tcPr>
            <w:tcW w:w="600" w:type="dxa"/>
          </w:tcPr>
          <w:p>
            <w:pPr>
              <w:spacing w:after="0" w:line="240" w:lineRule="auto"/>
              <w:jc w:val="center"/>
            </w:pPr>
            <w:r>
              <w:rPr>
                <w:rFonts w:ascii="Arial" w:hAnsi="Arial" w:cs="Arial"/>
                <w:sz w:val="15"/>
                <w:szCs w:val="15"/>
              </w:rPr>
              <w:t xml:space="preserve">30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5.3</w:t>
            </w:r>
          </w:p>
        </w:tc>
        <w:tc>
          <w:tcPr>
            <w:tcW w:w="3000" w:type="dxa"/>
          </w:tcPr>
          <w:p>
            <w:pPr>
              <w:spacing w:after="0" w:line="240" w:lineRule="auto"/>
              <w:jc w:val="left"/>
            </w:pPr>
            <w:r>
              <w:rPr>
                <w:rFonts w:ascii="Arial" w:hAnsi="Arial" w:cs="Arial"/>
                <w:sz w:val="15"/>
                <w:szCs w:val="15"/>
              </w:rPr>
              <w:t xml:space="preserve">Worker-voice integration</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3.2</w:t>
            </w:r>
          </w:p>
        </w:tc>
        <w:tc>
          <w:tcPr>
            <w:tcW w:w="520" w:type="dxa"/>
          </w:tcPr>
          <w:p>
            <w:pPr>
              <w:spacing w:after="0" w:line="240" w:lineRule="auto"/>
              <w:jc w:val="center"/>
            </w:pPr>
            <w:r>
              <w:rPr>
                <w:rFonts w:ascii="Arial" w:hAnsi="Arial" w:cs="Arial"/>
                <w:sz w:val="15"/>
                <w:szCs w:val="15"/>
              </w:rPr>
              <w:t xml:space="preserve">20</w:t>
            </w:r>
          </w:p>
        </w:tc>
        <w:tc>
          <w:tcPr>
            <w:tcW w:w="520" w:type="dxa"/>
          </w:tcPr>
          <w:p>
            <w:pPr>
              <w:spacing w:after="0" w:line="240" w:lineRule="auto"/>
              <w:jc w:val="center"/>
            </w:pPr>
            <w:r>
              <w:rPr>
                <w:rFonts w:ascii="Arial" w:hAnsi="Arial" w:cs="Arial"/>
                <w:sz w:val="15"/>
                <w:szCs w:val="15"/>
              </w:rPr>
              <w:t xml:space="preserve">26</w:t>
            </w:r>
          </w:p>
        </w:tc>
        <w:tc>
          <w:tcPr>
            <w:tcW w:w="520" w:type="dxa"/>
          </w:tcPr>
          <w:p>
            <w:pPr>
              <w:spacing w:after="0" w:line="240" w:lineRule="auto"/>
              <w:jc w:val="center"/>
            </w:pPr>
            <w:r>
              <w:rPr>
                <w:rFonts w:ascii="Arial" w:hAnsi="Arial" w:cs="Arial"/>
                <w:sz w:val="15"/>
                <w:szCs w:val="15"/>
              </w:rPr>
              <w:t xml:space="preserve">72</w:t>
            </w:r>
          </w:p>
        </w:tc>
        <w:tc>
          <w:tcPr>
            <w:tcW w:w="520" w:type="dxa"/>
          </w:tcPr>
          <w:p>
            <w:pPr>
              <w:spacing w:after="0" w:line="240" w:lineRule="auto"/>
              <w:jc w:val="center"/>
            </w:pPr>
            <w:r>
              <w:rPr>
                <w:rFonts w:ascii="Arial" w:hAnsi="Arial" w:cs="Arial"/>
                <w:sz w:val="15"/>
                <w:szCs w:val="15"/>
              </w:rPr>
              <w:t xml:space="preserve">78</w:t>
            </w:r>
          </w:p>
        </w:tc>
        <w:tc>
          <w:tcPr>
            <w:tcW w:w="600" w:type="dxa"/>
          </w:tcPr>
          <w:p>
            <w:pPr>
              <w:spacing w:after="0" w:line="240" w:lineRule="auto"/>
              <w:jc w:val="center"/>
            </w:pPr>
            <w:r>
              <w:rPr>
                <w:rFonts w:ascii="Arial" w:hAnsi="Arial" w:cs="Arial"/>
                <w:sz w:val="15"/>
                <w:szCs w:val="15"/>
              </w:rPr>
              <w:t xml:space="preserve">52</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6.1</w:t>
            </w:r>
          </w:p>
        </w:tc>
        <w:tc>
          <w:tcPr>
            <w:tcW w:w="3000" w:type="dxa"/>
          </w:tcPr>
          <w:p>
            <w:pPr>
              <w:spacing w:after="0" w:line="240" w:lineRule="auto"/>
              <w:jc w:val="left"/>
            </w:pPr>
            <w:r>
              <w:rPr>
                <w:rFonts w:ascii="Arial" w:hAnsi="Arial" w:cs="Arial"/>
                <w:sz w:val="15"/>
                <w:szCs w:val="15"/>
              </w:rPr>
              <w:t xml:space="preserve">Control tower go-live</w:t>
            </w:r>
          </w:p>
        </w:tc>
        <w:tc>
          <w:tcPr>
            <w:tcW w:w="560" w:type="dxa"/>
          </w:tcPr>
          <w:p>
            <w:pPr>
              <w:spacing w:after="0" w:line="240" w:lineRule="auto"/>
              <w:jc w:val="center"/>
            </w:pPr>
            <w:r>
              <w:rPr>
                <w:rFonts w:ascii="Arial" w:hAnsi="Arial" w:cs="Arial"/>
                <w:sz w:val="15"/>
                <w:szCs w:val="15"/>
              </w:rPr>
              <w:t xml:space="preserve">4</w:t>
            </w:r>
          </w:p>
        </w:tc>
        <w:tc>
          <w:tcPr>
            <w:tcW w:w="1100" w:type="dxa"/>
          </w:tcPr>
          <w:p>
            <w:pPr>
              <w:spacing w:after="0" w:line="240" w:lineRule="auto"/>
              <w:jc w:val="left"/>
            </w:pPr>
            <w:r>
              <w:rPr>
                <w:rFonts w:ascii="Arial" w:hAnsi="Arial" w:cs="Arial"/>
                <w:sz w:val="15"/>
                <w:szCs w:val="15"/>
              </w:rPr>
              <w:t xml:space="preserve">2.3, 5.1</w:t>
            </w:r>
          </w:p>
        </w:tc>
        <w:tc>
          <w:tcPr>
            <w:tcW w:w="520" w:type="dxa"/>
          </w:tcPr>
          <w:p>
            <w:pPr>
              <w:spacing w:after="0" w:line="240" w:lineRule="auto"/>
              <w:jc w:val="center"/>
            </w:pPr>
            <w:r>
              <w:rPr>
                <w:rFonts w:ascii="Arial" w:hAnsi="Arial" w:cs="Arial"/>
                <w:sz w:val="15"/>
                <w:szCs w:val="15"/>
              </w:rPr>
              <w:t xml:space="preserve">42</w:t>
            </w:r>
          </w:p>
        </w:tc>
        <w:tc>
          <w:tcPr>
            <w:tcW w:w="520" w:type="dxa"/>
          </w:tcPr>
          <w:p>
            <w:pPr>
              <w:spacing w:after="0" w:line="240" w:lineRule="auto"/>
              <w:jc w:val="center"/>
            </w:pPr>
            <w:r>
              <w:rPr>
                <w:rFonts w:ascii="Arial" w:hAnsi="Arial" w:cs="Arial"/>
                <w:sz w:val="15"/>
                <w:szCs w:val="15"/>
              </w:rPr>
              <w:t xml:space="preserve">46</w:t>
            </w:r>
          </w:p>
        </w:tc>
        <w:tc>
          <w:tcPr>
            <w:tcW w:w="520" w:type="dxa"/>
          </w:tcPr>
          <w:p>
            <w:pPr>
              <w:spacing w:after="0" w:line="240" w:lineRule="auto"/>
              <w:jc w:val="center"/>
            </w:pPr>
            <w:r>
              <w:rPr>
                <w:rFonts w:ascii="Arial" w:hAnsi="Arial" w:cs="Arial"/>
                <w:sz w:val="15"/>
                <w:szCs w:val="15"/>
              </w:rPr>
              <w:t xml:space="preserve">52</w:t>
            </w:r>
          </w:p>
        </w:tc>
        <w:tc>
          <w:tcPr>
            <w:tcW w:w="520" w:type="dxa"/>
          </w:tcPr>
          <w:p>
            <w:pPr>
              <w:spacing w:after="0" w:line="240" w:lineRule="auto"/>
              <w:jc w:val="center"/>
            </w:pPr>
            <w:r>
              <w:rPr>
                <w:rFonts w:ascii="Arial" w:hAnsi="Arial" w:cs="Arial"/>
                <w:sz w:val="15"/>
                <w:szCs w:val="15"/>
              </w:rPr>
              <w:t xml:space="preserve">56</w:t>
            </w:r>
          </w:p>
        </w:tc>
        <w:tc>
          <w:tcPr>
            <w:tcW w:w="600" w:type="dxa"/>
          </w:tcPr>
          <w:p>
            <w:pPr>
              <w:spacing w:after="0" w:line="240" w:lineRule="auto"/>
              <w:jc w:val="center"/>
            </w:pPr>
            <w:r>
              <w:rPr>
                <w:rFonts w:ascii="Arial" w:hAnsi="Arial" w:cs="Arial"/>
                <w:sz w:val="15"/>
                <w:szCs w:val="15"/>
              </w:rPr>
              <w:t xml:space="preserve">10</w:t>
            </w:r>
          </w:p>
        </w:tc>
        <w:tc>
          <w:tcPr>
            <w:tcW w:w="786" w:type="dxa"/>
          </w:tcPr>
          <w:p>
            <w:pPr>
              <w:spacing w:after="0" w:line="240" w:lineRule="auto"/>
              <w:jc w:val="center"/>
            </w:pPr>
          </w:p>
        </w:tc>
      </w:tr>
      <w:tr>
        <w:trPr>
          <w:cantSplit/>
        </w:trPr>
        <w:tc>
          <w:tcPr>
            <w:tcW w:w="600" w:type="dxa"/>
          </w:tcPr>
          <w:p>
            <w:pPr>
              <w:spacing w:after="0" w:line="240" w:lineRule="auto"/>
              <w:jc w:val="left"/>
            </w:pPr>
            <w:r>
              <w:rPr>
                <w:rFonts w:ascii="Arial" w:hAnsi="Arial" w:cs="Arial"/>
                <w:sz w:val="15"/>
                <w:szCs w:val="15"/>
              </w:rPr>
              <w:t xml:space="preserve">6.2</w:t>
            </w:r>
          </w:p>
        </w:tc>
        <w:tc>
          <w:tcPr>
            <w:tcW w:w="3000" w:type="dxa"/>
          </w:tcPr>
          <w:p>
            <w:pPr>
              <w:spacing w:after="0" w:line="240" w:lineRule="auto"/>
              <w:jc w:val="left"/>
            </w:pPr>
            <w:r>
              <w:rPr>
                <w:rFonts w:ascii="Arial" w:hAnsi="Arial" w:cs="Arial"/>
                <w:sz w:val="15"/>
                <w:szCs w:val="15"/>
              </w:rPr>
              <w:t xml:space="preserve">Live switch rehearsal</w:t>
            </w:r>
          </w:p>
        </w:tc>
        <w:tc>
          <w:tcPr>
            <w:tcW w:w="560" w:type="dxa"/>
          </w:tcPr>
          <w:p>
            <w:pPr>
              <w:spacing w:after="0" w:line="240" w:lineRule="auto"/>
              <w:jc w:val="center"/>
            </w:pPr>
            <w:r>
              <w:rPr>
                <w:rFonts w:ascii="Arial" w:hAnsi="Arial" w:cs="Arial"/>
                <w:sz w:val="15"/>
                <w:szCs w:val="15"/>
              </w:rPr>
              <w:t xml:space="preserve">6</w:t>
            </w:r>
          </w:p>
        </w:tc>
        <w:tc>
          <w:tcPr>
            <w:tcW w:w="1100" w:type="dxa"/>
          </w:tcPr>
          <w:p>
            <w:pPr>
              <w:spacing w:after="0" w:line="240" w:lineRule="auto"/>
              <w:jc w:val="left"/>
            </w:pPr>
            <w:r>
              <w:rPr>
                <w:rFonts w:ascii="Arial" w:hAnsi="Arial" w:cs="Arial"/>
                <w:sz w:val="15"/>
                <w:szCs w:val="15"/>
              </w:rPr>
              <w:t xml:space="preserve">4.3, 3.4, 6.1</w:t>
            </w:r>
          </w:p>
        </w:tc>
        <w:tc>
          <w:tcPr>
            <w:tcW w:w="520" w:type="dxa"/>
          </w:tcPr>
          <w:p>
            <w:pPr>
              <w:spacing w:after="0" w:line="240" w:lineRule="auto"/>
              <w:jc w:val="center"/>
            </w:pPr>
            <w:r>
              <w:rPr>
                <w:rFonts w:ascii="Arial" w:hAnsi="Arial" w:cs="Arial"/>
                <w:sz w:val="15"/>
                <w:szCs w:val="15"/>
              </w:rPr>
              <w:t xml:space="preserve">56</w:t>
            </w:r>
          </w:p>
        </w:tc>
        <w:tc>
          <w:tcPr>
            <w:tcW w:w="520" w:type="dxa"/>
          </w:tcPr>
          <w:p>
            <w:pPr>
              <w:spacing w:after="0" w:line="240" w:lineRule="auto"/>
              <w:jc w:val="center"/>
            </w:pPr>
            <w:r>
              <w:rPr>
                <w:rFonts w:ascii="Arial" w:hAnsi="Arial" w:cs="Arial"/>
                <w:sz w:val="15"/>
                <w:szCs w:val="15"/>
              </w:rPr>
              <w:t xml:space="preserve">62</w:t>
            </w:r>
          </w:p>
        </w:tc>
        <w:tc>
          <w:tcPr>
            <w:tcW w:w="520" w:type="dxa"/>
          </w:tcPr>
          <w:p>
            <w:pPr>
              <w:spacing w:after="0" w:line="240" w:lineRule="auto"/>
              <w:jc w:val="center"/>
            </w:pPr>
            <w:r>
              <w:rPr>
                <w:rFonts w:ascii="Arial" w:hAnsi="Arial" w:cs="Arial"/>
                <w:sz w:val="15"/>
                <w:szCs w:val="15"/>
              </w:rPr>
              <w:t xml:space="preserve">56</w:t>
            </w:r>
          </w:p>
        </w:tc>
        <w:tc>
          <w:tcPr>
            <w:tcW w:w="520" w:type="dxa"/>
          </w:tcPr>
          <w:p>
            <w:pPr>
              <w:spacing w:after="0" w:line="240" w:lineRule="auto"/>
              <w:jc w:val="center"/>
            </w:pPr>
            <w:r>
              <w:rPr>
                <w:rFonts w:ascii="Arial" w:hAnsi="Arial" w:cs="Arial"/>
                <w:sz w:val="15"/>
                <w:szCs w:val="15"/>
              </w:rPr>
              <w:t xml:space="preserve">62</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6.3</w:t>
            </w:r>
          </w:p>
        </w:tc>
        <w:tc>
          <w:tcPr>
            <w:tcW w:w="3000" w:type="dxa"/>
          </w:tcPr>
          <w:p>
            <w:pPr>
              <w:spacing w:after="0" w:line="240" w:lineRule="auto"/>
              <w:jc w:val="left"/>
            </w:pPr>
            <w:r>
              <w:rPr>
                <w:rFonts w:ascii="Arial" w:hAnsi="Arial" w:cs="Arial"/>
                <w:sz w:val="15"/>
                <w:szCs w:val="15"/>
              </w:rPr>
              <w:t xml:space="preserve">KPI baseline and measurement</w:t>
            </w:r>
          </w:p>
        </w:tc>
        <w:tc>
          <w:tcPr>
            <w:tcW w:w="560" w:type="dxa"/>
          </w:tcPr>
          <w:p>
            <w:pPr>
              <w:spacing w:after="0" w:line="240" w:lineRule="auto"/>
              <w:jc w:val="center"/>
            </w:pPr>
            <w:r>
              <w:rPr>
                <w:rFonts w:ascii="Arial" w:hAnsi="Arial" w:cs="Arial"/>
                <w:sz w:val="15"/>
                <w:szCs w:val="15"/>
              </w:rPr>
              <w:t xml:space="preserve">10</w:t>
            </w:r>
          </w:p>
        </w:tc>
        <w:tc>
          <w:tcPr>
            <w:tcW w:w="1100" w:type="dxa"/>
          </w:tcPr>
          <w:p>
            <w:pPr>
              <w:spacing w:after="0" w:line="240" w:lineRule="auto"/>
              <w:jc w:val="left"/>
            </w:pPr>
            <w:r>
              <w:rPr>
                <w:rFonts w:ascii="Arial" w:hAnsi="Arial" w:cs="Arial"/>
                <w:sz w:val="15"/>
                <w:szCs w:val="15"/>
              </w:rPr>
              <w:t xml:space="preserve">6.2</w:t>
            </w:r>
          </w:p>
        </w:tc>
        <w:tc>
          <w:tcPr>
            <w:tcW w:w="520" w:type="dxa"/>
          </w:tcPr>
          <w:p>
            <w:pPr>
              <w:spacing w:after="0" w:line="240" w:lineRule="auto"/>
              <w:jc w:val="center"/>
            </w:pPr>
            <w:r>
              <w:rPr>
                <w:rFonts w:ascii="Arial" w:hAnsi="Arial" w:cs="Arial"/>
                <w:sz w:val="15"/>
                <w:szCs w:val="15"/>
              </w:rPr>
              <w:t xml:space="preserve">62</w:t>
            </w:r>
          </w:p>
        </w:tc>
        <w:tc>
          <w:tcPr>
            <w:tcW w:w="520" w:type="dxa"/>
          </w:tcPr>
          <w:p>
            <w:pPr>
              <w:spacing w:after="0" w:line="240" w:lineRule="auto"/>
              <w:jc w:val="center"/>
            </w:pPr>
            <w:r>
              <w:rPr>
                <w:rFonts w:ascii="Arial" w:hAnsi="Arial" w:cs="Arial"/>
                <w:sz w:val="15"/>
                <w:szCs w:val="15"/>
              </w:rPr>
              <w:t xml:space="preserve">72</w:t>
            </w:r>
          </w:p>
        </w:tc>
        <w:tc>
          <w:tcPr>
            <w:tcW w:w="520" w:type="dxa"/>
          </w:tcPr>
          <w:p>
            <w:pPr>
              <w:spacing w:after="0" w:line="240" w:lineRule="auto"/>
              <w:jc w:val="center"/>
            </w:pPr>
            <w:r>
              <w:rPr>
                <w:rFonts w:ascii="Arial" w:hAnsi="Arial" w:cs="Arial"/>
                <w:sz w:val="15"/>
                <w:szCs w:val="15"/>
              </w:rPr>
              <w:t xml:space="preserve">62</w:t>
            </w:r>
          </w:p>
        </w:tc>
        <w:tc>
          <w:tcPr>
            <w:tcW w:w="520" w:type="dxa"/>
          </w:tcPr>
          <w:p>
            <w:pPr>
              <w:spacing w:after="0" w:line="240" w:lineRule="auto"/>
              <w:jc w:val="center"/>
            </w:pPr>
            <w:r>
              <w:rPr>
                <w:rFonts w:ascii="Arial" w:hAnsi="Arial" w:cs="Arial"/>
                <w:sz w:val="15"/>
                <w:szCs w:val="15"/>
              </w:rPr>
              <w:t xml:space="preserve">72</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r>
        <w:trPr>
          <w:cantSplit/>
        </w:trPr>
        <w:tc>
          <w:tcPr>
            <w:tcW w:w="600" w:type="dxa"/>
          </w:tcPr>
          <w:p>
            <w:pPr>
              <w:spacing w:after="0" w:line="240" w:lineRule="auto"/>
              <w:jc w:val="left"/>
            </w:pPr>
            <w:r>
              <w:rPr>
                <w:rFonts w:ascii="Arial" w:hAnsi="Arial" w:cs="Arial"/>
                <w:sz w:val="15"/>
                <w:szCs w:val="15"/>
              </w:rPr>
              <w:t xml:space="preserve">6.4</w:t>
            </w:r>
          </w:p>
        </w:tc>
        <w:tc>
          <w:tcPr>
            <w:tcW w:w="3000" w:type="dxa"/>
          </w:tcPr>
          <w:p>
            <w:pPr>
              <w:spacing w:after="0" w:line="240" w:lineRule="auto"/>
              <w:jc w:val="left"/>
            </w:pPr>
            <w:r>
              <w:rPr>
                <w:rFonts w:ascii="Arial" w:hAnsi="Arial" w:cs="Arial"/>
                <w:sz w:val="15"/>
                <w:szCs w:val="15"/>
              </w:rPr>
              <w:t xml:space="preserve">Lessons learned and handover</w:t>
            </w:r>
          </w:p>
        </w:tc>
        <w:tc>
          <w:tcPr>
            <w:tcW w:w="560" w:type="dxa"/>
          </w:tcPr>
          <w:p>
            <w:pPr>
              <w:spacing w:after="0" w:line="240" w:lineRule="auto"/>
              <w:jc w:val="center"/>
            </w:pPr>
            <w:r>
              <w:rPr>
                <w:rFonts w:ascii="Arial" w:hAnsi="Arial" w:cs="Arial"/>
                <w:sz w:val="15"/>
                <w:szCs w:val="15"/>
              </w:rPr>
              <w:t xml:space="preserve">4</w:t>
            </w:r>
          </w:p>
        </w:tc>
        <w:tc>
          <w:tcPr>
            <w:tcW w:w="1100" w:type="dxa"/>
          </w:tcPr>
          <w:p>
            <w:pPr>
              <w:spacing w:after="0" w:line="240" w:lineRule="auto"/>
              <w:jc w:val="left"/>
            </w:pPr>
            <w:r>
              <w:rPr>
                <w:rFonts w:ascii="Arial" w:hAnsi="Arial" w:cs="Arial"/>
                <w:sz w:val="15"/>
                <w:szCs w:val="15"/>
              </w:rPr>
              <w:t xml:space="preserve">6.3, 2.4</w:t>
            </w:r>
          </w:p>
        </w:tc>
        <w:tc>
          <w:tcPr>
            <w:tcW w:w="520" w:type="dxa"/>
          </w:tcPr>
          <w:p>
            <w:pPr>
              <w:spacing w:after="0" w:line="240" w:lineRule="auto"/>
              <w:jc w:val="center"/>
            </w:pPr>
            <w:r>
              <w:rPr>
                <w:rFonts w:ascii="Arial" w:hAnsi="Arial" w:cs="Arial"/>
                <w:sz w:val="15"/>
                <w:szCs w:val="15"/>
              </w:rPr>
              <w:t xml:space="preserve">72</w:t>
            </w:r>
          </w:p>
        </w:tc>
        <w:tc>
          <w:tcPr>
            <w:tcW w:w="520" w:type="dxa"/>
          </w:tcPr>
          <w:p>
            <w:pPr>
              <w:spacing w:after="0" w:line="240" w:lineRule="auto"/>
              <w:jc w:val="center"/>
            </w:pPr>
            <w:r>
              <w:rPr>
                <w:rFonts w:ascii="Arial" w:hAnsi="Arial" w:cs="Arial"/>
                <w:sz w:val="15"/>
                <w:szCs w:val="15"/>
              </w:rPr>
              <w:t xml:space="preserve">76</w:t>
            </w:r>
          </w:p>
        </w:tc>
        <w:tc>
          <w:tcPr>
            <w:tcW w:w="520" w:type="dxa"/>
          </w:tcPr>
          <w:p>
            <w:pPr>
              <w:spacing w:after="0" w:line="240" w:lineRule="auto"/>
              <w:jc w:val="center"/>
            </w:pPr>
            <w:r>
              <w:rPr>
                <w:rFonts w:ascii="Arial" w:hAnsi="Arial" w:cs="Arial"/>
                <w:sz w:val="15"/>
                <w:szCs w:val="15"/>
              </w:rPr>
              <w:t xml:space="preserve">72</w:t>
            </w:r>
          </w:p>
        </w:tc>
        <w:tc>
          <w:tcPr>
            <w:tcW w:w="520" w:type="dxa"/>
          </w:tcPr>
          <w:p>
            <w:pPr>
              <w:spacing w:after="0" w:line="240" w:lineRule="auto"/>
              <w:jc w:val="center"/>
            </w:pPr>
            <w:r>
              <w:rPr>
                <w:rFonts w:ascii="Arial" w:hAnsi="Arial" w:cs="Arial"/>
                <w:sz w:val="15"/>
                <w:szCs w:val="15"/>
              </w:rPr>
              <w:t xml:space="preserve">76</w:t>
            </w:r>
          </w:p>
        </w:tc>
        <w:tc>
          <w:tcPr>
            <w:tcW w:w="600" w:type="dxa"/>
          </w:tcPr>
          <w:p>
            <w:pPr>
              <w:spacing w:after="0" w:line="240" w:lineRule="auto"/>
              <w:jc w:val="center"/>
            </w:pPr>
            <w:r>
              <w:rPr>
                <w:rFonts w:ascii="Arial" w:hAnsi="Arial" w:cs="Arial"/>
                <w:sz w:val="15"/>
                <w:szCs w:val="15"/>
              </w:rPr>
              <w:t xml:space="preserve">0</w:t>
            </w:r>
          </w:p>
        </w:tc>
        <w:tc>
          <w:tcPr>
            <w:tcW w:w="786" w:type="dxa"/>
          </w:tcPr>
          <w:p>
            <w:pPr>
              <w:spacing w:after="0" w:line="240" w:lineRule="auto"/>
              <w:jc w:val="center"/>
            </w:pPr>
            <w:r>
              <w:rPr>
                <w:rFonts w:ascii="Arial" w:hAnsi="Arial" w:cs="Arial"/>
                <w:sz w:val="15"/>
                <w:szCs w:val="15"/>
              </w:rPr>
              <w:t xml:space="preserve">Yes</w:t>
            </w:r>
          </w:p>
        </w:tc>
      </w:tr>
    </w:tbl>
    <w:p>
      <w:pPr>
        <w:pStyle w:val="NoSpacing"/>
        <w:spacing w:after="120"/>
      </w:pPr>
    </w:p>
    <w:p>
      <w:pPr>
        <w:pStyle w:val="NoSpacing"/>
        <w:spacing w:after="120"/>
        <w:jc w:val="left"/>
      </w:pPr>
      <w:r>
        <w:rPr>
          <w:rFonts w:ascii="Arial" w:hAnsi="Arial" w:cs="Arial"/>
          <w:sz w:val="18"/>
          <w:szCs w:val="18"/>
        </w:rPr>
        <w:t xml:space="preserve">Forward pass gives a finish at week 78. Critical path: 1.1, 3.1, 3.2, 3.3, 1.3B, 3.4, 6.2, 6.3, 6.4, 1.4. PERT for 3.3: expected duration = (18 + 4 x 24 + 36) / 6 = 25.0 weeks; standard deviation = (36 - 18) / 6 = 3.0 weeks. Pessimistic case: 78 + (36 - 24) - 4 buffer = 86 weeks, inside the three-month tolerance (week 91).</w:t>
      </w:r>
    </w:p>
    <w:p>
      <w:pPr>
        <w:pStyle w:val="NoSpacing"/>
        <w:keepNext/>
        <w:spacing w:after="120"/>
      </w:pPr>
      <w:r>
        <w:rPr>
          <w:rFonts w:ascii="Arial" w:hAnsi="Arial" w:cs="Arial"/>
          <w:b/>
        </w:rPr>
        <w:t xml:space="preserve">Appendix B: WBS dictionary</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600"/>
        <w:gridCol w:w="2500"/>
        <w:gridCol w:w="3900"/>
        <w:gridCol w:w="2026"/>
      </w:tblGrid>
      <w:tr>
        <w:trPr>
          <w:cantSplit/>
          <w:tblHeader/>
        </w:trPr>
        <w:tc>
          <w:tcPr>
            <w:tcW w:w="600" w:type="dxa"/>
            <w:shd w:val="clear" w:color="auto" w:fill="D9D9D9"/>
          </w:tcPr>
          <w:p>
            <w:pPr>
              <w:spacing w:after="0" w:line="240" w:lineRule="auto"/>
              <w:jc w:val="left"/>
            </w:pPr>
            <w:r>
              <w:rPr>
                <w:rFonts w:ascii="Arial" w:hAnsi="Arial" w:cs="Arial"/>
                <w:b/>
                <w:sz w:val="15"/>
                <w:szCs w:val="15"/>
              </w:rPr>
              <w:t xml:space="preserve">ID</w:t>
            </w:r>
          </w:p>
        </w:tc>
        <w:tc>
          <w:tcPr>
            <w:tcW w:w="2500" w:type="dxa"/>
            <w:shd w:val="clear" w:color="auto" w:fill="D9D9D9"/>
          </w:tcPr>
          <w:p>
            <w:pPr>
              <w:spacing w:after="0" w:line="240" w:lineRule="auto"/>
              <w:jc w:val="left"/>
            </w:pPr>
            <w:r>
              <w:rPr>
                <w:rFonts w:ascii="Arial" w:hAnsi="Arial" w:cs="Arial"/>
                <w:b/>
                <w:sz w:val="15"/>
                <w:szCs w:val="15"/>
              </w:rPr>
              <w:t xml:space="preserve">Work package</w:t>
            </w:r>
          </w:p>
        </w:tc>
        <w:tc>
          <w:tcPr>
            <w:tcW w:w="3900" w:type="dxa"/>
            <w:shd w:val="clear" w:color="auto" w:fill="D9D9D9"/>
          </w:tcPr>
          <w:p>
            <w:pPr>
              <w:spacing w:after="0" w:line="240" w:lineRule="auto"/>
              <w:jc w:val="left"/>
            </w:pPr>
            <w:r>
              <w:rPr>
                <w:rFonts w:ascii="Arial" w:hAnsi="Arial" w:cs="Arial"/>
                <w:b/>
                <w:sz w:val="15"/>
                <w:szCs w:val="15"/>
              </w:rPr>
              <w:t xml:space="preserve">Output</w:t>
            </w:r>
          </w:p>
        </w:tc>
        <w:tc>
          <w:tcPr>
            <w:tcW w:w="2026" w:type="dxa"/>
            <w:shd w:val="clear" w:color="auto" w:fill="D9D9D9"/>
          </w:tcPr>
          <w:p>
            <w:pPr>
              <w:spacing w:after="0" w:line="240" w:lineRule="auto"/>
              <w:jc w:val="left"/>
            </w:pPr>
            <w:r>
              <w:rPr>
                <w:rFonts w:ascii="Arial" w:hAnsi="Arial" w:cs="Arial"/>
                <w:b/>
                <w:sz w:val="15"/>
                <w:szCs w:val="15"/>
              </w:rPr>
              <w:t xml:space="preserve">Owner (role)</w:t>
            </w:r>
          </w:p>
        </w:tc>
      </w:tr>
      <w:tr>
        <w:trPr>
          <w:cantSplit/>
        </w:trPr>
        <w:tc>
          <w:tcPr>
            <w:tcW w:w="600" w:type="dxa"/>
          </w:tcPr>
          <w:p>
            <w:pPr>
              <w:spacing w:after="0" w:line="240" w:lineRule="auto"/>
              <w:jc w:val="left"/>
            </w:pPr>
            <w:r>
              <w:rPr>
                <w:rFonts w:ascii="Arial" w:hAnsi="Arial" w:cs="Arial"/>
                <w:sz w:val="15"/>
                <w:szCs w:val="15"/>
              </w:rPr>
              <w:t xml:space="preserve">1</w:t>
            </w:r>
          </w:p>
        </w:tc>
        <w:tc>
          <w:tcPr>
            <w:tcW w:w="2500" w:type="dxa"/>
          </w:tcPr>
          <w:p>
            <w:pPr>
              <w:spacing w:after="0" w:line="240" w:lineRule="auto"/>
              <w:jc w:val="left"/>
            </w:pPr>
            <w:r>
              <w:rPr>
                <w:rFonts w:ascii="Arial" w:hAnsi="Arial" w:cs="Arial"/>
                <w:sz w:val="15"/>
                <w:szCs w:val="15"/>
              </w:rPr>
              <w:t xml:space="preserve">PROGRAMME GOVERNANCE</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1.1</w:t>
            </w:r>
          </w:p>
        </w:tc>
        <w:tc>
          <w:tcPr>
            <w:tcW w:w="2500" w:type="dxa"/>
          </w:tcPr>
          <w:p>
            <w:pPr>
              <w:spacing w:after="0" w:line="240" w:lineRule="auto"/>
              <w:jc w:val="left"/>
            </w:pPr>
            <w:r>
              <w:rPr>
                <w:rFonts w:ascii="Arial" w:hAnsi="Arial" w:cs="Arial"/>
                <w:sz w:val="15"/>
                <w:szCs w:val="15"/>
              </w:rPr>
              <w:t xml:space="preserve">Charter and steering committee</w:t>
            </w:r>
          </w:p>
        </w:tc>
        <w:tc>
          <w:tcPr>
            <w:tcW w:w="3900" w:type="dxa"/>
          </w:tcPr>
          <w:p>
            <w:pPr>
              <w:spacing w:after="0" w:line="240" w:lineRule="auto"/>
              <w:jc w:val="left"/>
            </w:pPr>
            <w:r>
              <w:rPr>
                <w:rFonts w:ascii="Arial" w:hAnsi="Arial" w:cs="Arial"/>
                <w:sz w:val="15"/>
                <w:szCs w:val="15"/>
              </w:rPr>
              <w:t xml:space="preserve">Signed charter, steering committee terms of reference</w:t>
            </w:r>
          </w:p>
        </w:tc>
        <w:tc>
          <w:tcPr>
            <w:tcW w:w="2026" w:type="dxa"/>
          </w:tcPr>
          <w:p>
            <w:pPr>
              <w:spacing w:after="0" w:line="240" w:lineRule="auto"/>
              <w:jc w:val="left"/>
            </w:pPr>
            <w:r>
              <w:rPr>
                <w:rFonts w:ascii="Arial" w:hAnsi="Arial" w:cs="Arial"/>
                <w:sz w:val="15"/>
                <w:szCs w:val="15"/>
              </w:rPr>
              <w:t xml:space="preserve">Programme Manager</w:t>
            </w:r>
          </w:p>
        </w:tc>
      </w:tr>
      <w:tr>
        <w:trPr>
          <w:cantSplit/>
        </w:trPr>
        <w:tc>
          <w:tcPr>
            <w:tcW w:w="600" w:type="dxa"/>
          </w:tcPr>
          <w:p>
            <w:pPr>
              <w:spacing w:after="0" w:line="240" w:lineRule="auto"/>
              <w:jc w:val="left"/>
            </w:pPr>
            <w:r>
              <w:rPr>
                <w:rFonts w:ascii="Arial" w:hAnsi="Arial" w:cs="Arial"/>
                <w:sz w:val="15"/>
                <w:szCs w:val="15"/>
              </w:rPr>
              <w:t xml:space="preserve">1.2</w:t>
            </w:r>
          </w:p>
        </w:tc>
        <w:tc>
          <w:tcPr>
            <w:tcW w:w="2500" w:type="dxa"/>
          </w:tcPr>
          <w:p>
            <w:pPr>
              <w:spacing w:after="0" w:line="240" w:lineRule="auto"/>
              <w:jc w:val="left"/>
            </w:pPr>
            <w:r>
              <w:rPr>
                <w:rFonts w:ascii="Arial" w:hAnsi="Arial" w:cs="Arial"/>
                <w:sz w:val="15"/>
                <w:szCs w:val="15"/>
              </w:rPr>
              <w:t xml:space="preserve">Stakeholder and communication plan</w:t>
            </w:r>
          </w:p>
        </w:tc>
        <w:tc>
          <w:tcPr>
            <w:tcW w:w="3900" w:type="dxa"/>
          </w:tcPr>
          <w:p>
            <w:pPr>
              <w:spacing w:after="0" w:line="240" w:lineRule="auto"/>
              <w:jc w:val="left"/>
            </w:pPr>
            <w:r>
              <w:rPr>
                <w:rFonts w:ascii="Arial" w:hAnsi="Arial" w:cs="Arial"/>
                <w:sz w:val="15"/>
                <w:szCs w:val="15"/>
              </w:rPr>
              <w:t xml:space="preserve">Stakeholder engagement and communication plan, actions for S1 to S10</w:t>
            </w:r>
          </w:p>
        </w:tc>
        <w:tc>
          <w:tcPr>
            <w:tcW w:w="2026" w:type="dxa"/>
          </w:tcPr>
          <w:p>
            <w:pPr>
              <w:spacing w:after="0" w:line="240" w:lineRule="auto"/>
              <w:jc w:val="left"/>
            </w:pPr>
            <w:r>
              <w:rPr>
                <w:rFonts w:ascii="Arial" w:hAnsi="Arial" w:cs="Arial"/>
                <w:sz w:val="15"/>
                <w:szCs w:val="15"/>
              </w:rPr>
              <w:t xml:space="preserve">Programme Manager</w:t>
            </w:r>
          </w:p>
        </w:tc>
      </w:tr>
      <w:tr>
        <w:trPr>
          <w:cantSplit/>
        </w:trPr>
        <w:tc>
          <w:tcPr>
            <w:tcW w:w="600" w:type="dxa"/>
          </w:tcPr>
          <w:p>
            <w:pPr>
              <w:spacing w:after="0" w:line="240" w:lineRule="auto"/>
              <w:jc w:val="left"/>
            </w:pPr>
            <w:r>
              <w:rPr>
                <w:rFonts w:ascii="Arial" w:hAnsi="Arial" w:cs="Arial"/>
                <w:sz w:val="15"/>
                <w:szCs w:val="15"/>
              </w:rPr>
              <w:t xml:space="preserve">1.3</w:t>
            </w:r>
          </w:p>
        </w:tc>
        <w:tc>
          <w:tcPr>
            <w:tcW w:w="2500" w:type="dxa"/>
          </w:tcPr>
          <w:p>
            <w:pPr>
              <w:spacing w:after="0" w:line="240" w:lineRule="auto"/>
              <w:jc w:val="left"/>
            </w:pPr>
            <w:r>
              <w:rPr>
                <w:rFonts w:ascii="Arial" w:hAnsi="Arial" w:cs="Arial"/>
                <w:sz w:val="15"/>
                <w:szCs w:val="15"/>
              </w:rPr>
              <w:t xml:space="preserve">Risk management and reserve</w:t>
            </w:r>
          </w:p>
        </w:tc>
        <w:tc>
          <w:tcPr>
            <w:tcW w:w="3900" w:type="dxa"/>
          </w:tcPr>
          <w:p>
            <w:pPr>
              <w:spacing w:after="0" w:line="240" w:lineRule="auto"/>
              <w:jc w:val="left"/>
            </w:pPr>
            <w:r>
              <w:rPr>
                <w:rFonts w:ascii="Arial" w:hAnsi="Arial" w:cs="Arial"/>
                <w:sz w:val="15"/>
                <w:szCs w:val="15"/>
              </w:rPr>
              <w:t xml:space="preserve">Risk register, monthly risk and tariff reviews, EUR 1.0m reserve</w:t>
            </w:r>
          </w:p>
        </w:tc>
        <w:tc>
          <w:tcPr>
            <w:tcW w:w="2026" w:type="dxa"/>
          </w:tcPr>
          <w:p>
            <w:pPr>
              <w:spacing w:after="0" w:line="240" w:lineRule="auto"/>
              <w:jc w:val="left"/>
            </w:pPr>
            <w:r>
              <w:rPr>
                <w:rFonts w:ascii="Arial" w:hAnsi="Arial" w:cs="Arial"/>
                <w:sz w:val="15"/>
                <w:szCs w:val="15"/>
              </w:rPr>
              <w:t xml:space="preserve">Trade Compliance</w:t>
            </w:r>
          </w:p>
        </w:tc>
      </w:tr>
      <w:tr>
        <w:trPr>
          <w:cantSplit/>
        </w:trPr>
        <w:tc>
          <w:tcPr>
            <w:tcW w:w="600" w:type="dxa"/>
          </w:tcPr>
          <w:p>
            <w:pPr>
              <w:spacing w:after="0" w:line="240" w:lineRule="auto"/>
              <w:jc w:val="left"/>
            </w:pPr>
            <w:r>
              <w:rPr>
                <w:rFonts w:ascii="Arial" w:hAnsi="Arial" w:cs="Arial"/>
                <w:sz w:val="15"/>
                <w:szCs w:val="15"/>
              </w:rPr>
              <w:t xml:space="preserve">1.4</w:t>
            </w:r>
          </w:p>
        </w:tc>
        <w:tc>
          <w:tcPr>
            <w:tcW w:w="2500" w:type="dxa"/>
          </w:tcPr>
          <w:p>
            <w:pPr>
              <w:spacing w:after="0" w:line="240" w:lineRule="auto"/>
              <w:jc w:val="left"/>
            </w:pPr>
            <w:r>
              <w:rPr>
                <w:rFonts w:ascii="Arial" w:hAnsi="Arial" w:cs="Arial"/>
                <w:sz w:val="15"/>
                <w:szCs w:val="15"/>
              </w:rPr>
              <w:t xml:space="preserve">Benefits tracking and close-out</w:t>
            </w:r>
          </w:p>
        </w:tc>
        <w:tc>
          <w:tcPr>
            <w:tcW w:w="3900" w:type="dxa"/>
          </w:tcPr>
          <w:p>
            <w:pPr>
              <w:spacing w:after="0" w:line="240" w:lineRule="auto"/>
              <w:jc w:val="left"/>
            </w:pPr>
            <w:r>
              <w:rPr>
                <w:rFonts w:ascii="Arial" w:hAnsi="Arial" w:cs="Arial"/>
                <w:sz w:val="15"/>
                <w:szCs w:val="15"/>
              </w:rPr>
              <w:t xml:space="preserve">Benefits report against Table 2 KPIs</w:t>
            </w:r>
          </w:p>
        </w:tc>
        <w:tc>
          <w:tcPr>
            <w:tcW w:w="2026" w:type="dxa"/>
          </w:tcPr>
          <w:p>
            <w:pPr>
              <w:spacing w:after="0" w:line="240" w:lineRule="auto"/>
              <w:jc w:val="left"/>
            </w:pPr>
            <w:r>
              <w:rPr>
                <w:rFonts w:ascii="Arial" w:hAnsi="Arial" w:cs="Arial"/>
                <w:sz w:val="15"/>
                <w:szCs w:val="15"/>
              </w:rPr>
              <w:t xml:space="preserve">Programme Manager</w:t>
            </w:r>
          </w:p>
        </w:tc>
      </w:tr>
      <w:tr>
        <w:trPr>
          <w:cantSplit/>
        </w:trPr>
        <w:tc>
          <w:tcPr>
            <w:tcW w:w="600" w:type="dxa"/>
          </w:tcPr>
          <w:p>
            <w:pPr>
              <w:spacing w:after="0" w:line="240" w:lineRule="auto"/>
              <w:jc w:val="left"/>
            </w:pPr>
            <w:r>
              <w:rPr>
                <w:rFonts w:ascii="Arial" w:hAnsi="Arial" w:cs="Arial"/>
                <w:sz w:val="15"/>
                <w:szCs w:val="15"/>
              </w:rPr>
              <w:t xml:space="preserve">2</w:t>
            </w:r>
          </w:p>
        </w:tc>
        <w:tc>
          <w:tcPr>
            <w:tcW w:w="2500" w:type="dxa"/>
          </w:tcPr>
          <w:p>
            <w:pPr>
              <w:spacing w:after="0" w:line="240" w:lineRule="auto"/>
              <w:jc w:val="left"/>
            </w:pPr>
            <w:r>
              <w:rPr>
                <w:rFonts w:ascii="Arial" w:hAnsi="Arial" w:cs="Arial"/>
                <w:sz w:val="15"/>
                <w:szCs w:val="15"/>
              </w:rPr>
              <w:t xml:space="preserve">MULTI-TIER VISIBILITY PLATFORM</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2.1</w:t>
            </w:r>
          </w:p>
        </w:tc>
        <w:tc>
          <w:tcPr>
            <w:tcW w:w="2500" w:type="dxa"/>
          </w:tcPr>
          <w:p>
            <w:pPr>
              <w:spacing w:after="0" w:line="240" w:lineRule="auto"/>
              <w:jc w:val="left"/>
            </w:pPr>
            <w:r>
              <w:rPr>
                <w:rFonts w:ascii="Arial" w:hAnsi="Arial" w:cs="Arial"/>
                <w:sz w:val="15"/>
                <w:szCs w:val="15"/>
              </w:rPr>
              <w:t xml:space="preserve">Requirements and vendor selection</w:t>
            </w:r>
          </w:p>
        </w:tc>
        <w:tc>
          <w:tcPr>
            <w:tcW w:w="3900" w:type="dxa"/>
          </w:tcPr>
          <w:p>
            <w:pPr>
              <w:spacing w:after="0" w:line="240" w:lineRule="auto"/>
              <w:jc w:val="left"/>
            </w:pPr>
            <w:r>
              <w:rPr>
                <w:rFonts w:ascii="Arial" w:hAnsi="Arial" w:cs="Arial"/>
                <w:sz w:val="15"/>
                <w:szCs w:val="15"/>
              </w:rPr>
              <w:t xml:space="preserve">Requirements specification and vendor contract</w:t>
            </w:r>
          </w:p>
        </w:tc>
        <w:tc>
          <w:tcPr>
            <w:tcW w:w="2026" w:type="dxa"/>
          </w:tcPr>
          <w:p>
            <w:pPr>
              <w:spacing w:after="0" w:line="240" w:lineRule="auto"/>
              <w:jc w:val="left"/>
            </w:pPr>
            <w:r>
              <w:rPr>
                <w:rFonts w:ascii="Arial" w:hAnsi="Arial" w:cs="Arial"/>
                <w:sz w:val="15"/>
                <w:szCs w:val="15"/>
              </w:rPr>
              <w:t xml:space="preserve">IT Programme Lead</w:t>
            </w:r>
          </w:p>
        </w:tc>
      </w:tr>
      <w:tr>
        <w:trPr>
          <w:cantSplit/>
        </w:trPr>
        <w:tc>
          <w:tcPr>
            <w:tcW w:w="600" w:type="dxa"/>
          </w:tcPr>
          <w:p>
            <w:pPr>
              <w:spacing w:after="0" w:line="240" w:lineRule="auto"/>
              <w:jc w:val="left"/>
            </w:pPr>
            <w:r>
              <w:rPr>
                <w:rFonts w:ascii="Arial" w:hAnsi="Arial" w:cs="Arial"/>
                <w:sz w:val="15"/>
                <w:szCs w:val="15"/>
              </w:rPr>
              <w:t xml:space="preserve">2.2</w:t>
            </w:r>
          </w:p>
        </w:tc>
        <w:tc>
          <w:tcPr>
            <w:tcW w:w="2500" w:type="dxa"/>
          </w:tcPr>
          <w:p>
            <w:pPr>
              <w:spacing w:after="0" w:line="240" w:lineRule="auto"/>
              <w:jc w:val="left"/>
            </w:pPr>
            <w:r>
              <w:rPr>
                <w:rFonts w:ascii="Arial" w:hAnsi="Arial" w:cs="Arial"/>
                <w:sz w:val="15"/>
                <w:szCs w:val="15"/>
              </w:rPr>
              <w:t xml:space="preserve">Platform configuration and integration</w:t>
            </w:r>
          </w:p>
        </w:tc>
        <w:tc>
          <w:tcPr>
            <w:tcW w:w="3900" w:type="dxa"/>
          </w:tcPr>
          <w:p>
            <w:pPr>
              <w:spacing w:after="0" w:line="240" w:lineRule="auto"/>
              <w:jc w:val="left"/>
            </w:pPr>
            <w:r>
              <w:rPr>
                <w:rFonts w:ascii="Arial" w:hAnsi="Arial" w:cs="Arial"/>
                <w:sz w:val="15"/>
                <w:szCs w:val="15"/>
              </w:rPr>
              <w:t xml:space="preserve">Configured platform integrated with sourcing and ERP systems</w:t>
            </w:r>
          </w:p>
        </w:tc>
        <w:tc>
          <w:tcPr>
            <w:tcW w:w="2026" w:type="dxa"/>
          </w:tcPr>
          <w:p>
            <w:pPr>
              <w:spacing w:after="0" w:line="240" w:lineRule="auto"/>
              <w:jc w:val="left"/>
            </w:pPr>
            <w:r>
              <w:rPr>
                <w:rFonts w:ascii="Arial" w:hAnsi="Arial" w:cs="Arial"/>
                <w:sz w:val="15"/>
                <w:szCs w:val="15"/>
              </w:rPr>
              <w:t xml:space="preserve">IT Programme Lead</w:t>
            </w:r>
          </w:p>
        </w:tc>
      </w:tr>
      <w:tr>
        <w:trPr>
          <w:cantSplit/>
        </w:trPr>
        <w:tc>
          <w:tcPr>
            <w:tcW w:w="600" w:type="dxa"/>
          </w:tcPr>
          <w:p>
            <w:pPr>
              <w:spacing w:after="0" w:line="240" w:lineRule="auto"/>
              <w:jc w:val="left"/>
            </w:pPr>
            <w:r>
              <w:rPr>
                <w:rFonts w:ascii="Arial" w:hAnsi="Arial" w:cs="Arial"/>
                <w:sz w:val="15"/>
                <w:szCs w:val="15"/>
              </w:rPr>
              <w:t xml:space="preserve">2.3</w:t>
            </w:r>
          </w:p>
        </w:tc>
        <w:tc>
          <w:tcPr>
            <w:tcW w:w="2500" w:type="dxa"/>
          </w:tcPr>
          <w:p>
            <w:pPr>
              <w:spacing w:after="0" w:line="240" w:lineRule="auto"/>
              <w:jc w:val="left"/>
            </w:pPr>
            <w:r>
              <w:rPr>
                <w:rFonts w:ascii="Arial" w:hAnsi="Arial" w:cs="Arial"/>
                <w:sz w:val="15"/>
                <w:szCs w:val="15"/>
              </w:rPr>
              <w:t xml:space="preserve">Tier 1 data onboarding</w:t>
            </w:r>
          </w:p>
        </w:tc>
        <w:tc>
          <w:tcPr>
            <w:tcW w:w="3900" w:type="dxa"/>
          </w:tcPr>
          <w:p>
            <w:pPr>
              <w:spacing w:after="0" w:line="240" w:lineRule="auto"/>
              <w:jc w:val="left"/>
            </w:pPr>
            <w:r>
              <w:rPr>
                <w:rFonts w:ascii="Arial" w:hAnsi="Arial" w:cs="Arial"/>
                <w:sz w:val="15"/>
                <w:szCs w:val="15"/>
              </w:rPr>
              <w:t xml:space="preserve">All Tier 1 factories supplying US-bound footwear onboarded, baselines confirmed</w:t>
            </w:r>
          </w:p>
        </w:tc>
        <w:tc>
          <w:tcPr>
            <w:tcW w:w="2026" w:type="dxa"/>
          </w:tcPr>
          <w:p>
            <w:pPr>
              <w:spacing w:after="0" w:line="240" w:lineRule="auto"/>
              <w:jc w:val="left"/>
            </w:pPr>
            <w:r>
              <w:rPr>
                <w:rFonts w:ascii="Arial" w:hAnsi="Arial" w:cs="Arial"/>
                <w:sz w:val="15"/>
                <w:szCs w:val="15"/>
              </w:rPr>
              <w:t xml:space="preserve">Head of Global Sourcing</w:t>
            </w:r>
          </w:p>
        </w:tc>
      </w:tr>
      <w:tr>
        <w:trPr>
          <w:cantSplit/>
        </w:trPr>
        <w:tc>
          <w:tcPr>
            <w:tcW w:w="600" w:type="dxa"/>
          </w:tcPr>
          <w:p>
            <w:pPr>
              <w:spacing w:after="0" w:line="240" w:lineRule="auto"/>
              <w:jc w:val="left"/>
            </w:pPr>
            <w:r>
              <w:rPr>
                <w:rFonts w:ascii="Arial" w:hAnsi="Arial" w:cs="Arial"/>
                <w:sz w:val="15"/>
                <w:szCs w:val="15"/>
              </w:rPr>
              <w:t xml:space="preserve">2.4</w:t>
            </w:r>
          </w:p>
        </w:tc>
        <w:tc>
          <w:tcPr>
            <w:tcW w:w="2500" w:type="dxa"/>
          </w:tcPr>
          <w:p>
            <w:pPr>
              <w:spacing w:after="0" w:line="240" w:lineRule="auto"/>
              <w:jc w:val="left"/>
            </w:pPr>
            <w:r>
              <w:rPr>
                <w:rFonts w:ascii="Arial" w:hAnsi="Arial" w:cs="Arial"/>
                <w:sz w:val="15"/>
                <w:szCs w:val="15"/>
              </w:rPr>
              <w:t xml:space="preserve">Tier 2 mill mapping</w:t>
            </w:r>
          </w:p>
        </w:tc>
        <w:tc>
          <w:tcPr>
            <w:tcW w:w="3900" w:type="dxa"/>
          </w:tcPr>
          <w:p>
            <w:pPr>
              <w:spacing w:after="0" w:line="240" w:lineRule="auto"/>
              <w:jc w:val="left"/>
            </w:pPr>
            <w:r>
              <w:rPr>
                <w:rFonts w:ascii="Arial" w:hAnsi="Arial" w:cs="Arial"/>
                <w:sz w:val="15"/>
                <w:szCs w:val="15"/>
              </w:rPr>
              <w:t xml:space="preserve">Tier 2 mills mapped for at least 50% of footwear volume</w:t>
            </w:r>
          </w:p>
        </w:tc>
        <w:tc>
          <w:tcPr>
            <w:tcW w:w="2026" w:type="dxa"/>
          </w:tcPr>
          <w:p>
            <w:pPr>
              <w:spacing w:after="0" w:line="240" w:lineRule="auto"/>
              <w:jc w:val="left"/>
            </w:pPr>
            <w:r>
              <w:rPr>
                <w:rFonts w:ascii="Arial" w:hAnsi="Arial" w:cs="Arial"/>
                <w:sz w:val="15"/>
                <w:szCs w:val="15"/>
              </w:rPr>
              <w:t xml:space="preserve">Head of Global Sourcing</w:t>
            </w:r>
          </w:p>
        </w:tc>
      </w:tr>
      <w:tr>
        <w:trPr>
          <w:cantSplit/>
        </w:trPr>
        <w:tc>
          <w:tcPr>
            <w:tcW w:w="600" w:type="dxa"/>
          </w:tcPr>
          <w:p>
            <w:pPr>
              <w:spacing w:after="0" w:line="240" w:lineRule="auto"/>
              <w:jc w:val="left"/>
            </w:pPr>
            <w:r>
              <w:rPr>
                <w:rFonts w:ascii="Arial" w:hAnsi="Arial" w:cs="Arial"/>
                <w:sz w:val="15"/>
                <w:szCs w:val="15"/>
              </w:rPr>
              <w:t xml:space="preserve">3</w:t>
            </w:r>
          </w:p>
        </w:tc>
        <w:tc>
          <w:tcPr>
            <w:tcW w:w="2500" w:type="dxa"/>
          </w:tcPr>
          <w:p>
            <w:pPr>
              <w:spacing w:after="0" w:line="240" w:lineRule="auto"/>
              <w:jc w:val="left"/>
            </w:pPr>
            <w:r>
              <w:rPr>
                <w:rFonts w:ascii="Arial" w:hAnsi="Arial" w:cs="Arial"/>
                <w:sz w:val="15"/>
                <w:szCs w:val="15"/>
              </w:rPr>
              <w:t xml:space="preserve">SECOND-SOURCE QUALIFICATION</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3.1</w:t>
            </w:r>
          </w:p>
        </w:tc>
        <w:tc>
          <w:tcPr>
            <w:tcW w:w="2500" w:type="dxa"/>
          </w:tcPr>
          <w:p>
            <w:pPr>
              <w:spacing w:after="0" w:line="240" w:lineRule="auto"/>
              <w:jc w:val="left"/>
            </w:pPr>
            <w:r>
              <w:rPr>
                <w:rFonts w:ascii="Arial" w:hAnsi="Arial" w:cs="Arial"/>
                <w:sz w:val="15"/>
                <w:szCs w:val="15"/>
              </w:rPr>
              <w:t xml:space="preserve">Candidate factory selection</w:t>
            </w:r>
          </w:p>
        </w:tc>
        <w:tc>
          <w:tcPr>
            <w:tcW w:w="3900" w:type="dxa"/>
          </w:tcPr>
          <w:p>
            <w:pPr>
              <w:spacing w:after="0" w:line="240" w:lineRule="auto"/>
              <w:jc w:val="left"/>
            </w:pPr>
            <w:r>
              <w:rPr>
                <w:rFonts w:ascii="Arial" w:hAnsi="Arial" w:cs="Arial"/>
                <w:sz w:val="15"/>
                <w:szCs w:val="15"/>
              </w:rPr>
              <w:t xml:space="preserve">Shortlist of candidate second-source factories by style family</w:t>
            </w:r>
          </w:p>
        </w:tc>
        <w:tc>
          <w:tcPr>
            <w:tcW w:w="2026" w:type="dxa"/>
          </w:tcPr>
          <w:p>
            <w:pPr>
              <w:spacing w:after="0" w:line="240" w:lineRule="auto"/>
              <w:jc w:val="left"/>
            </w:pPr>
            <w:r>
              <w:rPr>
                <w:rFonts w:ascii="Arial" w:hAnsi="Arial" w:cs="Arial"/>
                <w:sz w:val="15"/>
                <w:szCs w:val="15"/>
              </w:rPr>
              <w:t xml:space="preserve">Head of Global Sourcing</w:t>
            </w:r>
          </w:p>
        </w:tc>
      </w:tr>
      <w:tr>
        <w:trPr>
          <w:cantSplit/>
        </w:trPr>
        <w:tc>
          <w:tcPr>
            <w:tcW w:w="600" w:type="dxa"/>
          </w:tcPr>
          <w:p>
            <w:pPr>
              <w:spacing w:after="0" w:line="240" w:lineRule="auto"/>
              <w:jc w:val="left"/>
            </w:pPr>
            <w:r>
              <w:rPr>
                <w:rFonts w:ascii="Arial" w:hAnsi="Arial" w:cs="Arial"/>
                <w:sz w:val="15"/>
                <w:szCs w:val="15"/>
              </w:rPr>
              <w:t xml:space="preserve">3.2</w:t>
            </w:r>
          </w:p>
        </w:tc>
        <w:tc>
          <w:tcPr>
            <w:tcW w:w="2500" w:type="dxa"/>
          </w:tcPr>
          <w:p>
            <w:pPr>
              <w:spacing w:after="0" w:line="240" w:lineRule="auto"/>
              <w:jc w:val="left"/>
            </w:pPr>
            <w:r>
              <w:rPr>
                <w:rFonts w:ascii="Arial" w:hAnsi="Arial" w:cs="Arial"/>
                <w:sz w:val="15"/>
                <w:szCs w:val="15"/>
              </w:rPr>
              <w:t xml:space="preserve">HREDD audits</w:t>
            </w:r>
          </w:p>
        </w:tc>
        <w:tc>
          <w:tcPr>
            <w:tcW w:w="3900" w:type="dxa"/>
          </w:tcPr>
          <w:p>
            <w:pPr>
              <w:spacing w:after="0" w:line="240" w:lineRule="auto"/>
              <w:jc w:val="left"/>
            </w:pPr>
            <w:r>
              <w:rPr>
                <w:rFonts w:ascii="Arial" w:hAnsi="Arial" w:cs="Arial"/>
                <w:sz w:val="15"/>
                <w:szCs w:val="15"/>
              </w:rPr>
              <w:t xml:space="preserve">Completed HREDD and chemical-standard audits with remediation plans</w:t>
            </w:r>
          </w:p>
        </w:tc>
        <w:tc>
          <w:tcPr>
            <w:tcW w:w="2026" w:type="dxa"/>
          </w:tcPr>
          <w:p>
            <w:pPr>
              <w:spacing w:after="0" w:line="240" w:lineRule="auto"/>
              <w:jc w:val="left"/>
            </w:pPr>
            <w:r>
              <w:rPr>
                <w:rFonts w:ascii="Arial" w:hAnsi="Arial" w:cs="Arial"/>
                <w:sz w:val="15"/>
                <w:szCs w:val="15"/>
              </w:rPr>
              <w:t xml:space="preserve">Sustainability Lead</w:t>
            </w:r>
          </w:p>
        </w:tc>
      </w:tr>
      <w:tr>
        <w:trPr>
          <w:cantSplit/>
        </w:trPr>
        <w:tc>
          <w:tcPr>
            <w:tcW w:w="600" w:type="dxa"/>
          </w:tcPr>
          <w:p>
            <w:pPr>
              <w:spacing w:after="0" w:line="240" w:lineRule="auto"/>
              <w:jc w:val="left"/>
            </w:pPr>
            <w:r>
              <w:rPr>
                <w:rFonts w:ascii="Arial" w:hAnsi="Arial" w:cs="Arial"/>
                <w:sz w:val="15"/>
                <w:szCs w:val="15"/>
              </w:rPr>
              <w:t xml:space="preserve">3.3</w:t>
            </w:r>
          </w:p>
        </w:tc>
        <w:tc>
          <w:tcPr>
            <w:tcW w:w="2500" w:type="dxa"/>
          </w:tcPr>
          <w:p>
            <w:pPr>
              <w:spacing w:after="0" w:line="240" w:lineRule="auto"/>
              <w:jc w:val="left"/>
            </w:pPr>
            <w:r>
              <w:rPr>
                <w:rFonts w:ascii="Arial" w:hAnsi="Arial" w:cs="Arial"/>
                <w:sz w:val="15"/>
                <w:szCs w:val="15"/>
              </w:rPr>
              <w:t xml:space="preserve">Technical trials and sample approval</w:t>
            </w:r>
          </w:p>
        </w:tc>
        <w:tc>
          <w:tcPr>
            <w:tcW w:w="3900" w:type="dxa"/>
          </w:tcPr>
          <w:p>
            <w:pPr>
              <w:spacing w:after="0" w:line="240" w:lineRule="auto"/>
              <w:jc w:val="left"/>
            </w:pPr>
            <w:r>
              <w:rPr>
                <w:rFonts w:ascii="Arial" w:hAnsi="Arial" w:cs="Arial"/>
                <w:sz w:val="15"/>
                <w:szCs w:val="15"/>
              </w:rPr>
              <w:t xml:space="preserve">Approved samples and trial lots from second sources</w:t>
            </w:r>
          </w:p>
        </w:tc>
        <w:tc>
          <w:tcPr>
            <w:tcW w:w="2026" w:type="dxa"/>
          </w:tcPr>
          <w:p>
            <w:pPr>
              <w:spacing w:after="0" w:line="240" w:lineRule="auto"/>
              <w:jc w:val="left"/>
            </w:pPr>
            <w:r>
              <w:rPr>
                <w:rFonts w:ascii="Arial" w:hAnsi="Arial" w:cs="Arial"/>
                <w:sz w:val="15"/>
                <w:szCs w:val="15"/>
              </w:rPr>
              <w:t xml:space="preserve">Product Development Lead</w:t>
            </w:r>
          </w:p>
        </w:tc>
      </w:tr>
      <w:tr>
        <w:trPr>
          <w:cantSplit/>
        </w:trPr>
        <w:tc>
          <w:tcPr>
            <w:tcW w:w="600" w:type="dxa"/>
          </w:tcPr>
          <w:p>
            <w:pPr>
              <w:spacing w:after="0" w:line="240" w:lineRule="auto"/>
              <w:jc w:val="left"/>
            </w:pPr>
            <w:r>
              <w:rPr>
                <w:rFonts w:ascii="Arial" w:hAnsi="Arial" w:cs="Arial"/>
                <w:sz w:val="15"/>
                <w:szCs w:val="15"/>
              </w:rPr>
              <w:t xml:space="preserve">3.4</w:t>
            </w:r>
          </w:p>
        </w:tc>
        <w:tc>
          <w:tcPr>
            <w:tcW w:w="2500" w:type="dxa"/>
          </w:tcPr>
          <w:p>
            <w:pPr>
              <w:spacing w:after="0" w:line="240" w:lineRule="auto"/>
              <w:jc w:val="left"/>
            </w:pPr>
            <w:r>
              <w:rPr>
                <w:rFonts w:ascii="Arial" w:hAnsi="Arial" w:cs="Arial"/>
                <w:sz w:val="15"/>
                <w:szCs w:val="15"/>
              </w:rPr>
              <w:t xml:space="preserve">Commercial agreements</w:t>
            </w:r>
          </w:p>
        </w:tc>
        <w:tc>
          <w:tcPr>
            <w:tcW w:w="3900" w:type="dxa"/>
          </w:tcPr>
          <w:p>
            <w:pPr>
              <w:spacing w:after="0" w:line="240" w:lineRule="auto"/>
              <w:jc w:val="left"/>
            </w:pPr>
            <w:r>
              <w:rPr>
                <w:rFonts w:ascii="Arial" w:hAnsi="Arial" w:cs="Arial"/>
                <w:sz w:val="15"/>
                <w:szCs w:val="15"/>
              </w:rPr>
              <w:t xml:space="preserve">Signed agreements with data-sharing clause for approved second sources</w:t>
            </w:r>
          </w:p>
        </w:tc>
        <w:tc>
          <w:tcPr>
            <w:tcW w:w="2026" w:type="dxa"/>
          </w:tcPr>
          <w:p>
            <w:pPr>
              <w:spacing w:after="0" w:line="240" w:lineRule="auto"/>
              <w:jc w:val="left"/>
            </w:pPr>
            <w:r>
              <w:rPr>
                <w:rFonts w:ascii="Arial" w:hAnsi="Arial" w:cs="Arial"/>
                <w:sz w:val="15"/>
                <w:szCs w:val="15"/>
              </w:rPr>
              <w:t xml:space="preserve">Supplier Relations Lead</w:t>
            </w:r>
          </w:p>
        </w:tc>
      </w:tr>
      <w:tr>
        <w:trPr>
          <w:cantSplit/>
        </w:trPr>
        <w:tc>
          <w:tcPr>
            <w:tcW w:w="600" w:type="dxa"/>
          </w:tcPr>
          <w:p>
            <w:pPr>
              <w:spacing w:after="0" w:line="240" w:lineRule="auto"/>
              <w:jc w:val="left"/>
            </w:pPr>
            <w:r>
              <w:rPr>
                <w:rFonts w:ascii="Arial" w:hAnsi="Arial" w:cs="Arial"/>
                <w:sz w:val="15"/>
                <w:szCs w:val="15"/>
              </w:rPr>
              <w:t xml:space="preserve">4</w:t>
            </w:r>
          </w:p>
        </w:tc>
        <w:tc>
          <w:tcPr>
            <w:tcW w:w="2500" w:type="dxa"/>
          </w:tcPr>
          <w:p>
            <w:pPr>
              <w:spacing w:after="0" w:line="240" w:lineRule="auto"/>
              <w:jc w:val="left"/>
            </w:pPr>
            <w:r>
              <w:rPr>
                <w:rFonts w:ascii="Arial" w:hAnsi="Arial" w:cs="Arial"/>
                <w:sz w:val="15"/>
                <w:szCs w:val="15"/>
              </w:rPr>
              <w:t xml:space="preserve">SWITCHING PLAYBOOK</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4.1</w:t>
            </w:r>
          </w:p>
        </w:tc>
        <w:tc>
          <w:tcPr>
            <w:tcW w:w="2500" w:type="dxa"/>
          </w:tcPr>
          <w:p>
            <w:pPr>
              <w:spacing w:after="0" w:line="240" w:lineRule="auto"/>
              <w:jc w:val="left"/>
            </w:pPr>
            <w:r>
              <w:rPr>
                <w:rFonts w:ascii="Arial" w:hAnsi="Arial" w:cs="Arial"/>
                <w:sz w:val="15"/>
                <w:szCs w:val="15"/>
              </w:rPr>
              <w:t xml:space="preserve">Style-factory capability matrix</w:t>
            </w:r>
          </w:p>
        </w:tc>
        <w:tc>
          <w:tcPr>
            <w:tcW w:w="3900" w:type="dxa"/>
          </w:tcPr>
          <w:p>
            <w:pPr>
              <w:spacing w:after="0" w:line="240" w:lineRule="auto"/>
              <w:jc w:val="left"/>
            </w:pPr>
            <w:r>
              <w:rPr>
                <w:rFonts w:ascii="Arial" w:hAnsi="Arial" w:cs="Arial"/>
                <w:sz w:val="15"/>
                <w:szCs w:val="15"/>
              </w:rPr>
              <w:t xml:space="preserve">Matrix of which factories can make which styles and at what lead time</w:t>
            </w:r>
          </w:p>
        </w:tc>
        <w:tc>
          <w:tcPr>
            <w:tcW w:w="2026" w:type="dxa"/>
          </w:tcPr>
          <w:p>
            <w:pPr>
              <w:spacing w:after="0" w:line="240" w:lineRule="auto"/>
              <w:jc w:val="left"/>
            </w:pPr>
            <w:r>
              <w:rPr>
                <w:rFonts w:ascii="Arial" w:hAnsi="Arial" w:cs="Arial"/>
                <w:sz w:val="15"/>
                <w:szCs w:val="15"/>
              </w:rPr>
              <w:t xml:space="preserve">Supply Chain Operations</w:t>
            </w:r>
          </w:p>
        </w:tc>
      </w:tr>
      <w:tr>
        <w:trPr>
          <w:cantSplit/>
        </w:trPr>
        <w:tc>
          <w:tcPr>
            <w:tcW w:w="600" w:type="dxa"/>
          </w:tcPr>
          <w:p>
            <w:pPr>
              <w:spacing w:after="0" w:line="240" w:lineRule="auto"/>
              <w:jc w:val="left"/>
            </w:pPr>
            <w:r>
              <w:rPr>
                <w:rFonts w:ascii="Arial" w:hAnsi="Arial" w:cs="Arial"/>
                <w:sz w:val="15"/>
                <w:szCs w:val="15"/>
              </w:rPr>
              <w:t xml:space="preserve">4.2</w:t>
            </w:r>
          </w:p>
        </w:tc>
        <w:tc>
          <w:tcPr>
            <w:tcW w:w="2500" w:type="dxa"/>
          </w:tcPr>
          <w:p>
            <w:pPr>
              <w:spacing w:after="0" w:line="240" w:lineRule="auto"/>
              <w:jc w:val="left"/>
            </w:pPr>
            <w:r>
              <w:rPr>
                <w:rFonts w:ascii="Arial" w:hAnsi="Arial" w:cs="Arial"/>
                <w:sz w:val="15"/>
                <w:szCs w:val="15"/>
              </w:rPr>
              <w:t xml:space="preserve">Switching process design</w:t>
            </w:r>
          </w:p>
        </w:tc>
        <w:tc>
          <w:tcPr>
            <w:tcW w:w="3900" w:type="dxa"/>
          </w:tcPr>
          <w:p>
            <w:pPr>
              <w:spacing w:after="0" w:line="240" w:lineRule="auto"/>
              <w:jc w:val="left"/>
            </w:pPr>
            <w:r>
              <w:rPr>
                <w:rFonts w:ascii="Arial" w:hAnsi="Arial" w:cs="Arial"/>
                <w:sz w:val="15"/>
                <w:szCs w:val="15"/>
              </w:rPr>
              <w:t xml:space="preserve">Documented switching procedure: tooling transfer, material approval, quality gates</w:t>
            </w:r>
          </w:p>
        </w:tc>
        <w:tc>
          <w:tcPr>
            <w:tcW w:w="2026" w:type="dxa"/>
          </w:tcPr>
          <w:p>
            <w:pPr>
              <w:spacing w:after="0" w:line="240" w:lineRule="auto"/>
              <w:jc w:val="left"/>
            </w:pPr>
            <w:r>
              <w:rPr>
                <w:rFonts w:ascii="Arial" w:hAnsi="Arial" w:cs="Arial"/>
                <w:sz w:val="15"/>
                <w:szCs w:val="15"/>
              </w:rPr>
              <w:t xml:space="preserve">Supply Chain Operations</w:t>
            </w:r>
          </w:p>
        </w:tc>
      </w:tr>
      <w:tr>
        <w:trPr>
          <w:cantSplit/>
        </w:trPr>
        <w:tc>
          <w:tcPr>
            <w:tcW w:w="600" w:type="dxa"/>
          </w:tcPr>
          <w:p>
            <w:pPr>
              <w:spacing w:after="0" w:line="240" w:lineRule="auto"/>
              <w:jc w:val="left"/>
            </w:pPr>
            <w:r>
              <w:rPr>
                <w:rFonts w:ascii="Arial" w:hAnsi="Arial" w:cs="Arial"/>
                <w:sz w:val="15"/>
                <w:szCs w:val="15"/>
              </w:rPr>
              <w:t xml:space="preserve">4.3</w:t>
            </w:r>
          </w:p>
        </w:tc>
        <w:tc>
          <w:tcPr>
            <w:tcW w:w="2500" w:type="dxa"/>
          </w:tcPr>
          <w:p>
            <w:pPr>
              <w:spacing w:after="0" w:line="240" w:lineRule="auto"/>
              <w:jc w:val="left"/>
            </w:pPr>
            <w:r>
              <w:rPr>
                <w:rFonts w:ascii="Arial" w:hAnsi="Arial" w:cs="Arial"/>
                <w:sz w:val="15"/>
                <w:szCs w:val="15"/>
              </w:rPr>
              <w:t xml:space="preserve">Simulated switch pilots</w:t>
            </w:r>
          </w:p>
        </w:tc>
        <w:tc>
          <w:tcPr>
            <w:tcW w:w="3900" w:type="dxa"/>
          </w:tcPr>
          <w:p>
            <w:pPr>
              <w:spacing w:after="0" w:line="240" w:lineRule="auto"/>
              <w:jc w:val="left"/>
            </w:pPr>
            <w:r>
              <w:rPr>
                <w:rFonts w:ascii="Arial" w:hAnsi="Arial" w:cs="Arial"/>
                <w:sz w:val="15"/>
                <w:szCs w:val="15"/>
              </w:rPr>
              <w:t xml:space="preserve">Two simulated style switches with logged elapsed days</w:t>
            </w:r>
          </w:p>
        </w:tc>
        <w:tc>
          <w:tcPr>
            <w:tcW w:w="2026" w:type="dxa"/>
          </w:tcPr>
          <w:p>
            <w:pPr>
              <w:spacing w:after="0" w:line="240" w:lineRule="auto"/>
              <w:jc w:val="left"/>
            </w:pPr>
            <w:r>
              <w:rPr>
                <w:rFonts w:ascii="Arial" w:hAnsi="Arial" w:cs="Arial"/>
                <w:sz w:val="15"/>
                <w:szCs w:val="15"/>
              </w:rPr>
              <w:t xml:space="preserve">Supply Chain Operations</w:t>
            </w:r>
          </w:p>
        </w:tc>
      </w:tr>
      <w:tr>
        <w:trPr>
          <w:cantSplit/>
        </w:trPr>
        <w:tc>
          <w:tcPr>
            <w:tcW w:w="600" w:type="dxa"/>
          </w:tcPr>
          <w:p>
            <w:pPr>
              <w:spacing w:after="0" w:line="240" w:lineRule="auto"/>
              <w:jc w:val="left"/>
            </w:pPr>
            <w:r>
              <w:rPr>
                <w:rFonts w:ascii="Arial" w:hAnsi="Arial" w:cs="Arial"/>
                <w:sz w:val="15"/>
                <w:szCs w:val="15"/>
              </w:rPr>
              <w:t xml:space="preserve">5</w:t>
            </w:r>
          </w:p>
        </w:tc>
        <w:tc>
          <w:tcPr>
            <w:tcW w:w="2500" w:type="dxa"/>
          </w:tcPr>
          <w:p>
            <w:pPr>
              <w:spacing w:after="0" w:line="240" w:lineRule="auto"/>
              <w:jc w:val="left"/>
            </w:pPr>
            <w:r>
              <w:rPr>
                <w:rFonts w:ascii="Arial" w:hAnsi="Arial" w:cs="Arial"/>
                <w:sz w:val="15"/>
                <w:szCs w:val="15"/>
              </w:rPr>
              <w:t xml:space="preserve">CAPABILITY AND CHANGE</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5.1</w:t>
            </w:r>
          </w:p>
        </w:tc>
        <w:tc>
          <w:tcPr>
            <w:tcW w:w="2500" w:type="dxa"/>
          </w:tcPr>
          <w:p>
            <w:pPr>
              <w:spacing w:after="0" w:line="240" w:lineRule="auto"/>
              <w:jc w:val="left"/>
            </w:pPr>
            <w:r>
              <w:rPr>
                <w:rFonts w:ascii="Arial" w:hAnsi="Arial" w:cs="Arial"/>
                <w:sz w:val="15"/>
                <w:szCs w:val="15"/>
              </w:rPr>
              <w:t xml:space="preserve">Sourcing team training</w:t>
            </w:r>
          </w:p>
        </w:tc>
        <w:tc>
          <w:tcPr>
            <w:tcW w:w="3900" w:type="dxa"/>
          </w:tcPr>
          <w:p>
            <w:pPr>
              <w:spacing w:after="0" w:line="240" w:lineRule="auto"/>
              <w:jc w:val="left"/>
            </w:pPr>
            <w:r>
              <w:rPr>
                <w:rFonts w:ascii="Arial" w:hAnsi="Arial" w:cs="Arial"/>
                <w:sz w:val="15"/>
                <w:szCs w:val="15"/>
              </w:rPr>
              <w:t xml:space="preserve">Trained sourcing and planning staff</w:t>
            </w:r>
          </w:p>
        </w:tc>
        <w:tc>
          <w:tcPr>
            <w:tcW w:w="2026" w:type="dxa"/>
          </w:tcPr>
          <w:p>
            <w:pPr>
              <w:spacing w:after="0" w:line="240" w:lineRule="auto"/>
              <w:jc w:val="left"/>
            </w:pPr>
            <w:r>
              <w:rPr>
                <w:rFonts w:ascii="Arial" w:hAnsi="Arial" w:cs="Arial"/>
                <w:sz w:val="15"/>
                <w:szCs w:val="15"/>
              </w:rPr>
              <w:t xml:space="preserve">HR Business Partner</w:t>
            </w:r>
          </w:p>
        </w:tc>
      </w:tr>
      <w:tr>
        <w:trPr>
          <w:cantSplit/>
        </w:trPr>
        <w:tc>
          <w:tcPr>
            <w:tcW w:w="600" w:type="dxa"/>
          </w:tcPr>
          <w:p>
            <w:pPr>
              <w:spacing w:after="0" w:line="240" w:lineRule="auto"/>
              <w:jc w:val="left"/>
            </w:pPr>
            <w:r>
              <w:rPr>
                <w:rFonts w:ascii="Arial" w:hAnsi="Arial" w:cs="Arial"/>
                <w:sz w:val="15"/>
                <w:szCs w:val="15"/>
              </w:rPr>
              <w:t xml:space="preserve">5.2</w:t>
            </w:r>
          </w:p>
        </w:tc>
        <w:tc>
          <w:tcPr>
            <w:tcW w:w="2500" w:type="dxa"/>
          </w:tcPr>
          <w:p>
            <w:pPr>
              <w:spacing w:after="0" w:line="240" w:lineRule="auto"/>
              <w:jc w:val="left"/>
            </w:pPr>
            <w:r>
              <w:rPr>
                <w:rFonts w:ascii="Arial" w:hAnsi="Arial" w:cs="Arial"/>
                <w:sz w:val="15"/>
                <w:szCs w:val="15"/>
              </w:rPr>
              <w:t xml:space="preserve">Supplier onboarding workshops</w:t>
            </w:r>
          </w:p>
        </w:tc>
        <w:tc>
          <w:tcPr>
            <w:tcW w:w="3900" w:type="dxa"/>
          </w:tcPr>
          <w:p>
            <w:pPr>
              <w:spacing w:after="0" w:line="240" w:lineRule="auto"/>
              <w:jc w:val="left"/>
            </w:pPr>
            <w:r>
              <w:rPr>
                <w:rFonts w:ascii="Arial" w:hAnsi="Arial" w:cs="Arial"/>
                <w:sz w:val="15"/>
                <w:szCs w:val="15"/>
              </w:rPr>
              <w:t xml:space="preserve">Workshops delivered to Tier 1 and second-source factories</w:t>
            </w:r>
          </w:p>
        </w:tc>
        <w:tc>
          <w:tcPr>
            <w:tcW w:w="2026" w:type="dxa"/>
          </w:tcPr>
          <w:p>
            <w:pPr>
              <w:spacing w:after="0" w:line="240" w:lineRule="auto"/>
              <w:jc w:val="left"/>
            </w:pPr>
            <w:r>
              <w:rPr>
                <w:rFonts w:ascii="Arial" w:hAnsi="Arial" w:cs="Arial"/>
                <w:sz w:val="15"/>
                <w:szCs w:val="15"/>
              </w:rPr>
              <w:t xml:space="preserve">Supplier Relations Lead</w:t>
            </w:r>
          </w:p>
        </w:tc>
      </w:tr>
      <w:tr>
        <w:trPr>
          <w:cantSplit/>
        </w:trPr>
        <w:tc>
          <w:tcPr>
            <w:tcW w:w="600" w:type="dxa"/>
          </w:tcPr>
          <w:p>
            <w:pPr>
              <w:spacing w:after="0" w:line="240" w:lineRule="auto"/>
              <w:jc w:val="left"/>
            </w:pPr>
            <w:r>
              <w:rPr>
                <w:rFonts w:ascii="Arial" w:hAnsi="Arial" w:cs="Arial"/>
                <w:sz w:val="15"/>
                <w:szCs w:val="15"/>
              </w:rPr>
              <w:t xml:space="preserve">5.3</w:t>
            </w:r>
          </w:p>
        </w:tc>
        <w:tc>
          <w:tcPr>
            <w:tcW w:w="2500" w:type="dxa"/>
          </w:tcPr>
          <w:p>
            <w:pPr>
              <w:spacing w:after="0" w:line="240" w:lineRule="auto"/>
              <w:jc w:val="left"/>
            </w:pPr>
            <w:r>
              <w:rPr>
                <w:rFonts w:ascii="Arial" w:hAnsi="Arial" w:cs="Arial"/>
                <w:sz w:val="15"/>
                <w:szCs w:val="15"/>
              </w:rPr>
              <w:t xml:space="preserve">Worker-voice integration</w:t>
            </w:r>
          </w:p>
        </w:tc>
        <w:tc>
          <w:tcPr>
            <w:tcW w:w="3900" w:type="dxa"/>
          </w:tcPr>
          <w:p>
            <w:pPr>
              <w:spacing w:after="0" w:line="240" w:lineRule="auto"/>
              <w:jc w:val="left"/>
            </w:pPr>
            <w:r>
              <w:rPr>
                <w:rFonts w:ascii="Arial" w:hAnsi="Arial" w:cs="Arial"/>
                <w:sz w:val="15"/>
                <w:szCs w:val="15"/>
              </w:rPr>
              <w:t xml:space="preserve">Worker grievance and feedback channel linked to audit findings</w:t>
            </w:r>
          </w:p>
        </w:tc>
        <w:tc>
          <w:tcPr>
            <w:tcW w:w="2026" w:type="dxa"/>
          </w:tcPr>
          <w:p>
            <w:pPr>
              <w:spacing w:after="0" w:line="240" w:lineRule="auto"/>
              <w:jc w:val="left"/>
            </w:pPr>
            <w:r>
              <w:rPr>
                <w:rFonts w:ascii="Arial" w:hAnsi="Arial" w:cs="Arial"/>
                <w:sz w:val="15"/>
                <w:szCs w:val="15"/>
              </w:rPr>
              <w:t xml:space="preserve">Sustainability Lead</w:t>
            </w:r>
          </w:p>
        </w:tc>
      </w:tr>
      <w:tr>
        <w:trPr>
          <w:cantSplit/>
        </w:trPr>
        <w:tc>
          <w:tcPr>
            <w:tcW w:w="600" w:type="dxa"/>
          </w:tcPr>
          <w:p>
            <w:pPr>
              <w:spacing w:after="0" w:line="240" w:lineRule="auto"/>
              <w:jc w:val="left"/>
            </w:pPr>
            <w:r>
              <w:rPr>
                <w:rFonts w:ascii="Arial" w:hAnsi="Arial" w:cs="Arial"/>
                <w:sz w:val="15"/>
                <w:szCs w:val="15"/>
              </w:rPr>
              <w:t xml:space="preserve">6</w:t>
            </w:r>
          </w:p>
        </w:tc>
        <w:tc>
          <w:tcPr>
            <w:tcW w:w="2500" w:type="dxa"/>
          </w:tcPr>
          <w:p>
            <w:pPr>
              <w:spacing w:after="0" w:line="240" w:lineRule="auto"/>
              <w:jc w:val="left"/>
            </w:pPr>
            <w:r>
              <w:rPr>
                <w:rFonts w:ascii="Arial" w:hAnsi="Arial" w:cs="Arial"/>
                <w:sz w:val="15"/>
                <w:szCs w:val="15"/>
              </w:rPr>
              <w:t xml:space="preserve">PILOT, ROLLOUT, BENEFITS</w:t>
            </w:r>
          </w:p>
        </w:tc>
        <w:tc>
          <w:tcPr>
            <w:tcW w:w="3900" w:type="dxa"/>
          </w:tcPr>
          <w:p>
            <w:pPr>
              <w:spacing w:after="0" w:line="240" w:lineRule="auto"/>
              <w:jc w:val="left"/>
            </w:pPr>
          </w:p>
        </w:tc>
        <w:tc>
          <w:tcPr>
            <w:tcW w:w="2026" w:type="dxa"/>
          </w:tcPr>
          <w:p>
            <w:pPr>
              <w:spacing w:after="0" w:line="240" w:lineRule="auto"/>
              <w:jc w:val="left"/>
            </w:pPr>
          </w:p>
        </w:tc>
      </w:tr>
      <w:tr>
        <w:trPr>
          <w:cantSplit/>
        </w:trPr>
        <w:tc>
          <w:tcPr>
            <w:tcW w:w="600" w:type="dxa"/>
          </w:tcPr>
          <w:p>
            <w:pPr>
              <w:spacing w:after="0" w:line="240" w:lineRule="auto"/>
              <w:jc w:val="left"/>
            </w:pPr>
            <w:r>
              <w:rPr>
                <w:rFonts w:ascii="Arial" w:hAnsi="Arial" w:cs="Arial"/>
                <w:sz w:val="15"/>
                <w:szCs w:val="15"/>
              </w:rPr>
              <w:t xml:space="preserve">6.1</w:t>
            </w:r>
          </w:p>
        </w:tc>
        <w:tc>
          <w:tcPr>
            <w:tcW w:w="2500" w:type="dxa"/>
          </w:tcPr>
          <w:p>
            <w:pPr>
              <w:spacing w:after="0" w:line="240" w:lineRule="auto"/>
              <w:jc w:val="left"/>
            </w:pPr>
            <w:r>
              <w:rPr>
                <w:rFonts w:ascii="Arial" w:hAnsi="Arial" w:cs="Arial"/>
                <w:sz w:val="15"/>
                <w:szCs w:val="15"/>
              </w:rPr>
              <w:t xml:space="preserve">Control tower go-live</w:t>
            </w:r>
          </w:p>
        </w:tc>
        <w:tc>
          <w:tcPr>
            <w:tcW w:w="3900" w:type="dxa"/>
          </w:tcPr>
          <w:p>
            <w:pPr>
              <w:spacing w:after="0" w:line="240" w:lineRule="auto"/>
              <w:jc w:val="left"/>
            </w:pPr>
            <w:r>
              <w:rPr>
                <w:rFonts w:ascii="Arial" w:hAnsi="Arial" w:cs="Arial"/>
                <w:sz w:val="15"/>
                <w:szCs w:val="15"/>
              </w:rPr>
              <w:t xml:space="preserve">Control tower live and used in weekly planning</w:t>
            </w:r>
          </w:p>
        </w:tc>
        <w:tc>
          <w:tcPr>
            <w:tcW w:w="2026" w:type="dxa"/>
          </w:tcPr>
          <w:p>
            <w:pPr>
              <w:spacing w:after="0" w:line="240" w:lineRule="auto"/>
              <w:jc w:val="left"/>
            </w:pPr>
            <w:r>
              <w:rPr>
                <w:rFonts w:ascii="Arial" w:hAnsi="Arial" w:cs="Arial"/>
                <w:sz w:val="15"/>
                <w:szCs w:val="15"/>
              </w:rPr>
              <w:t xml:space="preserve">IT Programme Lead</w:t>
            </w:r>
          </w:p>
        </w:tc>
      </w:tr>
      <w:tr>
        <w:trPr>
          <w:cantSplit/>
        </w:trPr>
        <w:tc>
          <w:tcPr>
            <w:tcW w:w="600" w:type="dxa"/>
          </w:tcPr>
          <w:p>
            <w:pPr>
              <w:spacing w:after="0" w:line="240" w:lineRule="auto"/>
              <w:jc w:val="left"/>
            </w:pPr>
            <w:r>
              <w:rPr>
                <w:rFonts w:ascii="Arial" w:hAnsi="Arial" w:cs="Arial"/>
                <w:sz w:val="15"/>
                <w:szCs w:val="15"/>
              </w:rPr>
              <w:t xml:space="preserve">6.2</w:t>
            </w:r>
          </w:p>
        </w:tc>
        <w:tc>
          <w:tcPr>
            <w:tcW w:w="2500" w:type="dxa"/>
          </w:tcPr>
          <w:p>
            <w:pPr>
              <w:spacing w:after="0" w:line="240" w:lineRule="auto"/>
              <w:jc w:val="left"/>
            </w:pPr>
            <w:r>
              <w:rPr>
                <w:rFonts w:ascii="Arial" w:hAnsi="Arial" w:cs="Arial"/>
                <w:sz w:val="15"/>
                <w:szCs w:val="15"/>
              </w:rPr>
              <w:t xml:space="preserve">Live switch rehearsal</w:t>
            </w:r>
          </w:p>
        </w:tc>
        <w:tc>
          <w:tcPr>
            <w:tcW w:w="3900" w:type="dxa"/>
          </w:tcPr>
          <w:p>
            <w:pPr>
              <w:spacing w:after="0" w:line="240" w:lineRule="auto"/>
              <w:jc w:val="left"/>
            </w:pPr>
            <w:r>
              <w:rPr>
                <w:rFonts w:ascii="Arial" w:hAnsi="Arial" w:cs="Arial"/>
                <w:sz w:val="15"/>
                <w:szCs w:val="15"/>
              </w:rPr>
              <w:t xml:space="preserve">One live volume switch of US-bound footwear to a second source</w:t>
            </w:r>
          </w:p>
        </w:tc>
        <w:tc>
          <w:tcPr>
            <w:tcW w:w="2026" w:type="dxa"/>
          </w:tcPr>
          <w:p>
            <w:pPr>
              <w:spacing w:after="0" w:line="240" w:lineRule="auto"/>
              <w:jc w:val="left"/>
            </w:pPr>
            <w:r>
              <w:rPr>
                <w:rFonts w:ascii="Arial" w:hAnsi="Arial" w:cs="Arial"/>
                <w:sz w:val="15"/>
                <w:szCs w:val="15"/>
              </w:rPr>
              <w:t xml:space="preserve">Supply Chain Operations</w:t>
            </w:r>
          </w:p>
        </w:tc>
      </w:tr>
      <w:tr>
        <w:trPr>
          <w:cantSplit/>
        </w:trPr>
        <w:tc>
          <w:tcPr>
            <w:tcW w:w="600" w:type="dxa"/>
          </w:tcPr>
          <w:p>
            <w:pPr>
              <w:spacing w:after="0" w:line="240" w:lineRule="auto"/>
              <w:jc w:val="left"/>
            </w:pPr>
            <w:r>
              <w:rPr>
                <w:rFonts w:ascii="Arial" w:hAnsi="Arial" w:cs="Arial"/>
                <w:sz w:val="15"/>
                <w:szCs w:val="15"/>
              </w:rPr>
              <w:t xml:space="preserve">6.3</w:t>
            </w:r>
          </w:p>
        </w:tc>
        <w:tc>
          <w:tcPr>
            <w:tcW w:w="2500" w:type="dxa"/>
          </w:tcPr>
          <w:p>
            <w:pPr>
              <w:spacing w:after="0" w:line="240" w:lineRule="auto"/>
              <w:jc w:val="left"/>
            </w:pPr>
            <w:r>
              <w:rPr>
                <w:rFonts w:ascii="Arial" w:hAnsi="Arial" w:cs="Arial"/>
                <w:sz w:val="15"/>
                <w:szCs w:val="15"/>
              </w:rPr>
              <w:t xml:space="preserve">KPI baseline and measurement</w:t>
            </w:r>
          </w:p>
        </w:tc>
        <w:tc>
          <w:tcPr>
            <w:tcW w:w="3900" w:type="dxa"/>
          </w:tcPr>
          <w:p>
            <w:pPr>
              <w:spacing w:after="0" w:line="240" w:lineRule="auto"/>
              <w:jc w:val="left"/>
            </w:pPr>
            <w:r>
              <w:rPr>
                <w:rFonts w:ascii="Arial" w:hAnsi="Arial" w:cs="Arial"/>
                <w:sz w:val="15"/>
                <w:szCs w:val="15"/>
              </w:rPr>
              <w:t xml:space="preserve">KPI baseline and 10-week measurement report</w:t>
            </w:r>
          </w:p>
        </w:tc>
        <w:tc>
          <w:tcPr>
            <w:tcW w:w="2026" w:type="dxa"/>
          </w:tcPr>
          <w:p>
            <w:pPr>
              <w:spacing w:after="0" w:line="240" w:lineRule="auto"/>
              <w:jc w:val="left"/>
            </w:pPr>
            <w:r>
              <w:rPr>
                <w:rFonts w:ascii="Arial" w:hAnsi="Arial" w:cs="Arial"/>
                <w:sz w:val="15"/>
                <w:szCs w:val="15"/>
              </w:rPr>
              <w:t xml:space="preserve">Programme Manager</w:t>
            </w:r>
          </w:p>
        </w:tc>
      </w:tr>
      <w:tr>
        <w:trPr>
          <w:cantSplit/>
        </w:trPr>
        <w:tc>
          <w:tcPr>
            <w:tcW w:w="600" w:type="dxa"/>
          </w:tcPr>
          <w:p>
            <w:pPr>
              <w:spacing w:after="0" w:line="240" w:lineRule="auto"/>
              <w:jc w:val="left"/>
            </w:pPr>
            <w:r>
              <w:rPr>
                <w:rFonts w:ascii="Arial" w:hAnsi="Arial" w:cs="Arial"/>
                <w:sz w:val="15"/>
                <w:szCs w:val="15"/>
              </w:rPr>
              <w:t xml:space="preserve">6.4</w:t>
            </w:r>
          </w:p>
        </w:tc>
        <w:tc>
          <w:tcPr>
            <w:tcW w:w="2500" w:type="dxa"/>
          </w:tcPr>
          <w:p>
            <w:pPr>
              <w:spacing w:after="0" w:line="240" w:lineRule="auto"/>
              <w:jc w:val="left"/>
            </w:pPr>
            <w:r>
              <w:rPr>
                <w:rFonts w:ascii="Arial" w:hAnsi="Arial" w:cs="Arial"/>
                <w:sz w:val="15"/>
                <w:szCs w:val="15"/>
              </w:rPr>
              <w:t xml:space="preserve">Lessons learned and handover</w:t>
            </w:r>
          </w:p>
        </w:tc>
        <w:tc>
          <w:tcPr>
            <w:tcW w:w="3900" w:type="dxa"/>
          </w:tcPr>
          <w:p>
            <w:pPr>
              <w:spacing w:after="0" w:line="240" w:lineRule="auto"/>
              <w:jc w:val="left"/>
            </w:pPr>
            <w:r>
              <w:rPr>
                <w:rFonts w:ascii="Arial" w:hAnsi="Arial" w:cs="Arial"/>
                <w:sz w:val="15"/>
                <w:szCs w:val="15"/>
              </w:rPr>
              <w:t xml:space="preserve">Lessons learned and handover to business as usual</w:t>
            </w:r>
          </w:p>
        </w:tc>
        <w:tc>
          <w:tcPr>
            <w:tcW w:w="2026" w:type="dxa"/>
          </w:tcPr>
          <w:p>
            <w:pPr>
              <w:spacing w:after="0" w:line="240" w:lineRule="auto"/>
              <w:jc w:val="left"/>
            </w:pPr>
            <w:r>
              <w:rPr>
                <w:rFonts w:ascii="Arial" w:hAnsi="Arial" w:cs="Arial"/>
                <w:sz w:val="15"/>
                <w:szCs w:val="15"/>
              </w:rPr>
              <w:t xml:space="preserve">Programme Manager</w:t>
            </w:r>
          </w:p>
        </w:tc>
      </w:tr>
    </w:tbl>
    <w:p>
      <w:pPr>
        <w:pStyle w:val="NoSpacing"/>
        <w:spacing w:after="120"/>
      </w:pPr>
    </w:p>
    <w:p>
      <w:pPr>
        <w:pStyle w:val="NoSpacing"/>
        <w:keepNext/>
        <w:spacing w:after="120"/>
      </w:pPr>
      <w:r>
        <w:rPr>
          <w:rFonts w:ascii="Arial" w:hAnsi="Arial" w:cs="Arial"/>
          <w:b/>
        </w:rPr>
        <w:t xml:space="preserve">Appendix C: Full risk register and scoring rationale</w:t>
      </w:r>
    </w:p>
    <w:p>
      <w:pPr>
        <w:pStyle w:val="NoSpacing"/>
        <w:spacing w:after="120"/>
        <w:jc w:val="left"/>
      </w:pPr>
      <w:r>
        <w:rPr>
          <w:rFonts w:ascii="Arial" w:hAnsi="Arial" w:cs="Arial"/>
          <w:sz w:val="18"/>
          <w:szCs w:val="18"/>
        </w:rPr>
        <w:t xml:space="preserve">Probability (P) and impact (I) are scored 1 to 5 by the author (ISO, 2018). Probability scores map to 10%, 25%, 40%, 60% and 80%. Expected monetary value (EMV, EUR m) is probability multiplied by the cost impact in EUR m (R1 1.5, R2 1.0, R3 1.8, R4 0.8, R5 0.7, R6 0.4, R7 0.6, R8 0.9, R9 0.4, R10 0.4). EMV is shown before and after responses. Residual scores assume the response is delivered.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520"/>
        <w:gridCol w:w="2000"/>
        <w:gridCol w:w="800"/>
        <w:gridCol w:w="1900"/>
        <w:gridCol w:w="1200"/>
        <w:gridCol w:w="700"/>
        <w:gridCol w:w="900"/>
        <w:gridCol w:w="1006"/>
      </w:tblGrid>
      <w:tr>
        <w:trPr>
          <w:cantSplit/>
          <w:tblHeader/>
        </w:trPr>
        <w:tc>
          <w:tcPr>
            <w:tcW w:w="520" w:type="dxa"/>
            <w:shd w:val="clear" w:color="auto" w:fill="D9D9D9"/>
          </w:tcPr>
          <w:p>
            <w:pPr>
              <w:spacing w:after="0" w:line="240" w:lineRule="auto"/>
              <w:jc w:val="left"/>
            </w:pPr>
            <w:r>
              <w:rPr>
                <w:rFonts w:ascii="Arial" w:hAnsi="Arial" w:cs="Arial"/>
                <w:b/>
                <w:sz w:val="14"/>
                <w:szCs w:val="14"/>
              </w:rPr>
              <w:t xml:space="preserve">ID</w:t>
            </w:r>
          </w:p>
        </w:tc>
        <w:tc>
          <w:tcPr>
            <w:tcW w:w="2000" w:type="dxa"/>
            <w:shd w:val="clear" w:color="auto" w:fill="D9D9D9"/>
          </w:tcPr>
          <w:p>
            <w:pPr>
              <w:spacing w:after="0" w:line="240" w:lineRule="auto"/>
              <w:jc w:val="left"/>
            </w:pPr>
            <w:r>
              <w:rPr>
                <w:rFonts w:ascii="Arial" w:hAnsi="Arial" w:cs="Arial"/>
                <w:b/>
                <w:sz w:val="14"/>
                <w:szCs w:val="14"/>
              </w:rPr>
              <w:t xml:space="preserve">Risk</w:t>
            </w:r>
          </w:p>
        </w:tc>
        <w:tc>
          <w:tcPr>
            <w:tcW w:w="800" w:type="dxa"/>
            <w:shd w:val="clear" w:color="auto" w:fill="D9D9D9"/>
          </w:tcPr>
          <w:p>
            <w:pPr>
              <w:spacing w:after="0" w:line="240" w:lineRule="auto"/>
              <w:jc w:val="left"/>
            </w:pPr>
            <w:r>
              <w:rPr>
                <w:rFonts w:ascii="Arial" w:hAnsi="Arial" w:cs="Arial"/>
                <w:b/>
                <w:sz w:val="14"/>
                <w:szCs w:val="14"/>
              </w:rPr>
              <w:t xml:space="preserve">P x I</w:t>
            </w:r>
          </w:p>
        </w:tc>
        <w:tc>
          <w:tcPr>
            <w:tcW w:w="1900" w:type="dxa"/>
            <w:shd w:val="clear" w:color="auto" w:fill="D9D9D9"/>
          </w:tcPr>
          <w:p>
            <w:pPr>
              <w:spacing w:after="0" w:line="240" w:lineRule="auto"/>
              <w:jc w:val="left"/>
            </w:pPr>
            <w:r>
              <w:rPr>
                <w:rFonts w:ascii="Arial" w:hAnsi="Arial" w:cs="Arial"/>
                <w:b/>
                <w:sz w:val="14"/>
                <w:szCs w:val="14"/>
              </w:rPr>
              <w:t xml:space="preserve">Response</w:t>
            </w:r>
          </w:p>
        </w:tc>
        <w:tc>
          <w:tcPr>
            <w:tcW w:w="1200" w:type="dxa"/>
            <w:shd w:val="clear" w:color="auto" w:fill="D9D9D9"/>
          </w:tcPr>
          <w:p>
            <w:pPr>
              <w:spacing w:after="0" w:line="240" w:lineRule="auto"/>
              <w:jc w:val="left"/>
            </w:pPr>
            <w:r>
              <w:rPr>
                <w:rFonts w:ascii="Arial" w:hAnsi="Arial" w:cs="Arial"/>
                <w:b/>
                <w:sz w:val="14"/>
                <w:szCs w:val="14"/>
              </w:rPr>
              <w:t xml:space="preserve">Owner</w:t>
            </w:r>
          </w:p>
        </w:tc>
        <w:tc>
          <w:tcPr>
            <w:tcW w:w="700" w:type="dxa"/>
            <w:shd w:val="clear" w:color="auto" w:fill="D9D9D9"/>
          </w:tcPr>
          <w:p>
            <w:pPr>
              <w:spacing w:after="0" w:line="240" w:lineRule="auto"/>
              <w:jc w:val="left"/>
            </w:pPr>
            <w:r>
              <w:rPr>
                <w:rFonts w:ascii="Arial" w:hAnsi="Arial" w:cs="Arial"/>
                <w:b/>
                <w:sz w:val="14"/>
                <w:szCs w:val="14"/>
              </w:rPr>
              <w:t xml:space="preserve">Task</w:t>
            </w:r>
          </w:p>
        </w:tc>
        <w:tc>
          <w:tcPr>
            <w:tcW w:w="900" w:type="dxa"/>
            <w:shd w:val="clear" w:color="auto" w:fill="D9D9D9"/>
          </w:tcPr>
          <w:p>
            <w:pPr>
              <w:spacing w:after="0" w:line="240" w:lineRule="auto"/>
              <w:jc w:val="left"/>
            </w:pPr>
            <w:r>
              <w:rPr>
                <w:rFonts w:ascii="Arial" w:hAnsi="Arial" w:cs="Arial"/>
                <w:b/>
                <w:sz w:val="14"/>
                <w:szCs w:val="14"/>
              </w:rPr>
              <w:t xml:space="preserve">Residual</w:t>
            </w:r>
          </w:p>
        </w:tc>
        <w:tc>
          <w:tcPr>
            <w:tcW w:w="1006" w:type="dxa"/>
            <w:shd w:val="clear" w:color="auto" w:fill="D9D9D9"/>
          </w:tcPr>
          <w:p>
            <w:pPr>
              <w:spacing w:after="0" w:line="240" w:lineRule="auto"/>
              <w:jc w:val="left"/>
            </w:pPr>
            <w:r>
              <w:rPr>
                <w:rFonts w:ascii="Arial" w:hAnsi="Arial" w:cs="Arial"/>
                <w:b/>
                <w:sz w:val="14"/>
                <w:szCs w:val="14"/>
              </w:rPr>
              <w:t xml:space="preserve">EMV</w:t>
            </w:r>
          </w:p>
        </w:tc>
      </w:tr>
      <w:tr>
        <w:trPr>
          <w:cantSplit/>
        </w:trPr>
        <w:tc>
          <w:tcPr>
            <w:tcW w:w="520" w:type="dxa"/>
          </w:tcPr>
          <w:p>
            <w:pPr>
              <w:spacing w:after="0" w:line="240" w:lineRule="auto"/>
              <w:jc w:val="left"/>
            </w:pPr>
            <w:r>
              <w:rPr>
                <w:rFonts w:ascii="Arial" w:hAnsi="Arial" w:cs="Arial"/>
                <w:sz w:val="14"/>
                <w:szCs w:val="14"/>
              </w:rPr>
              <w:t xml:space="preserve">R1</w:t>
            </w:r>
          </w:p>
        </w:tc>
        <w:tc>
          <w:tcPr>
            <w:tcW w:w="2000" w:type="dxa"/>
          </w:tcPr>
          <w:p>
            <w:pPr>
              <w:spacing w:after="0" w:line="240" w:lineRule="auto"/>
              <w:jc w:val="left"/>
            </w:pPr>
            <w:r>
              <w:rPr>
                <w:rFonts w:ascii="Arial" w:hAnsi="Arial" w:cs="Arial"/>
                <w:sz w:val="14"/>
                <w:szCs w:val="14"/>
              </w:rPr>
              <w:t xml:space="preserve">Second-source trials slip or fail</w:t>
            </w:r>
          </w:p>
        </w:tc>
        <w:tc>
          <w:tcPr>
            <w:tcW w:w="800" w:type="dxa"/>
          </w:tcPr>
          <w:p>
            <w:pPr>
              <w:spacing w:after="0" w:line="240" w:lineRule="auto"/>
              <w:jc w:val="left"/>
            </w:pPr>
            <w:r>
              <w:rPr>
                <w:rFonts w:ascii="Arial" w:hAnsi="Arial" w:cs="Arial"/>
                <w:sz w:val="14"/>
                <w:szCs w:val="14"/>
              </w:rPr>
              <w:t xml:space="preserve">4x4=16</w:t>
            </w:r>
          </w:p>
        </w:tc>
        <w:tc>
          <w:tcPr>
            <w:tcW w:w="1900" w:type="dxa"/>
          </w:tcPr>
          <w:p>
            <w:pPr>
              <w:spacing w:after="0" w:line="240" w:lineRule="auto"/>
              <w:jc w:val="left"/>
            </w:pPr>
            <w:r>
              <w:rPr>
                <w:rFonts w:ascii="Arial" w:hAnsi="Arial" w:cs="Arial"/>
                <w:sz w:val="14"/>
                <w:szCs w:val="14"/>
              </w:rPr>
              <w:t xml:space="preserve">Extra candidates; 4-week buffer</w:t>
            </w:r>
          </w:p>
        </w:tc>
        <w:tc>
          <w:tcPr>
            <w:tcW w:w="1200" w:type="dxa"/>
          </w:tcPr>
          <w:p>
            <w:pPr>
              <w:spacing w:after="0" w:line="240" w:lineRule="auto"/>
              <w:jc w:val="left"/>
            </w:pPr>
            <w:r>
              <w:rPr>
                <w:rFonts w:ascii="Arial" w:hAnsi="Arial" w:cs="Arial"/>
                <w:sz w:val="14"/>
                <w:szCs w:val="14"/>
              </w:rPr>
              <w:t xml:space="preserve">Head of Sourcing</w:t>
            </w:r>
          </w:p>
        </w:tc>
        <w:tc>
          <w:tcPr>
            <w:tcW w:w="700" w:type="dxa"/>
          </w:tcPr>
          <w:p>
            <w:pPr>
              <w:spacing w:after="0" w:line="240" w:lineRule="auto"/>
              <w:jc w:val="left"/>
            </w:pPr>
            <w:r>
              <w:rPr>
                <w:rFonts w:ascii="Arial" w:hAnsi="Arial" w:cs="Arial"/>
                <w:sz w:val="14"/>
                <w:szCs w:val="14"/>
              </w:rPr>
              <w:t xml:space="preserve">3.3, 1.3B</w:t>
            </w:r>
          </w:p>
        </w:tc>
        <w:tc>
          <w:tcPr>
            <w:tcW w:w="900" w:type="dxa"/>
          </w:tcPr>
          <w:p>
            <w:pPr>
              <w:spacing w:after="0" w:line="240" w:lineRule="auto"/>
              <w:jc w:val="left"/>
            </w:pPr>
            <w:r>
              <w:rPr>
                <w:rFonts w:ascii="Arial" w:hAnsi="Arial" w:cs="Arial"/>
                <w:sz w:val="14"/>
                <w:szCs w:val="14"/>
              </w:rPr>
              <w:t xml:space="preserve">2x4=8</w:t>
            </w:r>
          </w:p>
        </w:tc>
        <w:tc>
          <w:tcPr>
            <w:tcW w:w="1006" w:type="dxa"/>
          </w:tcPr>
          <w:p>
            <w:pPr>
              <w:spacing w:after="0" w:line="240" w:lineRule="auto"/>
              <w:jc w:val="left"/>
            </w:pPr>
            <w:r>
              <w:rPr>
                <w:rFonts w:ascii="Arial" w:hAnsi="Arial" w:cs="Arial"/>
                <w:sz w:val="14"/>
                <w:szCs w:val="14"/>
              </w:rPr>
              <w:t xml:space="preserve">0.90 to 0.38</w:t>
            </w:r>
          </w:p>
        </w:tc>
      </w:tr>
      <w:tr>
        <w:trPr>
          <w:cantSplit/>
        </w:trPr>
        <w:tc>
          <w:tcPr>
            <w:tcW w:w="520" w:type="dxa"/>
          </w:tcPr>
          <w:p>
            <w:pPr>
              <w:spacing w:after="0" w:line="240" w:lineRule="auto"/>
              <w:jc w:val="left"/>
            </w:pPr>
            <w:r>
              <w:rPr>
                <w:rFonts w:ascii="Arial" w:hAnsi="Arial" w:cs="Arial"/>
                <w:sz w:val="14"/>
                <w:szCs w:val="14"/>
              </w:rPr>
              <w:t xml:space="preserve">R2</w:t>
            </w:r>
          </w:p>
        </w:tc>
        <w:tc>
          <w:tcPr>
            <w:tcW w:w="2000" w:type="dxa"/>
          </w:tcPr>
          <w:p>
            <w:pPr>
              <w:spacing w:after="0" w:line="240" w:lineRule="auto"/>
              <w:jc w:val="left"/>
            </w:pPr>
            <w:r>
              <w:rPr>
                <w:rFonts w:ascii="Arial" w:hAnsi="Arial" w:cs="Arial"/>
                <w:sz w:val="14"/>
                <w:szCs w:val="14"/>
              </w:rPr>
              <w:t xml:space="preserve">Factories resist data sharing</w:t>
            </w:r>
          </w:p>
        </w:tc>
        <w:tc>
          <w:tcPr>
            <w:tcW w:w="800" w:type="dxa"/>
          </w:tcPr>
          <w:p>
            <w:pPr>
              <w:spacing w:after="0" w:line="240" w:lineRule="auto"/>
              <w:jc w:val="left"/>
            </w:pPr>
            <w:r>
              <w:rPr>
                <w:rFonts w:ascii="Arial" w:hAnsi="Arial" w:cs="Arial"/>
                <w:sz w:val="14"/>
                <w:szCs w:val="14"/>
              </w:rPr>
              <w:t xml:space="preserve">4x4=16</w:t>
            </w:r>
          </w:p>
        </w:tc>
        <w:tc>
          <w:tcPr>
            <w:tcW w:w="1900" w:type="dxa"/>
          </w:tcPr>
          <w:p>
            <w:pPr>
              <w:spacing w:after="0" w:line="240" w:lineRule="auto"/>
              <w:jc w:val="left"/>
            </w:pPr>
            <w:r>
              <w:rPr>
                <w:rFonts w:ascii="Arial" w:hAnsi="Arial" w:cs="Arial"/>
                <w:sz w:val="14"/>
                <w:szCs w:val="14"/>
              </w:rPr>
              <w:t xml:space="preserve">Contract clause; workshops; incentives</w:t>
            </w:r>
          </w:p>
        </w:tc>
        <w:tc>
          <w:tcPr>
            <w:tcW w:w="1200" w:type="dxa"/>
          </w:tcPr>
          <w:p>
            <w:pPr>
              <w:spacing w:after="0" w:line="240" w:lineRule="auto"/>
              <w:jc w:val="left"/>
            </w:pPr>
            <w:r>
              <w:rPr>
                <w:rFonts w:ascii="Arial" w:hAnsi="Arial" w:cs="Arial"/>
                <w:sz w:val="14"/>
                <w:szCs w:val="14"/>
              </w:rPr>
              <w:t xml:space="preserve">Supplier Relations</w:t>
            </w:r>
          </w:p>
        </w:tc>
        <w:tc>
          <w:tcPr>
            <w:tcW w:w="700" w:type="dxa"/>
          </w:tcPr>
          <w:p>
            <w:pPr>
              <w:spacing w:after="0" w:line="240" w:lineRule="auto"/>
              <w:jc w:val="left"/>
            </w:pPr>
            <w:r>
              <w:rPr>
                <w:rFonts w:ascii="Arial" w:hAnsi="Arial" w:cs="Arial"/>
                <w:sz w:val="14"/>
                <w:szCs w:val="14"/>
              </w:rPr>
              <w:t xml:space="preserve">2.3, 5.2</w:t>
            </w:r>
          </w:p>
        </w:tc>
        <w:tc>
          <w:tcPr>
            <w:tcW w:w="900" w:type="dxa"/>
          </w:tcPr>
          <w:p>
            <w:pPr>
              <w:spacing w:after="0" w:line="240" w:lineRule="auto"/>
              <w:jc w:val="left"/>
            </w:pPr>
            <w:r>
              <w:rPr>
                <w:rFonts w:ascii="Arial" w:hAnsi="Arial" w:cs="Arial"/>
                <w:sz w:val="14"/>
                <w:szCs w:val="14"/>
              </w:rPr>
              <w:t xml:space="preserve">2x4=8</w:t>
            </w:r>
          </w:p>
        </w:tc>
        <w:tc>
          <w:tcPr>
            <w:tcW w:w="1006" w:type="dxa"/>
          </w:tcPr>
          <w:p>
            <w:pPr>
              <w:spacing w:after="0" w:line="240" w:lineRule="auto"/>
              <w:jc w:val="left"/>
            </w:pPr>
            <w:r>
              <w:rPr>
                <w:rFonts w:ascii="Arial" w:hAnsi="Arial" w:cs="Arial"/>
                <w:sz w:val="14"/>
                <w:szCs w:val="14"/>
              </w:rPr>
              <w:t xml:space="preserve">0.60 to 0.25</w:t>
            </w:r>
          </w:p>
        </w:tc>
      </w:tr>
      <w:tr>
        <w:trPr>
          <w:cantSplit/>
        </w:trPr>
        <w:tc>
          <w:tcPr>
            <w:tcW w:w="520" w:type="dxa"/>
          </w:tcPr>
          <w:p>
            <w:pPr>
              <w:spacing w:after="0" w:line="240" w:lineRule="auto"/>
              <w:jc w:val="left"/>
            </w:pPr>
            <w:r>
              <w:rPr>
                <w:rFonts w:ascii="Arial" w:hAnsi="Arial" w:cs="Arial"/>
                <w:sz w:val="14"/>
                <w:szCs w:val="14"/>
              </w:rPr>
              <w:t xml:space="preserve">R3</w:t>
            </w:r>
          </w:p>
        </w:tc>
        <w:tc>
          <w:tcPr>
            <w:tcW w:w="2000" w:type="dxa"/>
          </w:tcPr>
          <w:p>
            <w:pPr>
              <w:spacing w:after="0" w:line="240" w:lineRule="auto"/>
              <w:jc w:val="left"/>
            </w:pPr>
            <w:r>
              <w:rPr>
                <w:rFonts w:ascii="Arial" w:hAnsi="Arial" w:cs="Arial"/>
                <w:sz w:val="14"/>
                <w:szCs w:val="14"/>
              </w:rPr>
              <w:t xml:space="preserve">US tariff rules change mid-project</w:t>
            </w:r>
          </w:p>
        </w:tc>
        <w:tc>
          <w:tcPr>
            <w:tcW w:w="800" w:type="dxa"/>
          </w:tcPr>
          <w:p>
            <w:pPr>
              <w:spacing w:after="0" w:line="240" w:lineRule="auto"/>
              <w:jc w:val="left"/>
            </w:pPr>
            <w:r>
              <w:rPr>
                <w:rFonts w:ascii="Arial" w:hAnsi="Arial" w:cs="Arial"/>
                <w:sz w:val="14"/>
                <w:szCs w:val="14"/>
              </w:rPr>
              <w:t xml:space="preserve">3x5=15</w:t>
            </w:r>
          </w:p>
        </w:tc>
        <w:tc>
          <w:tcPr>
            <w:tcW w:w="1900" w:type="dxa"/>
          </w:tcPr>
          <w:p>
            <w:pPr>
              <w:spacing w:after="0" w:line="240" w:lineRule="auto"/>
              <w:jc w:val="left"/>
            </w:pPr>
            <w:r>
              <w:rPr>
                <w:rFonts w:ascii="Arial" w:hAnsi="Arial" w:cs="Arial"/>
                <w:sz w:val="14"/>
                <w:szCs w:val="14"/>
              </w:rPr>
              <w:t xml:space="preserve">Monthly review; scope reserve</w:t>
            </w:r>
          </w:p>
        </w:tc>
        <w:tc>
          <w:tcPr>
            <w:tcW w:w="1200" w:type="dxa"/>
          </w:tcPr>
          <w:p>
            <w:pPr>
              <w:spacing w:after="0" w:line="240" w:lineRule="auto"/>
              <w:jc w:val="left"/>
            </w:pPr>
            <w:r>
              <w:rPr>
                <w:rFonts w:ascii="Arial" w:hAnsi="Arial" w:cs="Arial"/>
                <w:sz w:val="14"/>
                <w:szCs w:val="14"/>
              </w:rPr>
              <w:t xml:space="preserve">Trade Compliance</w:t>
            </w:r>
          </w:p>
        </w:tc>
        <w:tc>
          <w:tcPr>
            <w:tcW w:w="700" w:type="dxa"/>
          </w:tcPr>
          <w:p>
            <w:pPr>
              <w:spacing w:after="0" w:line="240" w:lineRule="auto"/>
              <w:jc w:val="left"/>
            </w:pPr>
            <w:r>
              <w:rPr>
                <w:rFonts w:ascii="Arial" w:hAnsi="Arial" w:cs="Arial"/>
                <w:sz w:val="14"/>
                <w:szCs w:val="14"/>
              </w:rPr>
              <w:t xml:space="preserve">1.3, 4.2</w:t>
            </w:r>
          </w:p>
        </w:tc>
        <w:tc>
          <w:tcPr>
            <w:tcW w:w="900" w:type="dxa"/>
          </w:tcPr>
          <w:p>
            <w:pPr>
              <w:spacing w:after="0" w:line="240" w:lineRule="auto"/>
              <w:jc w:val="left"/>
            </w:pPr>
            <w:r>
              <w:rPr>
                <w:rFonts w:ascii="Arial" w:hAnsi="Arial" w:cs="Arial"/>
                <w:sz w:val="14"/>
                <w:szCs w:val="14"/>
              </w:rPr>
              <w:t xml:space="preserve">2x5=10</w:t>
            </w:r>
          </w:p>
        </w:tc>
        <w:tc>
          <w:tcPr>
            <w:tcW w:w="1006" w:type="dxa"/>
          </w:tcPr>
          <w:p>
            <w:pPr>
              <w:spacing w:after="0" w:line="240" w:lineRule="auto"/>
              <w:jc w:val="left"/>
            </w:pPr>
            <w:r>
              <w:rPr>
                <w:rFonts w:ascii="Arial" w:hAnsi="Arial" w:cs="Arial"/>
                <w:sz w:val="14"/>
                <w:szCs w:val="14"/>
              </w:rPr>
              <w:t xml:space="preserve">0.72 to 0.45</w:t>
            </w:r>
          </w:p>
        </w:tc>
      </w:tr>
      <w:tr>
        <w:trPr>
          <w:cantSplit/>
        </w:trPr>
        <w:tc>
          <w:tcPr>
            <w:tcW w:w="520" w:type="dxa"/>
          </w:tcPr>
          <w:p>
            <w:pPr>
              <w:spacing w:after="0" w:line="240" w:lineRule="auto"/>
              <w:jc w:val="left"/>
            </w:pPr>
            <w:r>
              <w:rPr>
                <w:rFonts w:ascii="Arial" w:hAnsi="Arial" w:cs="Arial"/>
                <w:sz w:val="14"/>
                <w:szCs w:val="14"/>
              </w:rPr>
              <w:t xml:space="preserve">R4</w:t>
            </w:r>
          </w:p>
        </w:tc>
        <w:tc>
          <w:tcPr>
            <w:tcW w:w="2000" w:type="dxa"/>
          </w:tcPr>
          <w:p>
            <w:pPr>
              <w:spacing w:after="0" w:line="240" w:lineRule="auto"/>
              <w:jc w:val="left"/>
            </w:pPr>
            <w:r>
              <w:rPr>
                <w:rFonts w:ascii="Arial" w:hAnsi="Arial" w:cs="Arial"/>
                <w:sz w:val="14"/>
                <w:szCs w:val="14"/>
              </w:rPr>
              <w:t xml:space="preserve">Platform integration overruns</w:t>
            </w:r>
          </w:p>
        </w:tc>
        <w:tc>
          <w:tcPr>
            <w:tcW w:w="800" w:type="dxa"/>
          </w:tcPr>
          <w:p>
            <w:pPr>
              <w:spacing w:after="0" w:line="240" w:lineRule="auto"/>
              <w:jc w:val="left"/>
            </w:pPr>
            <w:r>
              <w:rPr>
                <w:rFonts w:ascii="Arial" w:hAnsi="Arial" w:cs="Arial"/>
                <w:sz w:val="14"/>
                <w:szCs w:val="14"/>
              </w:rPr>
              <w:t xml:space="preserve">3x4=12</w:t>
            </w:r>
          </w:p>
        </w:tc>
        <w:tc>
          <w:tcPr>
            <w:tcW w:w="1900" w:type="dxa"/>
          </w:tcPr>
          <w:p>
            <w:pPr>
              <w:spacing w:after="0" w:line="240" w:lineRule="auto"/>
              <w:jc w:val="left"/>
            </w:pPr>
            <w:r>
              <w:rPr>
                <w:rFonts w:ascii="Arial" w:hAnsi="Arial" w:cs="Arial"/>
                <w:sz w:val="14"/>
                <w:szCs w:val="14"/>
              </w:rPr>
              <w:t xml:space="preserve">Phased go-live; fixed-price build</w:t>
            </w:r>
          </w:p>
        </w:tc>
        <w:tc>
          <w:tcPr>
            <w:tcW w:w="1200" w:type="dxa"/>
          </w:tcPr>
          <w:p>
            <w:pPr>
              <w:spacing w:after="0" w:line="240" w:lineRule="auto"/>
              <w:jc w:val="left"/>
            </w:pPr>
            <w:r>
              <w:rPr>
                <w:rFonts w:ascii="Arial" w:hAnsi="Arial" w:cs="Arial"/>
                <w:sz w:val="14"/>
                <w:szCs w:val="14"/>
              </w:rPr>
              <w:t xml:space="preserve">IT Programme Lead</w:t>
            </w:r>
          </w:p>
        </w:tc>
        <w:tc>
          <w:tcPr>
            <w:tcW w:w="700" w:type="dxa"/>
          </w:tcPr>
          <w:p>
            <w:pPr>
              <w:spacing w:after="0" w:line="240" w:lineRule="auto"/>
              <w:jc w:val="left"/>
            </w:pPr>
            <w:r>
              <w:rPr>
                <w:rFonts w:ascii="Arial" w:hAnsi="Arial" w:cs="Arial"/>
                <w:sz w:val="14"/>
                <w:szCs w:val="14"/>
              </w:rPr>
              <w:t xml:space="preserve">2.2</w:t>
            </w:r>
          </w:p>
        </w:tc>
        <w:tc>
          <w:tcPr>
            <w:tcW w:w="900" w:type="dxa"/>
          </w:tcPr>
          <w:p>
            <w:pPr>
              <w:spacing w:after="0" w:line="240" w:lineRule="auto"/>
              <w:jc w:val="left"/>
            </w:pPr>
            <w:r>
              <w:rPr>
                <w:rFonts w:ascii="Arial" w:hAnsi="Arial" w:cs="Arial"/>
                <w:sz w:val="14"/>
                <w:szCs w:val="14"/>
              </w:rPr>
              <w:t xml:space="preserve">2x4=8</w:t>
            </w:r>
          </w:p>
        </w:tc>
        <w:tc>
          <w:tcPr>
            <w:tcW w:w="1006" w:type="dxa"/>
          </w:tcPr>
          <w:p>
            <w:pPr>
              <w:spacing w:after="0" w:line="240" w:lineRule="auto"/>
              <w:jc w:val="left"/>
            </w:pPr>
            <w:r>
              <w:rPr>
                <w:rFonts w:ascii="Arial" w:hAnsi="Arial" w:cs="Arial"/>
                <w:sz w:val="14"/>
                <w:szCs w:val="14"/>
              </w:rPr>
              <w:t xml:space="preserve">0.32 to 0.20</w:t>
            </w:r>
          </w:p>
        </w:tc>
      </w:tr>
      <w:tr>
        <w:trPr>
          <w:cantSplit/>
        </w:trPr>
        <w:tc>
          <w:tcPr>
            <w:tcW w:w="520" w:type="dxa"/>
          </w:tcPr>
          <w:p>
            <w:pPr>
              <w:spacing w:after="0" w:line="240" w:lineRule="auto"/>
              <w:jc w:val="left"/>
            </w:pPr>
            <w:r>
              <w:rPr>
                <w:rFonts w:ascii="Arial" w:hAnsi="Arial" w:cs="Arial"/>
                <w:sz w:val="14"/>
                <w:szCs w:val="14"/>
              </w:rPr>
              <w:t xml:space="preserve">R5</w:t>
            </w:r>
          </w:p>
        </w:tc>
        <w:tc>
          <w:tcPr>
            <w:tcW w:w="2000" w:type="dxa"/>
          </w:tcPr>
          <w:p>
            <w:pPr>
              <w:spacing w:after="0" w:line="240" w:lineRule="auto"/>
              <w:jc w:val="left"/>
            </w:pPr>
            <w:r>
              <w:rPr>
                <w:rFonts w:ascii="Arial" w:hAnsi="Arial" w:cs="Arial"/>
                <w:sz w:val="14"/>
                <w:szCs w:val="14"/>
              </w:rPr>
              <w:t xml:space="preserve">New factory fails labour audit</w:t>
            </w:r>
          </w:p>
        </w:tc>
        <w:tc>
          <w:tcPr>
            <w:tcW w:w="800" w:type="dxa"/>
          </w:tcPr>
          <w:p>
            <w:pPr>
              <w:spacing w:after="0" w:line="240" w:lineRule="auto"/>
              <w:jc w:val="left"/>
            </w:pPr>
            <w:r>
              <w:rPr>
                <w:rFonts w:ascii="Arial" w:hAnsi="Arial" w:cs="Arial"/>
                <w:sz w:val="14"/>
                <w:szCs w:val="14"/>
              </w:rPr>
              <w:t xml:space="preserve">3x4=12</w:t>
            </w:r>
          </w:p>
        </w:tc>
        <w:tc>
          <w:tcPr>
            <w:tcW w:w="1900" w:type="dxa"/>
          </w:tcPr>
          <w:p>
            <w:pPr>
              <w:spacing w:after="0" w:line="240" w:lineRule="auto"/>
              <w:jc w:val="left"/>
            </w:pPr>
            <w:r>
              <w:rPr>
                <w:rFonts w:ascii="Arial" w:hAnsi="Arial" w:cs="Arial"/>
                <w:sz w:val="14"/>
                <w:szCs w:val="14"/>
              </w:rPr>
              <w:t xml:space="preserve">Audit before trial; remediation plan</w:t>
            </w:r>
          </w:p>
        </w:tc>
        <w:tc>
          <w:tcPr>
            <w:tcW w:w="1200" w:type="dxa"/>
          </w:tcPr>
          <w:p>
            <w:pPr>
              <w:spacing w:after="0" w:line="240" w:lineRule="auto"/>
              <w:jc w:val="left"/>
            </w:pPr>
            <w:r>
              <w:rPr>
                <w:rFonts w:ascii="Arial" w:hAnsi="Arial" w:cs="Arial"/>
                <w:sz w:val="14"/>
                <w:szCs w:val="14"/>
              </w:rPr>
              <w:t xml:space="preserve">Sustainability Lead</w:t>
            </w:r>
          </w:p>
        </w:tc>
        <w:tc>
          <w:tcPr>
            <w:tcW w:w="700" w:type="dxa"/>
          </w:tcPr>
          <w:p>
            <w:pPr>
              <w:spacing w:after="0" w:line="240" w:lineRule="auto"/>
              <w:jc w:val="left"/>
            </w:pPr>
            <w:r>
              <w:rPr>
                <w:rFonts w:ascii="Arial" w:hAnsi="Arial" w:cs="Arial"/>
                <w:sz w:val="14"/>
                <w:szCs w:val="14"/>
              </w:rPr>
              <w:t xml:space="preserve">3.2</w:t>
            </w:r>
          </w:p>
        </w:tc>
        <w:tc>
          <w:tcPr>
            <w:tcW w:w="900" w:type="dxa"/>
          </w:tcPr>
          <w:p>
            <w:pPr>
              <w:spacing w:after="0" w:line="240" w:lineRule="auto"/>
              <w:jc w:val="left"/>
            </w:pPr>
            <w:r>
              <w:rPr>
                <w:rFonts w:ascii="Arial" w:hAnsi="Arial" w:cs="Arial"/>
                <w:sz w:val="14"/>
                <w:szCs w:val="14"/>
              </w:rPr>
              <w:t xml:space="preserve">2x4=8</w:t>
            </w:r>
          </w:p>
        </w:tc>
        <w:tc>
          <w:tcPr>
            <w:tcW w:w="1006" w:type="dxa"/>
          </w:tcPr>
          <w:p>
            <w:pPr>
              <w:spacing w:after="0" w:line="240" w:lineRule="auto"/>
              <w:jc w:val="left"/>
            </w:pPr>
            <w:r>
              <w:rPr>
                <w:rFonts w:ascii="Arial" w:hAnsi="Arial" w:cs="Arial"/>
                <w:sz w:val="14"/>
                <w:szCs w:val="14"/>
              </w:rPr>
              <w:t xml:space="preserve">0.28 to 0.17</w:t>
            </w:r>
          </w:p>
        </w:tc>
      </w:tr>
      <w:tr>
        <w:trPr>
          <w:cantSplit/>
        </w:trPr>
        <w:tc>
          <w:tcPr>
            <w:tcW w:w="520" w:type="dxa"/>
          </w:tcPr>
          <w:p>
            <w:pPr>
              <w:spacing w:after="0" w:line="240" w:lineRule="auto"/>
              <w:jc w:val="left"/>
            </w:pPr>
            <w:r>
              <w:rPr>
                <w:rFonts w:ascii="Arial" w:hAnsi="Arial" w:cs="Arial"/>
                <w:sz w:val="14"/>
                <w:szCs w:val="14"/>
              </w:rPr>
              <w:t xml:space="preserve">R6</w:t>
            </w:r>
          </w:p>
        </w:tc>
        <w:tc>
          <w:tcPr>
            <w:tcW w:w="2000" w:type="dxa"/>
          </w:tcPr>
          <w:p>
            <w:pPr>
              <w:spacing w:after="0" w:line="240" w:lineRule="auto"/>
              <w:jc w:val="left"/>
            </w:pPr>
            <w:r>
              <w:rPr>
                <w:rFonts w:ascii="Arial" w:hAnsi="Arial" w:cs="Arial"/>
                <w:sz w:val="14"/>
                <w:szCs w:val="14"/>
              </w:rPr>
              <w:t xml:space="preserve">Sourcing team capacity or change fatigue</w:t>
            </w:r>
          </w:p>
        </w:tc>
        <w:tc>
          <w:tcPr>
            <w:tcW w:w="800" w:type="dxa"/>
          </w:tcPr>
          <w:p>
            <w:pPr>
              <w:spacing w:after="0" w:line="240" w:lineRule="auto"/>
              <w:jc w:val="left"/>
            </w:pPr>
            <w:r>
              <w:rPr>
                <w:rFonts w:ascii="Arial" w:hAnsi="Arial" w:cs="Arial"/>
                <w:sz w:val="14"/>
                <w:szCs w:val="14"/>
              </w:rPr>
              <w:t xml:space="preserve">3x3=9</w:t>
            </w:r>
          </w:p>
        </w:tc>
        <w:tc>
          <w:tcPr>
            <w:tcW w:w="1900" w:type="dxa"/>
          </w:tcPr>
          <w:p>
            <w:pPr>
              <w:spacing w:after="0" w:line="240" w:lineRule="auto"/>
              <w:jc w:val="left"/>
            </w:pPr>
            <w:r>
              <w:rPr>
                <w:rFonts w:ascii="Arial" w:hAnsi="Arial" w:cs="Arial"/>
                <w:sz w:val="14"/>
                <w:szCs w:val="14"/>
              </w:rPr>
              <w:t xml:space="preserve">Backfill; training</w:t>
            </w:r>
          </w:p>
        </w:tc>
        <w:tc>
          <w:tcPr>
            <w:tcW w:w="1200" w:type="dxa"/>
          </w:tcPr>
          <w:p>
            <w:pPr>
              <w:spacing w:after="0" w:line="240" w:lineRule="auto"/>
              <w:jc w:val="left"/>
            </w:pPr>
            <w:r>
              <w:rPr>
                <w:rFonts w:ascii="Arial" w:hAnsi="Arial" w:cs="Arial"/>
                <w:sz w:val="14"/>
                <w:szCs w:val="14"/>
              </w:rPr>
              <w:t xml:space="preserve">HR Business Partner</w:t>
            </w:r>
          </w:p>
        </w:tc>
        <w:tc>
          <w:tcPr>
            <w:tcW w:w="700" w:type="dxa"/>
          </w:tcPr>
          <w:p>
            <w:pPr>
              <w:spacing w:after="0" w:line="240" w:lineRule="auto"/>
              <w:jc w:val="left"/>
            </w:pPr>
            <w:r>
              <w:rPr>
                <w:rFonts w:ascii="Arial" w:hAnsi="Arial" w:cs="Arial"/>
                <w:sz w:val="14"/>
                <w:szCs w:val="14"/>
              </w:rPr>
              <w:t xml:space="preserve">5.1</w:t>
            </w:r>
          </w:p>
        </w:tc>
        <w:tc>
          <w:tcPr>
            <w:tcW w:w="900" w:type="dxa"/>
          </w:tcPr>
          <w:p>
            <w:pPr>
              <w:spacing w:after="0" w:line="240" w:lineRule="auto"/>
              <w:jc w:val="left"/>
            </w:pPr>
            <w:r>
              <w:rPr>
                <w:rFonts w:ascii="Arial" w:hAnsi="Arial" w:cs="Arial"/>
                <w:sz w:val="14"/>
                <w:szCs w:val="14"/>
              </w:rPr>
              <w:t xml:space="preserve">2x3=6</w:t>
            </w:r>
          </w:p>
        </w:tc>
        <w:tc>
          <w:tcPr>
            <w:tcW w:w="1006" w:type="dxa"/>
          </w:tcPr>
          <w:p>
            <w:pPr>
              <w:spacing w:after="0" w:line="240" w:lineRule="auto"/>
              <w:jc w:val="left"/>
            </w:pPr>
            <w:r>
              <w:rPr>
                <w:rFonts w:ascii="Arial" w:hAnsi="Arial" w:cs="Arial"/>
                <w:sz w:val="14"/>
                <w:szCs w:val="14"/>
              </w:rPr>
              <w:t xml:space="preserve">0.16 to 0.10</w:t>
            </w:r>
          </w:p>
        </w:tc>
      </w:tr>
      <w:tr>
        <w:trPr>
          <w:cantSplit/>
        </w:trPr>
        <w:tc>
          <w:tcPr>
            <w:tcW w:w="520" w:type="dxa"/>
          </w:tcPr>
          <w:p>
            <w:pPr>
              <w:spacing w:after="0" w:line="240" w:lineRule="auto"/>
              <w:jc w:val="left"/>
            </w:pPr>
            <w:r>
              <w:rPr>
                <w:rFonts w:ascii="Arial" w:hAnsi="Arial" w:cs="Arial"/>
                <w:sz w:val="14"/>
                <w:szCs w:val="14"/>
              </w:rPr>
              <w:t xml:space="preserve">R7</w:t>
            </w:r>
          </w:p>
        </w:tc>
        <w:tc>
          <w:tcPr>
            <w:tcW w:w="2000" w:type="dxa"/>
          </w:tcPr>
          <w:p>
            <w:pPr>
              <w:spacing w:after="0" w:line="240" w:lineRule="auto"/>
              <w:jc w:val="left"/>
            </w:pPr>
            <w:r>
              <w:rPr>
                <w:rFonts w:ascii="Arial" w:hAnsi="Arial" w:cs="Arial"/>
                <w:sz w:val="14"/>
                <w:szCs w:val="14"/>
              </w:rPr>
              <w:t xml:space="preserve">Platform vendor fails or locks in</w:t>
            </w:r>
          </w:p>
        </w:tc>
        <w:tc>
          <w:tcPr>
            <w:tcW w:w="800" w:type="dxa"/>
          </w:tcPr>
          <w:p>
            <w:pPr>
              <w:spacing w:after="0" w:line="240" w:lineRule="auto"/>
              <w:jc w:val="left"/>
            </w:pPr>
            <w:r>
              <w:rPr>
                <w:rFonts w:ascii="Arial" w:hAnsi="Arial" w:cs="Arial"/>
                <w:sz w:val="14"/>
                <w:szCs w:val="14"/>
              </w:rPr>
              <w:t xml:space="preserve">2x4=8</w:t>
            </w:r>
          </w:p>
        </w:tc>
        <w:tc>
          <w:tcPr>
            <w:tcW w:w="1900" w:type="dxa"/>
          </w:tcPr>
          <w:p>
            <w:pPr>
              <w:spacing w:after="0" w:line="240" w:lineRule="auto"/>
              <w:jc w:val="left"/>
            </w:pPr>
            <w:r>
              <w:rPr>
                <w:rFonts w:ascii="Arial" w:hAnsi="Arial" w:cs="Arial"/>
                <w:sz w:val="14"/>
                <w:szCs w:val="14"/>
              </w:rPr>
              <w:t xml:space="preserve">Escrow; exit clause</w:t>
            </w:r>
          </w:p>
        </w:tc>
        <w:tc>
          <w:tcPr>
            <w:tcW w:w="1200" w:type="dxa"/>
          </w:tcPr>
          <w:p>
            <w:pPr>
              <w:spacing w:after="0" w:line="240" w:lineRule="auto"/>
              <w:jc w:val="left"/>
            </w:pPr>
            <w:r>
              <w:rPr>
                <w:rFonts w:ascii="Arial" w:hAnsi="Arial" w:cs="Arial"/>
                <w:sz w:val="14"/>
                <w:szCs w:val="14"/>
              </w:rPr>
              <w:t xml:space="preserve">Procurement</w:t>
            </w:r>
          </w:p>
        </w:tc>
        <w:tc>
          <w:tcPr>
            <w:tcW w:w="700" w:type="dxa"/>
          </w:tcPr>
          <w:p>
            <w:pPr>
              <w:spacing w:after="0" w:line="240" w:lineRule="auto"/>
              <w:jc w:val="left"/>
            </w:pPr>
            <w:r>
              <w:rPr>
                <w:rFonts w:ascii="Arial" w:hAnsi="Arial" w:cs="Arial"/>
                <w:sz w:val="14"/>
                <w:szCs w:val="14"/>
              </w:rPr>
              <w:t xml:space="preserve">2.1</w:t>
            </w:r>
          </w:p>
        </w:tc>
        <w:tc>
          <w:tcPr>
            <w:tcW w:w="900" w:type="dxa"/>
          </w:tcPr>
          <w:p>
            <w:pPr>
              <w:spacing w:after="0" w:line="240" w:lineRule="auto"/>
              <w:jc w:val="left"/>
            </w:pPr>
            <w:r>
              <w:rPr>
                <w:rFonts w:ascii="Arial" w:hAnsi="Arial" w:cs="Arial"/>
                <w:sz w:val="14"/>
                <w:szCs w:val="14"/>
              </w:rPr>
              <w:t xml:space="preserve">1x4=4</w:t>
            </w:r>
          </w:p>
        </w:tc>
        <w:tc>
          <w:tcPr>
            <w:tcW w:w="1006" w:type="dxa"/>
          </w:tcPr>
          <w:p>
            <w:pPr>
              <w:spacing w:after="0" w:line="240" w:lineRule="auto"/>
              <w:jc w:val="left"/>
            </w:pPr>
            <w:r>
              <w:rPr>
                <w:rFonts w:ascii="Arial" w:hAnsi="Arial" w:cs="Arial"/>
                <w:sz w:val="14"/>
                <w:szCs w:val="14"/>
              </w:rPr>
              <w:t xml:space="preserve">0.15 to 0.06</w:t>
            </w:r>
          </w:p>
        </w:tc>
      </w:tr>
      <w:tr>
        <w:trPr>
          <w:cantSplit/>
        </w:trPr>
        <w:tc>
          <w:tcPr>
            <w:tcW w:w="520" w:type="dxa"/>
          </w:tcPr>
          <w:p>
            <w:pPr>
              <w:spacing w:after="0" w:line="240" w:lineRule="auto"/>
              <w:jc w:val="left"/>
            </w:pPr>
            <w:r>
              <w:rPr>
                <w:rFonts w:ascii="Arial" w:hAnsi="Arial" w:cs="Arial"/>
                <w:sz w:val="14"/>
                <w:szCs w:val="14"/>
              </w:rPr>
              <w:t xml:space="preserve">R8</w:t>
            </w:r>
          </w:p>
        </w:tc>
        <w:tc>
          <w:tcPr>
            <w:tcW w:w="2000" w:type="dxa"/>
          </w:tcPr>
          <w:p>
            <w:pPr>
              <w:spacing w:after="0" w:line="240" w:lineRule="auto"/>
              <w:jc w:val="left"/>
            </w:pPr>
            <w:r>
              <w:rPr>
                <w:rFonts w:ascii="Arial" w:hAnsi="Arial" w:cs="Arial"/>
                <w:sz w:val="14"/>
                <w:szCs w:val="14"/>
              </w:rPr>
              <w:t xml:space="preserve">Sensitive supplier data breach</w:t>
            </w:r>
          </w:p>
        </w:tc>
        <w:tc>
          <w:tcPr>
            <w:tcW w:w="800" w:type="dxa"/>
          </w:tcPr>
          <w:p>
            <w:pPr>
              <w:spacing w:after="0" w:line="240" w:lineRule="auto"/>
              <w:jc w:val="left"/>
            </w:pPr>
            <w:r>
              <w:rPr>
                <w:rFonts w:ascii="Arial" w:hAnsi="Arial" w:cs="Arial"/>
                <w:sz w:val="14"/>
                <w:szCs w:val="14"/>
              </w:rPr>
              <w:t xml:space="preserve">2x5=10</w:t>
            </w:r>
          </w:p>
        </w:tc>
        <w:tc>
          <w:tcPr>
            <w:tcW w:w="1900" w:type="dxa"/>
          </w:tcPr>
          <w:p>
            <w:pPr>
              <w:spacing w:after="0" w:line="240" w:lineRule="auto"/>
              <w:jc w:val="left"/>
            </w:pPr>
            <w:r>
              <w:rPr>
                <w:rFonts w:ascii="Arial" w:hAnsi="Arial" w:cs="Arial"/>
                <w:sz w:val="14"/>
                <w:szCs w:val="14"/>
              </w:rPr>
              <w:t xml:space="preserve">Access controls; audit</w:t>
            </w:r>
          </w:p>
        </w:tc>
        <w:tc>
          <w:tcPr>
            <w:tcW w:w="1200" w:type="dxa"/>
          </w:tcPr>
          <w:p>
            <w:pPr>
              <w:spacing w:after="0" w:line="240" w:lineRule="auto"/>
              <w:jc w:val="left"/>
            </w:pPr>
            <w:r>
              <w:rPr>
                <w:rFonts w:ascii="Arial" w:hAnsi="Arial" w:cs="Arial"/>
                <w:sz w:val="14"/>
                <w:szCs w:val="14"/>
              </w:rPr>
              <w:t xml:space="preserve">CISO</w:t>
            </w:r>
          </w:p>
        </w:tc>
        <w:tc>
          <w:tcPr>
            <w:tcW w:w="700" w:type="dxa"/>
          </w:tcPr>
          <w:p>
            <w:pPr>
              <w:spacing w:after="0" w:line="240" w:lineRule="auto"/>
              <w:jc w:val="left"/>
            </w:pPr>
            <w:r>
              <w:rPr>
                <w:rFonts w:ascii="Arial" w:hAnsi="Arial" w:cs="Arial"/>
                <w:sz w:val="14"/>
                <w:szCs w:val="14"/>
              </w:rPr>
              <w:t xml:space="preserve">2.2</w:t>
            </w:r>
          </w:p>
        </w:tc>
        <w:tc>
          <w:tcPr>
            <w:tcW w:w="900" w:type="dxa"/>
          </w:tcPr>
          <w:p>
            <w:pPr>
              <w:spacing w:after="0" w:line="240" w:lineRule="auto"/>
              <w:jc w:val="left"/>
            </w:pPr>
            <w:r>
              <w:rPr>
                <w:rFonts w:ascii="Arial" w:hAnsi="Arial" w:cs="Arial"/>
                <w:sz w:val="14"/>
                <w:szCs w:val="14"/>
              </w:rPr>
              <w:t xml:space="preserve">1x5=5</w:t>
            </w:r>
          </w:p>
        </w:tc>
        <w:tc>
          <w:tcPr>
            <w:tcW w:w="1006" w:type="dxa"/>
          </w:tcPr>
          <w:p>
            <w:pPr>
              <w:spacing w:after="0" w:line="240" w:lineRule="auto"/>
              <w:jc w:val="left"/>
            </w:pPr>
            <w:r>
              <w:rPr>
                <w:rFonts w:ascii="Arial" w:hAnsi="Arial" w:cs="Arial"/>
                <w:sz w:val="14"/>
                <w:szCs w:val="14"/>
              </w:rPr>
              <w:t xml:space="preserve">0.23 to 0.09</w:t>
            </w:r>
          </w:p>
        </w:tc>
      </w:tr>
      <w:tr>
        <w:trPr>
          <w:cantSplit/>
        </w:trPr>
        <w:tc>
          <w:tcPr>
            <w:tcW w:w="520" w:type="dxa"/>
          </w:tcPr>
          <w:p>
            <w:pPr>
              <w:spacing w:after="0" w:line="240" w:lineRule="auto"/>
              <w:jc w:val="left"/>
            </w:pPr>
            <w:r>
              <w:rPr>
                <w:rFonts w:ascii="Arial" w:hAnsi="Arial" w:cs="Arial"/>
                <w:sz w:val="14"/>
                <w:szCs w:val="14"/>
              </w:rPr>
              <w:t xml:space="preserve">R9</w:t>
            </w:r>
          </w:p>
        </w:tc>
        <w:tc>
          <w:tcPr>
            <w:tcW w:w="2000" w:type="dxa"/>
          </w:tcPr>
          <w:p>
            <w:pPr>
              <w:spacing w:after="0" w:line="240" w:lineRule="auto"/>
              <w:jc w:val="left"/>
            </w:pPr>
            <w:r>
              <w:rPr>
                <w:rFonts w:ascii="Arial" w:hAnsi="Arial" w:cs="Arial"/>
                <w:sz w:val="14"/>
                <w:szCs w:val="14"/>
              </w:rPr>
              <w:t xml:space="preserve">Audit and trial cost inflation</w:t>
            </w:r>
          </w:p>
        </w:tc>
        <w:tc>
          <w:tcPr>
            <w:tcW w:w="800" w:type="dxa"/>
          </w:tcPr>
          <w:p>
            <w:pPr>
              <w:spacing w:after="0" w:line="240" w:lineRule="auto"/>
              <w:jc w:val="left"/>
            </w:pPr>
            <w:r>
              <w:rPr>
                <w:rFonts w:ascii="Arial" w:hAnsi="Arial" w:cs="Arial"/>
                <w:sz w:val="14"/>
                <w:szCs w:val="14"/>
              </w:rPr>
              <w:t xml:space="preserve">3x3=9</w:t>
            </w:r>
          </w:p>
        </w:tc>
        <w:tc>
          <w:tcPr>
            <w:tcW w:w="1900" w:type="dxa"/>
          </w:tcPr>
          <w:p>
            <w:pPr>
              <w:spacing w:after="0" w:line="240" w:lineRule="auto"/>
              <w:jc w:val="left"/>
            </w:pPr>
            <w:r>
              <w:rPr>
                <w:rFonts w:ascii="Arial" w:hAnsi="Arial" w:cs="Arial"/>
                <w:sz w:val="14"/>
                <w:szCs w:val="14"/>
              </w:rPr>
              <w:t xml:space="preserve">Fixed-price audits; reserve</w:t>
            </w:r>
          </w:p>
        </w:tc>
        <w:tc>
          <w:tcPr>
            <w:tcW w:w="1200" w:type="dxa"/>
          </w:tcPr>
          <w:p>
            <w:pPr>
              <w:spacing w:after="0" w:line="240" w:lineRule="auto"/>
              <w:jc w:val="left"/>
            </w:pPr>
            <w:r>
              <w:rPr>
                <w:rFonts w:ascii="Arial" w:hAnsi="Arial" w:cs="Arial"/>
                <w:sz w:val="14"/>
                <w:szCs w:val="14"/>
              </w:rPr>
              <w:t xml:space="preserve">Finance Partner</w:t>
            </w:r>
          </w:p>
        </w:tc>
        <w:tc>
          <w:tcPr>
            <w:tcW w:w="700" w:type="dxa"/>
          </w:tcPr>
          <w:p>
            <w:pPr>
              <w:spacing w:after="0" w:line="240" w:lineRule="auto"/>
              <w:jc w:val="left"/>
            </w:pPr>
            <w:r>
              <w:rPr>
                <w:rFonts w:ascii="Arial" w:hAnsi="Arial" w:cs="Arial"/>
                <w:sz w:val="14"/>
                <w:szCs w:val="14"/>
              </w:rPr>
              <w:t xml:space="preserve">1.3</w:t>
            </w:r>
          </w:p>
        </w:tc>
        <w:tc>
          <w:tcPr>
            <w:tcW w:w="900" w:type="dxa"/>
          </w:tcPr>
          <w:p>
            <w:pPr>
              <w:spacing w:after="0" w:line="240" w:lineRule="auto"/>
              <w:jc w:val="left"/>
            </w:pPr>
            <w:r>
              <w:rPr>
                <w:rFonts w:ascii="Arial" w:hAnsi="Arial" w:cs="Arial"/>
                <w:sz w:val="14"/>
                <w:szCs w:val="14"/>
              </w:rPr>
              <w:t xml:space="preserve">2x3=6</w:t>
            </w:r>
          </w:p>
        </w:tc>
        <w:tc>
          <w:tcPr>
            <w:tcW w:w="1006" w:type="dxa"/>
          </w:tcPr>
          <w:p>
            <w:pPr>
              <w:spacing w:after="0" w:line="240" w:lineRule="auto"/>
              <w:jc w:val="left"/>
            </w:pPr>
            <w:r>
              <w:rPr>
                <w:rFonts w:ascii="Arial" w:hAnsi="Arial" w:cs="Arial"/>
                <w:sz w:val="14"/>
                <w:szCs w:val="14"/>
              </w:rPr>
              <w:t xml:space="preserve">0.16 to 0.10</w:t>
            </w:r>
          </w:p>
        </w:tc>
      </w:tr>
      <w:tr>
        <w:trPr>
          <w:cantSplit/>
        </w:trPr>
        <w:tc>
          <w:tcPr>
            <w:tcW w:w="520" w:type="dxa"/>
          </w:tcPr>
          <w:p>
            <w:pPr>
              <w:spacing w:after="0" w:line="240" w:lineRule="auto"/>
              <w:jc w:val="left"/>
            </w:pPr>
            <w:r>
              <w:rPr>
                <w:rFonts w:ascii="Arial" w:hAnsi="Arial" w:cs="Arial"/>
                <w:sz w:val="14"/>
                <w:szCs w:val="14"/>
              </w:rPr>
              <w:t xml:space="preserve">R10</w:t>
            </w:r>
          </w:p>
        </w:tc>
        <w:tc>
          <w:tcPr>
            <w:tcW w:w="2000" w:type="dxa"/>
          </w:tcPr>
          <w:p>
            <w:pPr>
              <w:spacing w:after="0" w:line="240" w:lineRule="auto"/>
              <w:jc w:val="left"/>
            </w:pPr>
            <w:r>
              <w:rPr>
                <w:rFonts w:ascii="Arial" w:hAnsi="Arial" w:cs="Arial"/>
                <w:sz w:val="14"/>
                <w:szCs w:val="14"/>
              </w:rPr>
              <w:t xml:space="preserve">Freight disruption delays trial shipments</w:t>
            </w:r>
          </w:p>
        </w:tc>
        <w:tc>
          <w:tcPr>
            <w:tcW w:w="800" w:type="dxa"/>
          </w:tcPr>
          <w:p>
            <w:pPr>
              <w:spacing w:after="0" w:line="240" w:lineRule="auto"/>
              <w:jc w:val="left"/>
            </w:pPr>
            <w:r>
              <w:rPr>
                <w:rFonts w:ascii="Arial" w:hAnsi="Arial" w:cs="Arial"/>
                <w:sz w:val="14"/>
                <w:szCs w:val="14"/>
              </w:rPr>
              <w:t xml:space="preserve">3x3=9</w:t>
            </w:r>
          </w:p>
        </w:tc>
        <w:tc>
          <w:tcPr>
            <w:tcW w:w="1900" w:type="dxa"/>
          </w:tcPr>
          <w:p>
            <w:pPr>
              <w:spacing w:after="0" w:line="240" w:lineRule="auto"/>
              <w:jc w:val="left"/>
            </w:pPr>
            <w:r>
              <w:rPr>
                <w:rFonts w:ascii="Arial" w:hAnsi="Arial" w:cs="Arial"/>
                <w:sz w:val="14"/>
                <w:szCs w:val="14"/>
              </w:rPr>
              <w:t xml:space="preserve">Air-freight samples; buffer stock</w:t>
            </w:r>
          </w:p>
        </w:tc>
        <w:tc>
          <w:tcPr>
            <w:tcW w:w="1200" w:type="dxa"/>
          </w:tcPr>
          <w:p>
            <w:pPr>
              <w:spacing w:after="0" w:line="240" w:lineRule="auto"/>
              <w:jc w:val="left"/>
            </w:pPr>
            <w:r>
              <w:rPr>
                <w:rFonts w:ascii="Arial" w:hAnsi="Arial" w:cs="Arial"/>
                <w:sz w:val="14"/>
                <w:szCs w:val="14"/>
              </w:rPr>
              <w:t xml:space="preserve">Logistics Lead</w:t>
            </w:r>
          </w:p>
        </w:tc>
        <w:tc>
          <w:tcPr>
            <w:tcW w:w="700" w:type="dxa"/>
          </w:tcPr>
          <w:p>
            <w:pPr>
              <w:spacing w:after="0" w:line="240" w:lineRule="auto"/>
              <w:jc w:val="left"/>
            </w:pPr>
            <w:r>
              <w:rPr>
                <w:rFonts w:ascii="Arial" w:hAnsi="Arial" w:cs="Arial"/>
                <w:sz w:val="14"/>
                <w:szCs w:val="14"/>
              </w:rPr>
              <w:t xml:space="preserve">3.3</w:t>
            </w:r>
          </w:p>
        </w:tc>
        <w:tc>
          <w:tcPr>
            <w:tcW w:w="900" w:type="dxa"/>
          </w:tcPr>
          <w:p>
            <w:pPr>
              <w:spacing w:after="0" w:line="240" w:lineRule="auto"/>
              <w:jc w:val="left"/>
            </w:pPr>
            <w:r>
              <w:rPr>
                <w:rFonts w:ascii="Arial" w:hAnsi="Arial" w:cs="Arial"/>
                <w:sz w:val="14"/>
                <w:szCs w:val="14"/>
              </w:rPr>
              <w:t xml:space="preserve">2x3=6</w:t>
            </w:r>
          </w:p>
        </w:tc>
        <w:tc>
          <w:tcPr>
            <w:tcW w:w="1006" w:type="dxa"/>
          </w:tcPr>
          <w:p>
            <w:pPr>
              <w:spacing w:after="0" w:line="240" w:lineRule="auto"/>
              <w:jc w:val="left"/>
            </w:pPr>
            <w:r>
              <w:rPr>
                <w:rFonts w:ascii="Arial" w:hAnsi="Arial" w:cs="Arial"/>
                <w:sz w:val="14"/>
                <w:szCs w:val="14"/>
              </w:rPr>
              <w:t xml:space="preserve">0.16 to 0.10</w:t>
            </w:r>
          </w:p>
        </w:tc>
      </w:tr>
    </w:tbl>
    <w:p>
      <w:pPr>
        <w:pStyle w:val="NoSpacing"/>
        <w:spacing w:after="120"/>
      </w:pPr>
    </w:p>
    <w:p>
      <w:pPr>
        <w:pStyle w:val="NoSpacing"/>
        <w:spacing w:after="120"/>
        <w:jc w:val="left"/>
      </w:pPr>
      <w:r>
        <w:rPr>
          <w:rFonts w:ascii="Arial" w:hAnsi="Arial" w:cs="Arial"/>
          <w:sz w:val="18"/>
          <w:szCs w:val="18"/>
        </w:rPr>
        <w:t xml:space="preserve">Top three by score: R1, R2, R3. EMV before responses: 2.22; after: 1.075 (EUR m), against a reserve of EUR 1.0m in 1.3. Sensitivity: raising the probability of R4 or R5 by one point gives a score of 16, above R3 (15), so the top three is not stable and the register is reviewed monthly.</w:t>
      </w:r>
    </w:p>
    <w:p>
      <w:pPr>
        <w:pStyle w:val="NoSpacing"/>
        <w:keepNext/>
        <w:spacing w:after="120"/>
      </w:pPr>
      <w:r>
        <w:rPr>
          <w:rFonts w:ascii="Arial" w:hAnsi="Arial" w:cs="Arial"/>
          <w:b/>
        </w:rPr>
        <w:t xml:space="preserve">Appendix D: Options scoring and sensitivity</w:t>
      </w:r>
    </w:p>
    <w:p>
      <w:pPr>
        <w:pStyle w:val="NoSpacing"/>
        <w:spacing w:after="120"/>
        <w:jc w:val="left"/>
      </w:pPr>
      <w:r>
        <w:rPr>
          <w:rFonts w:ascii="Arial" w:hAnsi="Arial" w:cs="Arial"/>
          <w:sz w:val="18"/>
          <w:szCs w:val="18"/>
        </w:rPr>
        <w:t xml:space="preserve">Base case weighted scores: A 1.95, B 3.35, C 3.55 (Table 1). Each row below moves ten weighting points from one criterion to another. C wins 14 of 20 tests and B wins 6; B wins whenever weight leaves risk reduction or strategic fit for cost, time or feasibility. The recommendation therefore depends on how the board values risk reduction.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4200"/>
        <w:gridCol w:w="1000"/>
        <w:gridCol w:w="1000"/>
        <w:gridCol w:w="1000"/>
        <w:gridCol w:w="1826"/>
      </w:tblGrid>
      <w:tr>
        <w:trPr>
          <w:cantSplit/>
          <w:tblHeader/>
        </w:trPr>
        <w:tc>
          <w:tcPr>
            <w:tcW w:w="4200" w:type="dxa"/>
            <w:shd w:val="clear" w:color="auto" w:fill="D9D9D9"/>
          </w:tcPr>
          <w:p>
            <w:pPr>
              <w:spacing w:after="0" w:line="240" w:lineRule="auto"/>
              <w:jc w:val="left"/>
            </w:pPr>
            <w:r>
              <w:rPr>
                <w:rFonts w:ascii="Arial" w:hAnsi="Arial" w:cs="Arial"/>
                <w:b/>
                <w:sz w:val="15"/>
                <w:szCs w:val="15"/>
              </w:rPr>
              <w:t xml:space="preserve">Weight shift</w:t>
            </w:r>
          </w:p>
        </w:tc>
        <w:tc>
          <w:tcPr>
            <w:tcW w:w="1000" w:type="dxa"/>
            <w:shd w:val="clear" w:color="auto" w:fill="D9D9D9"/>
          </w:tcPr>
          <w:p>
            <w:pPr>
              <w:spacing w:after="0" w:line="240" w:lineRule="auto"/>
              <w:jc w:val="center"/>
            </w:pPr>
            <w:r>
              <w:rPr>
                <w:rFonts w:ascii="Arial" w:hAnsi="Arial" w:cs="Arial"/>
                <w:b/>
                <w:sz w:val="15"/>
                <w:szCs w:val="15"/>
              </w:rPr>
              <w:t xml:space="preserve">A</w:t>
            </w:r>
          </w:p>
        </w:tc>
        <w:tc>
          <w:tcPr>
            <w:tcW w:w="1000" w:type="dxa"/>
            <w:shd w:val="clear" w:color="auto" w:fill="D9D9D9"/>
          </w:tcPr>
          <w:p>
            <w:pPr>
              <w:spacing w:after="0" w:line="240" w:lineRule="auto"/>
              <w:jc w:val="center"/>
            </w:pPr>
            <w:r>
              <w:rPr>
                <w:rFonts w:ascii="Arial" w:hAnsi="Arial" w:cs="Arial"/>
                <w:b/>
                <w:sz w:val="15"/>
                <w:szCs w:val="15"/>
              </w:rPr>
              <w:t xml:space="preserve">B</w:t>
            </w:r>
          </w:p>
        </w:tc>
        <w:tc>
          <w:tcPr>
            <w:tcW w:w="1000" w:type="dxa"/>
            <w:shd w:val="clear" w:color="auto" w:fill="D9D9D9"/>
          </w:tcPr>
          <w:p>
            <w:pPr>
              <w:spacing w:after="0" w:line="240" w:lineRule="auto"/>
              <w:jc w:val="center"/>
            </w:pPr>
            <w:r>
              <w:rPr>
                <w:rFonts w:ascii="Arial" w:hAnsi="Arial" w:cs="Arial"/>
                <w:b/>
                <w:sz w:val="15"/>
                <w:szCs w:val="15"/>
              </w:rPr>
              <w:t xml:space="preserve">C</w:t>
            </w:r>
          </w:p>
        </w:tc>
        <w:tc>
          <w:tcPr>
            <w:tcW w:w="1826" w:type="dxa"/>
            <w:shd w:val="clear" w:color="auto" w:fill="D9D9D9"/>
          </w:tcPr>
          <w:p>
            <w:pPr>
              <w:spacing w:after="0" w:line="240" w:lineRule="auto"/>
              <w:jc w:val="center"/>
            </w:pPr>
            <w:r>
              <w:rPr>
                <w:rFonts w:ascii="Arial" w:hAnsi="Arial" w:cs="Arial"/>
                <w:b/>
                <w:sz w:val="15"/>
                <w:szCs w:val="15"/>
              </w:rPr>
              <w:t xml:space="preserve">Winner</w:t>
            </w:r>
          </w:p>
        </w:tc>
      </w:tr>
      <w:tr>
        <w:trPr>
          <w:cantSplit/>
        </w:trPr>
        <w:tc>
          <w:tcPr>
            <w:tcW w:w="4200" w:type="dxa"/>
          </w:tcPr>
          <w:p>
            <w:pPr>
              <w:spacing w:after="0" w:line="240" w:lineRule="auto"/>
              <w:jc w:val="left"/>
            </w:pPr>
            <w:r>
              <w:rPr>
                <w:rFonts w:ascii="Arial" w:hAnsi="Arial" w:cs="Arial"/>
                <w:sz w:val="15"/>
                <w:szCs w:val="15"/>
              </w:rPr>
              <w:t xml:space="preserve">-10 Cost, +10 Time</w:t>
            </w:r>
          </w:p>
        </w:tc>
        <w:tc>
          <w:tcPr>
            <w:tcW w:w="1000" w:type="dxa"/>
          </w:tcPr>
          <w:p>
            <w:pPr>
              <w:spacing w:after="0" w:line="240" w:lineRule="auto"/>
              <w:jc w:val="center"/>
            </w:pPr>
            <w:r>
              <w:rPr>
                <w:rFonts w:ascii="Arial" w:hAnsi="Arial" w:cs="Arial"/>
                <w:sz w:val="15"/>
                <w:szCs w:val="15"/>
              </w:rPr>
              <w:t xml:space="preserve">1.95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Cost, +10 Risk reduction</w:t>
            </w:r>
          </w:p>
        </w:tc>
        <w:tc>
          <w:tcPr>
            <w:tcW w:w="1000" w:type="dxa"/>
          </w:tcPr>
          <w:p>
            <w:pPr>
              <w:spacing w:after="0" w:line="240" w:lineRule="auto"/>
              <w:jc w:val="center"/>
            </w:pPr>
            <w:r>
              <w:rPr>
                <w:rFonts w:ascii="Arial" w:hAnsi="Arial" w:cs="Arial"/>
                <w:sz w:val="15"/>
                <w:szCs w:val="15"/>
              </w:rPr>
              <w:t xml:space="preserve">2.15</w:t>
            </w:r>
          </w:p>
        </w:tc>
        <w:tc>
          <w:tcPr>
            <w:tcW w:w="1000" w:type="dxa"/>
          </w:tcPr>
          <w:p>
            <w:pPr>
              <w:spacing w:after="0" w:line="240" w:lineRule="auto"/>
              <w:jc w:val="center"/>
            </w:pPr>
            <w:r>
              <w:rPr>
                <w:rFonts w:ascii="Arial" w:hAnsi="Arial" w:cs="Arial"/>
                <w:sz w:val="15"/>
                <w:szCs w:val="15"/>
              </w:rPr>
              <w:t xml:space="preserve">3.15</w:t>
            </w:r>
          </w:p>
        </w:tc>
        <w:tc>
          <w:tcPr>
            <w:tcW w:w="1000" w:type="dxa"/>
          </w:tcPr>
          <w:p>
            <w:pPr>
              <w:spacing w:after="0" w:line="240" w:lineRule="auto"/>
              <w:jc w:val="center"/>
            </w:pPr>
            <w:r>
              <w:rPr>
                <w:rFonts w:ascii="Arial" w:hAnsi="Arial" w:cs="Arial"/>
                <w:sz w:val="15"/>
                <w:szCs w:val="15"/>
              </w:rPr>
              <w:t xml:space="preserve">3.65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Cost, +10 Strategic fit</w:t>
            </w:r>
          </w:p>
        </w:tc>
        <w:tc>
          <w:tcPr>
            <w:tcW w:w="1000" w:type="dxa"/>
          </w:tcPr>
          <w:p>
            <w:pPr>
              <w:spacing w:after="0" w:line="240" w:lineRule="auto"/>
              <w:jc w:val="center"/>
            </w:pPr>
            <w:r>
              <w:rPr>
                <w:rFonts w:ascii="Arial" w:hAnsi="Arial" w:cs="Arial"/>
                <w:sz w:val="15"/>
                <w:szCs w:val="15"/>
              </w:rPr>
              <w:t xml:space="preserve">2.15</w:t>
            </w:r>
          </w:p>
        </w:tc>
        <w:tc>
          <w:tcPr>
            <w:tcW w:w="1000" w:type="dxa"/>
          </w:tcPr>
          <w:p>
            <w:pPr>
              <w:spacing w:after="0" w:line="240" w:lineRule="auto"/>
              <w:jc w:val="center"/>
            </w:pPr>
            <w:r>
              <w:rPr>
                <w:rFonts w:ascii="Arial" w:hAnsi="Arial" w:cs="Arial"/>
                <w:sz w:val="15"/>
                <w:szCs w:val="15"/>
              </w:rPr>
              <w:t xml:space="preserve">3.25</w:t>
            </w:r>
          </w:p>
        </w:tc>
        <w:tc>
          <w:tcPr>
            <w:tcW w:w="1000" w:type="dxa"/>
          </w:tcPr>
          <w:p>
            <w:pPr>
              <w:spacing w:after="0" w:line="240" w:lineRule="auto"/>
              <w:jc w:val="center"/>
            </w:pPr>
            <w:r>
              <w:rPr>
                <w:rFonts w:ascii="Arial" w:hAnsi="Arial" w:cs="Arial"/>
                <w:sz w:val="15"/>
                <w:szCs w:val="15"/>
              </w:rPr>
              <w:t xml:space="preserve">3.75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Cost, +10 Feasibility</w:t>
            </w:r>
          </w:p>
        </w:tc>
        <w:tc>
          <w:tcPr>
            <w:tcW w:w="1000" w:type="dxa"/>
          </w:tcPr>
          <w:p>
            <w:pPr>
              <w:spacing w:after="0" w:line="240" w:lineRule="auto"/>
              <w:jc w:val="center"/>
            </w:pPr>
            <w:r>
              <w:rPr>
                <w:rFonts w:ascii="Arial" w:hAnsi="Arial" w:cs="Arial"/>
                <w:sz w:val="15"/>
                <w:szCs w:val="15"/>
              </w:rPr>
              <w:t xml:space="preserve">2.05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Time, +10 Cost</w:t>
            </w:r>
          </w:p>
        </w:tc>
        <w:tc>
          <w:tcPr>
            <w:tcW w:w="1000" w:type="dxa"/>
          </w:tcPr>
          <w:p>
            <w:pPr>
              <w:spacing w:after="0" w:line="240" w:lineRule="auto"/>
              <w:jc w:val="center"/>
            </w:pPr>
            <w:r>
              <w:rPr>
                <w:rFonts w:ascii="Arial" w:hAnsi="Arial" w:cs="Arial"/>
                <w:sz w:val="15"/>
                <w:szCs w:val="15"/>
              </w:rPr>
              <w:t xml:space="preserve">1.95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Time, +10 Risk reduction</w:t>
            </w:r>
          </w:p>
        </w:tc>
        <w:tc>
          <w:tcPr>
            <w:tcW w:w="1000" w:type="dxa"/>
          </w:tcPr>
          <w:p>
            <w:pPr>
              <w:spacing w:after="0" w:line="240" w:lineRule="auto"/>
              <w:jc w:val="center"/>
            </w:pPr>
            <w:r>
              <w:rPr>
                <w:rFonts w:ascii="Arial" w:hAnsi="Arial" w:cs="Arial"/>
                <w:sz w:val="15"/>
                <w:szCs w:val="15"/>
              </w:rPr>
              <w:t xml:space="preserve">2.15</w:t>
            </w:r>
          </w:p>
        </w:tc>
        <w:tc>
          <w:tcPr>
            <w:tcW w:w="1000" w:type="dxa"/>
          </w:tcPr>
          <w:p>
            <w:pPr>
              <w:spacing w:after="0" w:line="240" w:lineRule="auto"/>
              <w:jc w:val="center"/>
            </w:pPr>
            <w:r>
              <w:rPr>
                <w:rFonts w:ascii="Arial" w:hAnsi="Arial" w:cs="Arial"/>
                <w:sz w:val="15"/>
                <w:szCs w:val="15"/>
              </w:rPr>
              <w:t xml:space="preserve">3.15</w:t>
            </w:r>
          </w:p>
        </w:tc>
        <w:tc>
          <w:tcPr>
            <w:tcW w:w="1000" w:type="dxa"/>
          </w:tcPr>
          <w:p>
            <w:pPr>
              <w:spacing w:after="0" w:line="240" w:lineRule="auto"/>
              <w:jc w:val="center"/>
            </w:pPr>
            <w:r>
              <w:rPr>
                <w:rFonts w:ascii="Arial" w:hAnsi="Arial" w:cs="Arial"/>
                <w:sz w:val="15"/>
                <w:szCs w:val="15"/>
              </w:rPr>
              <w:t xml:space="preserve">3.65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Time, +10 Strategic fit</w:t>
            </w:r>
          </w:p>
        </w:tc>
        <w:tc>
          <w:tcPr>
            <w:tcW w:w="1000" w:type="dxa"/>
          </w:tcPr>
          <w:p>
            <w:pPr>
              <w:spacing w:after="0" w:line="240" w:lineRule="auto"/>
              <w:jc w:val="center"/>
            </w:pPr>
            <w:r>
              <w:rPr>
                <w:rFonts w:ascii="Arial" w:hAnsi="Arial" w:cs="Arial"/>
                <w:sz w:val="15"/>
                <w:szCs w:val="15"/>
              </w:rPr>
              <w:t xml:space="preserve">2.15</w:t>
            </w:r>
          </w:p>
        </w:tc>
        <w:tc>
          <w:tcPr>
            <w:tcW w:w="1000" w:type="dxa"/>
          </w:tcPr>
          <w:p>
            <w:pPr>
              <w:spacing w:after="0" w:line="240" w:lineRule="auto"/>
              <w:jc w:val="center"/>
            </w:pPr>
            <w:r>
              <w:rPr>
                <w:rFonts w:ascii="Arial" w:hAnsi="Arial" w:cs="Arial"/>
                <w:sz w:val="15"/>
                <w:szCs w:val="15"/>
              </w:rPr>
              <w:t xml:space="preserve">3.25</w:t>
            </w:r>
          </w:p>
        </w:tc>
        <w:tc>
          <w:tcPr>
            <w:tcW w:w="1000" w:type="dxa"/>
          </w:tcPr>
          <w:p>
            <w:pPr>
              <w:spacing w:after="0" w:line="240" w:lineRule="auto"/>
              <w:jc w:val="center"/>
            </w:pPr>
            <w:r>
              <w:rPr>
                <w:rFonts w:ascii="Arial" w:hAnsi="Arial" w:cs="Arial"/>
                <w:sz w:val="15"/>
                <w:szCs w:val="15"/>
              </w:rPr>
              <w:t xml:space="preserve">3.75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Time, +10 Feasibility</w:t>
            </w:r>
          </w:p>
        </w:tc>
        <w:tc>
          <w:tcPr>
            <w:tcW w:w="1000" w:type="dxa"/>
          </w:tcPr>
          <w:p>
            <w:pPr>
              <w:spacing w:after="0" w:line="240" w:lineRule="auto"/>
              <w:jc w:val="center"/>
            </w:pPr>
            <w:r>
              <w:rPr>
                <w:rFonts w:ascii="Arial" w:hAnsi="Arial" w:cs="Arial"/>
                <w:sz w:val="15"/>
                <w:szCs w:val="15"/>
              </w:rPr>
              <w:t xml:space="preserve">2.05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Risk reduction, +10 Cost</w:t>
            </w:r>
          </w:p>
        </w:tc>
        <w:tc>
          <w:tcPr>
            <w:tcW w:w="1000" w:type="dxa"/>
          </w:tcPr>
          <w:p>
            <w:pPr>
              <w:spacing w:after="0" w:line="240" w:lineRule="auto"/>
              <w:jc w:val="center"/>
            </w:pPr>
            <w:r>
              <w:rPr>
                <w:rFonts w:ascii="Arial" w:hAnsi="Arial" w:cs="Arial"/>
                <w:sz w:val="15"/>
                <w:szCs w:val="15"/>
              </w:rPr>
              <w:t xml:space="preserve">1.75</w:t>
            </w:r>
          </w:p>
        </w:tc>
        <w:tc>
          <w:tcPr>
            <w:tcW w:w="1000" w:type="dxa"/>
          </w:tcPr>
          <w:p>
            <w:pPr>
              <w:spacing w:after="0" w:line="240" w:lineRule="auto"/>
              <w:jc w:val="center"/>
            </w:pPr>
            <w:r>
              <w:rPr>
                <w:rFonts w:ascii="Arial" w:hAnsi="Arial" w:cs="Arial"/>
                <w:sz w:val="15"/>
                <w:szCs w:val="15"/>
              </w:rPr>
              <w:t xml:space="preserve">3.55</w:t>
            </w:r>
          </w:p>
        </w:tc>
        <w:tc>
          <w:tcPr>
            <w:tcW w:w="1000" w:type="dxa"/>
          </w:tcPr>
          <w:p>
            <w:pPr>
              <w:spacing w:after="0" w:line="240" w:lineRule="auto"/>
              <w:jc w:val="center"/>
            </w:pPr>
            <w:r>
              <w:rPr>
                <w:rFonts w:ascii="Arial" w:hAnsi="Arial" w:cs="Arial"/>
                <w:sz w:val="15"/>
                <w:szCs w:val="15"/>
              </w:rPr>
              <w:t xml:space="preserve">3.45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Risk reduction, +10 Time</w:t>
            </w:r>
          </w:p>
        </w:tc>
        <w:tc>
          <w:tcPr>
            <w:tcW w:w="1000" w:type="dxa"/>
          </w:tcPr>
          <w:p>
            <w:pPr>
              <w:spacing w:after="0" w:line="240" w:lineRule="auto"/>
              <w:jc w:val="center"/>
            </w:pPr>
            <w:r>
              <w:rPr>
                <w:rFonts w:ascii="Arial" w:hAnsi="Arial" w:cs="Arial"/>
                <w:sz w:val="15"/>
                <w:szCs w:val="15"/>
              </w:rPr>
              <w:t xml:space="preserve">1.75</w:t>
            </w:r>
          </w:p>
        </w:tc>
        <w:tc>
          <w:tcPr>
            <w:tcW w:w="1000" w:type="dxa"/>
          </w:tcPr>
          <w:p>
            <w:pPr>
              <w:spacing w:after="0" w:line="240" w:lineRule="auto"/>
              <w:jc w:val="center"/>
            </w:pPr>
            <w:r>
              <w:rPr>
                <w:rFonts w:ascii="Arial" w:hAnsi="Arial" w:cs="Arial"/>
                <w:sz w:val="15"/>
                <w:szCs w:val="15"/>
              </w:rPr>
              <w:t xml:space="preserve">3.55</w:t>
            </w:r>
          </w:p>
        </w:tc>
        <w:tc>
          <w:tcPr>
            <w:tcW w:w="1000" w:type="dxa"/>
          </w:tcPr>
          <w:p>
            <w:pPr>
              <w:spacing w:after="0" w:line="240" w:lineRule="auto"/>
              <w:jc w:val="center"/>
            </w:pPr>
            <w:r>
              <w:rPr>
                <w:rFonts w:ascii="Arial" w:hAnsi="Arial" w:cs="Arial"/>
                <w:sz w:val="15"/>
                <w:szCs w:val="15"/>
              </w:rPr>
              <w:t xml:space="preserve">3.45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Risk reduction, +10 Strategic fit</w:t>
            </w:r>
          </w:p>
        </w:tc>
        <w:tc>
          <w:tcPr>
            <w:tcW w:w="1000" w:type="dxa"/>
          </w:tcPr>
          <w:p>
            <w:pPr>
              <w:spacing w:after="0" w:line="240" w:lineRule="auto"/>
              <w:jc w:val="center"/>
            </w:pPr>
            <w:r>
              <w:rPr>
                <w:rFonts w:ascii="Arial" w:hAnsi="Arial" w:cs="Arial"/>
                <w:sz w:val="15"/>
                <w:szCs w:val="15"/>
              </w:rPr>
              <w:t xml:space="preserve">1.95</w:t>
            </w:r>
          </w:p>
        </w:tc>
        <w:tc>
          <w:tcPr>
            <w:tcW w:w="1000" w:type="dxa"/>
          </w:tcPr>
          <w:p>
            <w:pPr>
              <w:spacing w:after="0" w:line="240" w:lineRule="auto"/>
              <w:jc w:val="center"/>
            </w:pPr>
            <w:r>
              <w:rPr>
                <w:rFonts w:ascii="Arial" w:hAnsi="Arial" w:cs="Arial"/>
                <w:sz w:val="15"/>
                <w:szCs w:val="15"/>
              </w:rPr>
              <w:t xml:space="preserve">3.45</w:t>
            </w:r>
          </w:p>
        </w:tc>
        <w:tc>
          <w:tcPr>
            <w:tcW w:w="1000" w:type="dxa"/>
          </w:tcPr>
          <w:p>
            <w:pPr>
              <w:spacing w:after="0" w:line="240" w:lineRule="auto"/>
              <w:jc w:val="center"/>
            </w:pPr>
            <w:r>
              <w:rPr>
                <w:rFonts w:ascii="Arial" w:hAnsi="Arial" w:cs="Arial"/>
                <w:sz w:val="15"/>
                <w:szCs w:val="15"/>
              </w:rPr>
              <w:t xml:space="preserve">3.65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Risk reduction, +10 Feasibility</w:t>
            </w:r>
          </w:p>
        </w:tc>
        <w:tc>
          <w:tcPr>
            <w:tcW w:w="1000" w:type="dxa"/>
          </w:tcPr>
          <w:p>
            <w:pPr>
              <w:spacing w:after="0" w:line="240" w:lineRule="auto"/>
              <w:jc w:val="center"/>
            </w:pPr>
            <w:r>
              <w:rPr>
                <w:rFonts w:ascii="Arial" w:hAnsi="Arial" w:cs="Arial"/>
                <w:sz w:val="15"/>
                <w:szCs w:val="15"/>
              </w:rPr>
              <w:t xml:space="preserve">1.85</w:t>
            </w:r>
          </w:p>
        </w:tc>
        <w:tc>
          <w:tcPr>
            <w:tcW w:w="1000" w:type="dxa"/>
          </w:tcPr>
          <w:p>
            <w:pPr>
              <w:spacing w:after="0" w:line="240" w:lineRule="auto"/>
              <w:jc w:val="center"/>
            </w:pPr>
            <w:r>
              <w:rPr>
                <w:rFonts w:ascii="Arial" w:hAnsi="Arial" w:cs="Arial"/>
                <w:sz w:val="15"/>
                <w:szCs w:val="15"/>
              </w:rPr>
              <w:t xml:space="preserve">3.55</w:t>
            </w:r>
          </w:p>
        </w:tc>
        <w:tc>
          <w:tcPr>
            <w:tcW w:w="1000" w:type="dxa"/>
          </w:tcPr>
          <w:p>
            <w:pPr>
              <w:spacing w:after="0" w:line="240" w:lineRule="auto"/>
              <w:jc w:val="center"/>
            </w:pPr>
            <w:r>
              <w:rPr>
                <w:rFonts w:ascii="Arial" w:hAnsi="Arial" w:cs="Arial"/>
                <w:sz w:val="15"/>
                <w:szCs w:val="15"/>
              </w:rPr>
              <w:t xml:space="preserve">3.45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Strategic fit, +10 Cost</w:t>
            </w:r>
          </w:p>
        </w:tc>
        <w:tc>
          <w:tcPr>
            <w:tcW w:w="1000" w:type="dxa"/>
          </w:tcPr>
          <w:p>
            <w:pPr>
              <w:spacing w:after="0" w:line="240" w:lineRule="auto"/>
              <w:jc w:val="center"/>
            </w:pPr>
            <w:r>
              <w:rPr>
                <w:rFonts w:ascii="Arial" w:hAnsi="Arial" w:cs="Arial"/>
                <w:sz w:val="15"/>
                <w:szCs w:val="15"/>
              </w:rPr>
              <w:t xml:space="preserve">1.75</w:t>
            </w:r>
          </w:p>
        </w:tc>
        <w:tc>
          <w:tcPr>
            <w:tcW w:w="1000" w:type="dxa"/>
          </w:tcPr>
          <w:p>
            <w:pPr>
              <w:spacing w:after="0" w:line="240" w:lineRule="auto"/>
              <w:jc w:val="center"/>
            </w:pPr>
            <w:r>
              <w:rPr>
                <w:rFonts w:ascii="Arial" w:hAnsi="Arial" w:cs="Arial"/>
                <w:sz w:val="15"/>
                <w:szCs w:val="15"/>
              </w:rPr>
              <w:t xml:space="preserve">3.45</w:t>
            </w:r>
          </w:p>
        </w:tc>
        <w:tc>
          <w:tcPr>
            <w:tcW w:w="1000" w:type="dxa"/>
          </w:tcPr>
          <w:p>
            <w:pPr>
              <w:spacing w:after="0" w:line="240" w:lineRule="auto"/>
              <w:jc w:val="center"/>
            </w:pPr>
            <w:r>
              <w:rPr>
                <w:rFonts w:ascii="Arial" w:hAnsi="Arial" w:cs="Arial"/>
                <w:sz w:val="15"/>
                <w:szCs w:val="15"/>
              </w:rPr>
              <w:t xml:space="preserve">3.35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Strategic fit, +10 Time</w:t>
            </w:r>
          </w:p>
        </w:tc>
        <w:tc>
          <w:tcPr>
            <w:tcW w:w="1000" w:type="dxa"/>
          </w:tcPr>
          <w:p>
            <w:pPr>
              <w:spacing w:after="0" w:line="240" w:lineRule="auto"/>
              <w:jc w:val="center"/>
            </w:pPr>
            <w:r>
              <w:rPr>
                <w:rFonts w:ascii="Arial" w:hAnsi="Arial" w:cs="Arial"/>
                <w:sz w:val="15"/>
                <w:szCs w:val="15"/>
              </w:rPr>
              <w:t xml:space="preserve">1.75</w:t>
            </w:r>
          </w:p>
        </w:tc>
        <w:tc>
          <w:tcPr>
            <w:tcW w:w="1000" w:type="dxa"/>
          </w:tcPr>
          <w:p>
            <w:pPr>
              <w:spacing w:after="0" w:line="240" w:lineRule="auto"/>
              <w:jc w:val="center"/>
            </w:pPr>
            <w:r>
              <w:rPr>
                <w:rFonts w:ascii="Arial" w:hAnsi="Arial" w:cs="Arial"/>
                <w:sz w:val="15"/>
                <w:szCs w:val="15"/>
              </w:rPr>
              <w:t xml:space="preserve">3.45</w:t>
            </w:r>
          </w:p>
        </w:tc>
        <w:tc>
          <w:tcPr>
            <w:tcW w:w="1000" w:type="dxa"/>
          </w:tcPr>
          <w:p>
            <w:pPr>
              <w:spacing w:after="0" w:line="240" w:lineRule="auto"/>
              <w:jc w:val="center"/>
            </w:pPr>
            <w:r>
              <w:rPr>
                <w:rFonts w:ascii="Arial" w:hAnsi="Arial" w:cs="Arial"/>
                <w:sz w:val="15"/>
                <w:szCs w:val="15"/>
              </w:rPr>
              <w:t xml:space="preserve">3.35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Strategic fit, +10 Risk reduction</w:t>
            </w:r>
          </w:p>
        </w:tc>
        <w:tc>
          <w:tcPr>
            <w:tcW w:w="1000" w:type="dxa"/>
          </w:tcPr>
          <w:p>
            <w:pPr>
              <w:spacing w:after="0" w:line="240" w:lineRule="auto"/>
              <w:jc w:val="center"/>
            </w:pPr>
            <w:r>
              <w:rPr>
                <w:rFonts w:ascii="Arial" w:hAnsi="Arial" w:cs="Arial"/>
                <w:sz w:val="15"/>
                <w:szCs w:val="15"/>
              </w:rPr>
              <w:t xml:space="preserve">1.95</w:t>
            </w:r>
          </w:p>
        </w:tc>
        <w:tc>
          <w:tcPr>
            <w:tcW w:w="1000" w:type="dxa"/>
          </w:tcPr>
          <w:p>
            <w:pPr>
              <w:spacing w:after="0" w:line="240" w:lineRule="auto"/>
              <w:jc w:val="center"/>
            </w:pPr>
            <w:r>
              <w:rPr>
                <w:rFonts w:ascii="Arial" w:hAnsi="Arial" w:cs="Arial"/>
                <w:sz w:val="15"/>
                <w:szCs w:val="15"/>
              </w:rPr>
              <w:t xml:space="preserve">3.25</w:t>
            </w:r>
          </w:p>
        </w:tc>
        <w:tc>
          <w:tcPr>
            <w:tcW w:w="1000" w:type="dxa"/>
          </w:tcPr>
          <w:p>
            <w:pPr>
              <w:spacing w:after="0" w:line="240" w:lineRule="auto"/>
              <w:jc w:val="center"/>
            </w:pPr>
            <w:r>
              <w:rPr>
                <w:rFonts w:ascii="Arial" w:hAnsi="Arial" w:cs="Arial"/>
                <w:sz w:val="15"/>
                <w:szCs w:val="15"/>
              </w:rPr>
              <w:t xml:space="preserve">3.45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Strategic fit, +10 Feasibility</w:t>
            </w:r>
          </w:p>
        </w:tc>
        <w:tc>
          <w:tcPr>
            <w:tcW w:w="1000" w:type="dxa"/>
          </w:tcPr>
          <w:p>
            <w:pPr>
              <w:spacing w:after="0" w:line="240" w:lineRule="auto"/>
              <w:jc w:val="center"/>
            </w:pPr>
            <w:r>
              <w:rPr>
                <w:rFonts w:ascii="Arial" w:hAnsi="Arial" w:cs="Arial"/>
                <w:sz w:val="15"/>
                <w:szCs w:val="15"/>
              </w:rPr>
              <w:t xml:space="preserve">1.85</w:t>
            </w:r>
          </w:p>
        </w:tc>
        <w:tc>
          <w:tcPr>
            <w:tcW w:w="1000" w:type="dxa"/>
          </w:tcPr>
          <w:p>
            <w:pPr>
              <w:spacing w:after="0" w:line="240" w:lineRule="auto"/>
              <w:jc w:val="center"/>
            </w:pPr>
            <w:r>
              <w:rPr>
                <w:rFonts w:ascii="Arial" w:hAnsi="Arial" w:cs="Arial"/>
                <w:sz w:val="15"/>
                <w:szCs w:val="15"/>
              </w:rPr>
              <w:t xml:space="preserve">3.45</w:t>
            </w:r>
          </w:p>
        </w:tc>
        <w:tc>
          <w:tcPr>
            <w:tcW w:w="1000" w:type="dxa"/>
          </w:tcPr>
          <w:p>
            <w:pPr>
              <w:spacing w:after="0" w:line="240" w:lineRule="auto"/>
              <w:jc w:val="center"/>
            </w:pPr>
            <w:r>
              <w:rPr>
                <w:rFonts w:ascii="Arial" w:hAnsi="Arial" w:cs="Arial"/>
                <w:sz w:val="15"/>
                <w:szCs w:val="15"/>
              </w:rPr>
              <w:t xml:space="preserve">3.35</w:t>
            </w:r>
          </w:p>
        </w:tc>
        <w:tc>
          <w:tcPr>
            <w:tcW w:w="1826" w:type="dxa"/>
          </w:tcPr>
          <w:p>
            <w:pPr>
              <w:spacing w:after="0" w:line="240" w:lineRule="auto"/>
              <w:jc w:val="center"/>
            </w:pPr>
            <w:r>
              <w:rPr>
                <w:rFonts w:ascii="Arial" w:hAnsi="Arial" w:cs="Arial"/>
                <w:sz w:val="15"/>
                <w:szCs w:val="15"/>
              </w:rPr>
              <w:t xml:space="preserve">B</w:t>
            </w:r>
          </w:p>
        </w:tc>
      </w:tr>
      <w:tr>
        <w:trPr>
          <w:cantSplit/>
        </w:trPr>
        <w:tc>
          <w:tcPr>
            <w:tcW w:w="4200" w:type="dxa"/>
          </w:tcPr>
          <w:p>
            <w:pPr>
              <w:spacing w:after="0" w:line="240" w:lineRule="auto"/>
              <w:jc w:val="left"/>
            </w:pPr>
            <w:r>
              <w:rPr>
                <w:rFonts w:ascii="Arial" w:hAnsi="Arial" w:cs="Arial"/>
                <w:sz w:val="15"/>
                <w:szCs w:val="15"/>
              </w:rPr>
              <w:t xml:space="preserve">-10 Feasibility, +10 Cost</w:t>
            </w:r>
          </w:p>
        </w:tc>
        <w:tc>
          <w:tcPr>
            <w:tcW w:w="1000" w:type="dxa"/>
          </w:tcPr>
          <w:p>
            <w:pPr>
              <w:spacing w:after="0" w:line="240" w:lineRule="auto"/>
              <w:jc w:val="center"/>
            </w:pPr>
            <w:r>
              <w:rPr>
                <w:rFonts w:ascii="Arial" w:hAnsi="Arial" w:cs="Arial"/>
                <w:sz w:val="15"/>
                <w:szCs w:val="15"/>
              </w:rPr>
              <w:t xml:space="preserve">1.85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Feasibility, +10 Time</w:t>
            </w:r>
          </w:p>
        </w:tc>
        <w:tc>
          <w:tcPr>
            <w:tcW w:w="1000" w:type="dxa"/>
          </w:tcPr>
          <w:p>
            <w:pPr>
              <w:spacing w:after="0" w:line="240" w:lineRule="auto"/>
              <w:jc w:val="center"/>
            </w:pPr>
            <w:r>
              <w:rPr>
                <w:rFonts w:ascii="Arial" w:hAnsi="Arial" w:cs="Arial"/>
                <w:sz w:val="15"/>
                <w:szCs w:val="15"/>
              </w:rPr>
              <w:t xml:space="preserve">1.85</w:t>
            </w:r>
          </w:p>
        </w:tc>
        <w:tc>
          <w:tcPr>
            <w:tcW w:w="1000" w:type="dxa"/>
          </w:tcPr>
          <w:p>
            <w:pPr>
              <w:spacing w:after="0" w:line="240" w:lineRule="auto"/>
              <w:jc w:val="center"/>
            </w:pPr>
            <w:r>
              <w:rPr>
                <w:rFonts w:ascii="Arial" w:hAnsi="Arial" w:cs="Arial"/>
                <w:sz w:val="15"/>
                <w:szCs w:val="15"/>
              </w:rPr>
              <w:t xml:space="preserve">3.35</w:t>
            </w:r>
          </w:p>
        </w:tc>
        <w:tc>
          <w:tcPr>
            <w:tcW w:w="1000" w:type="dxa"/>
          </w:tcPr>
          <w:p>
            <w:pPr>
              <w:spacing w:after="0" w:line="240" w:lineRule="auto"/>
              <w:jc w:val="center"/>
            </w:pPr>
            <w:r>
              <w:rPr>
                <w:rFonts w:ascii="Arial" w:hAnsi="Arial" w:cs="Arial"/>
                <w:sz w:val="15"/>
                <w:szCs w:val="15"/>
              </w:rPr>
              <w:t xml:space="preserve">3.55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Feasibility, +10 Risk reduction</w:t>
            </w:r>
          </w:p>
        </w:tc>
        <w:tc>
          <w:tcPr>
            <w:tcW w:w="1000" w:type="dxa"/>
          </w:tcPr>
          <w:p>
            <w:pPr>
              <w:spacing w:after="0" w:line="240" w:lineRule="auto"/>
              <w:jc w:val="center"/>
            </w:pPr>
            <w:r>
              <w:rPr>
                <w:rFonts w:ascii="Arial" w:hAnsi="Arial" w:cs="Arial"/>
                <w:sz w:val="15"/>
                <w:szCs w:val="15"/>
              </w:rPr>
              <w:t xml:space="preserve">2.05</w:t>
            </w:r>
          </w:p>
        </w:tc>
        <w:tc>
          <w:tcPr>
            <w:tcW w:w="1000" w:type="dxa"/>
          </w:tcPr>
          <w:p>
            <w:pPr>
              <w:spacing w:after="0" w:line="240" w:lineRule="auto"/>
              <w:jc w:val="center"/>
            </w:pPr>
            <w:r>
              <w:rPr>
                <w:rFonts w:ascii="Arial" w:hAnsi="Arial" w:cs="Arial"/>
                <w:sz w:val="15"/>
                <w:szCs w:val="15"/>
              </w:rPr>
              <w:t xml:space="preserve">3.15</w:t>
            </w:r>
          </w:p>
        </w:tc>
        <w:tc>
          <w:tcPr>
            <w:tcW w:w="1000" w:type="dxa"/>
          </w:tcPr>
          <w:p>
            <w:pPr>
              <w:spacing w:after="0" w:line="240" w:lineRule="auto"/>
              <w:jc w:val="center"/>
            </w:pPr>
            <w:r>
              <w:rPr>
                <w:rFonts w:ascii="Arial" w:hAnsi="Arial" w:cs="Arial"/>
                <w:sz w:val="15"/>
                <w:szCs w:val="15"/>
              </w:rPr>
              <w:t xml:space="preserve">3.65</w:t>
            </w:r>
          </w:p>
        </w:tc>
        <w:tc>
          <w:tcPr>
            <w:tcW w:w="1826" w:type="dxa"/>
          </w:tcPr>
          <w:p>
            <w:pPr>
              <w:spacing w:after="0" w:line="240" w:lineRule="auto"/>
              <w:jc w:val="center"/>
            </w:pPr>
            <w:r>
              <w:rPr>
                <w:rFonts w:ascii="Arial" w:hAnsi="Arial" w:cs="Arial"/>
                <w:sz w:val="15"/>
                <w:szCs w:val="15"/>
              </w:rPr>
              <w:t xml:space="preserve">C</w:t>
            </w:r>
          </w:p>
        </w:tc>
      </w:tr>
      <w:tr>
        <w:trPr>
          <w:cantSplit/>
        </w:trPr>
        <w:tc>
          <w:tcPr>
            <w:tcW w:w="4200" w:type="dxa"/>
          </w:tcPr>
          <w:p>
            <w:pPr>
              <w:spacing w:after="0" w:line="240" w:lineRule="auto"/>
              <w:jc w:val="left"/>
            </w:pPr>
            <w:r>
              <w:rPr>
                <w:rFonts w:ascii="Arial" w:hAnsi="Arial" w:cs="Arial"/>
                <w:sz w:val="15"/>
                <w:szCs w:val="15"/>
              </w:rPr>
              <w:t xml:space="preserve">-10 Feasibility, +10 Strategic fit</w:t>
            </w:r>
          </w:p>
        </w:tc>
        <w:tc>
          <w:tcPr>
            <w:tcW w:w="1000" w:type="dxa"/>
          </w:tcPr>
          <w:p>
            <w:pPr>
              <w:spacing w:after="0" w:line="240" w:lineRule="auto"/>
              <w:jc w:val="center"/>
            </w:pPr>
            <w:r>
              <w:rPr>
                <w:rFonts w:ascii="Arial" w:hAnsi="Arial" w:cs="Arial"/>
                <w:sz w:val="15"/>
                <w:szCs w:val="15"/>
              </w:rPr>
              <w:t xml:space="preserve">2.05</w:t>
            </w:r>
          </w:p>
        </w:tc>
        <w:tc>
          <w:tcPr>
            <w:tcW w:w="1000" w:type="dxa"/>
          </w:tcPr>
          <w:p>
            <w:pPr>
              <w:spacing w:after="0" w:line="240" w:lineRule="auto"/>
              <w:jc w:val="center"/>
            </w:pPr>
            <w:r>
              <w:rPr>
                <w:rFonts w:ascii="Arial" w:hAnsi="Arial" w:cs="Arial"/>
                <w:sz w:val="15"/>
                <w:szCs w:val="15"/>
              </w:rPr>
              <w:t xml:space="preserve">3.25</w:t>
            </w:r>
          </w:p>
        </w:tc>
        <w:tc>
          <w:tcPr>
            <w:tcW w:w="1000" w:type="dxa"/>
          </w:tcPr>
          <w:p>
            <w:pPr>
              <w:spacing w:after="0" w:line="240" w:lineRule="auto"/>
              <w:jc w:val="center"/>
            </w:pPr>
            <w:r>
              <w:rPr>
                <w:rFonts w:ascii="Arial" w:hAnsi="Arial" w:cs="Arial"/>
                <w:sz w:val="15"/>
                <w:szCs w:val="15"/>
              </w:rPr>
              <w:t xml:space="preserve">3.75</w:t>
            </w:r>
          </w:p>
        </w:tc>
        <w:tc>
          <w:tcPr>
            <w:tcW w:w="1826" w:type="dxa"/>
          </w:tcPr>
          <w:p>
            <w:pPr>
              <w:spacing w:after="0" w:line="240" w:lineRule="auto"/>
              <w:jc w:val="center"/>
            </w:pPr>
            <w:r>
              <w:rPr>
                <w:rFonts w:ascii="Arial" w:hAnsi="Arial" w:cs="Arial"/>
                <w:sz w:val="15"/>
                <w:szCs w:val="15"/>
              </w:rPr>
              <w:t xml:space="preserve">C</w:t>
            </w:r>
          </w:p>
        </w:tc>
      </w:tr>
    </w:tbl>
    <w:p>
      <w:pPr>
        <w:pStyle w:val="NoSpacing"/>
        <w:spacing w:after="120"/>
      </w:pPr>
    </w:p>
    <w:p>
      <w:pPr>
        <w:pStyle w:val="NoSpacing"/>
        <w:keepNext/>
        <w:spacing w:after="120"/>
      </w:pPr>
      <w:r>
        <w:rPr>
          <w:rFonts w:ascii="Arial" w:hAnsi="Arial" w:cs="Arial"/>
          <w:b/>
        </w:rPr>
        <w:t xml:space="preserve">Appendix E: Cost breakdown by work package (EUR thousand, planning assumptions)</w:t>
      </w:r>
    </w:p>
    <w:p>
      <w:pPr>
        <w:pStyle w:val="NoSpacing"/>
        <w:spacing w:after="120"/>
        <w:jc w:val="left"/>
      </w:pPr>
      <w:r>
        <w:rPr>
          <w:rFonts w:ascii="Arial" w:hAnsi="Arial" w:cs="Arial"/>
          <w:sz w:val="18"/>
          <w:szCs w:val="18"/>
        </w:rPr>
        <w:t xml:space="preserve">Costs are illustrative estimates, not Adidas data. Work package 1.3 contains the EUR 1,000k contingency reserve and EUR 200k of review effort. Cost benchmarks for platform licensing and audit fees should be replaced with vendor quotations.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800"/>
        <w:gridCol w:w="6200"/>
        <w:gridCol w:w="2026"/>
      </w:tblGrid>
      <w:tr>
        <w:trPr>
          <w:cantSplit/>
          <w:tblHeader/>
        </w:trPr>
        <w:tc>
          <w:tcPr>
            <w:tcW w:w="800" w:type="dxa"/>
            <w:shd w:val="clear" w:color="auto" w:fill="D9D9D9"/>
          </w:tcPr>
          <w:p>
            <w:pPr>
              <w:spacing w:after="0" w:line="240" w:lineRule="auto"/>
              <w:jc w:val="left"/>
            </w:pPr>
            <w:r>
              <w:rPr>
                <w:rFonts w:ascii="Arial" w:hAnsi="Arial" w:cs="Arial"/>
                <w:b/>
                <w:sz w:val="15"/>
                <w:szCs w:val="15"/>
              </w:rPr>
              <w:t xml:space="preserve">ID</w:t>
            </w:r>
          </w:p>
        </w:tc>
        <w:tc>
          <w:tcPr>
            <w:tcW w:w="6200" w:type="dxa"/>
            <w:shd w:val="clear" w:color="auto" w:fill="D9D9D9"/>
          </w:tcPr>
          <w:p>
            <w:pPr>
              <w:spacing w:after="0" w:line="240" w:lineRule="auto"/>
              <w:jc w:val="left"/>
            </w:pPr>
            <w:r>
              <w:rPr>
                <w:rFonts w:ascii="Arial" w:hAnsi="Arial" w:cs="Arial"/>
                <w:b/>
                <w:sz w:val="15"/>
                <w:szCs w:val="15"/>
              </w:rPr>
              <w:t xml:space="preserve">Work package</w:t>
            </w:r>
          </w:p>
        </w:tc>
        <w:tc>
          <w:tcPr>
            <w:tcW w:w="2026" w:type="dxa"/>
            <w:shd w:val="clear" w:color="auto" w:fill="D9D9D9"/>
          </w:tcPr>
          <w:p>
            <w:pPr>
              <w:spacing w:after="0" w:line="240" w:lineRule="auto"/>
              <w:jc w:val="right"/>
            </w:pPr>
            <w:r>
              <w:rPr>
                <w:rFonts w:ascii="Arial" w:hAnsi="Arial" w:cs="Arial"/>
                <w:b/>
                <w:sz w:val="15"/>
                <w:szCs w:val="15"/>
              </w:rPr>
              <w:t xml:space="preserve">Cost (EUR k)</w:t>
            </w:r>
          </w:p>
        </w:tc>
      </w:tr>
      <w:tr>
        <w:trPr>
          <w:cantSplit/>
        </w:trPr>
        <w:tc>
          <w:tcPr>
            <w:tcW w:w="800" w:type="dxa"/>
          </w:tcPr>
          <w:p>
            <w:pPr>
              <w:spacing w:after="0" w:line="240" w:lineRule="auto"/>
              <w:jc w:val="left"/>
            </w:pPr>
            <w:r>
              <w:rPr>
                <w:rFonts w:ascii="Arial" w:hAnsi="Arial" w:cs="Arial"/>
                <w:sz w:val="15"/>
                <w:szCs w:val="15"/>
              </w:rPr>
              <w:t xml:space="preserve">1.1</w:t>
            </w:r>
          </w:p>
        </w:tc>
        <w:tc>
          <w:tcPr>
            <w:tcW w:w="6200" w:type="dxa"/>
          </w:tcPr>
          <w:p>
            <w:pPr>
              <w:spacing w:after="0" w:line="240" w:lineRule="auto"/>
              <w:jc w:val="left"/>
            </w:pPr>
            <w:r>
              <w:rPr>
                <w:rFonts w:ascii="Arial" w:hAnsi="Arial" w:cs="Arial"/>
                <w:sz w:val="15"/>
                <w:szCs w:val="15"/>
              </w:rPr>
              <w:t xml:space="preserve">Charter and steering committee</w:t>
            </w:r>
          </w:p>
        </w:tc>
        <w:tc>
          <w:tcPr>
            <w:tcW w:w="2026" w:type="dxa"/>
          </w:tcPr>
          <w:p>
            <w:pPr>
              <w:spacing w:after="0" w:line="240" w:lineRule="auto"/>
              <w:jc w:val="right"/>
            </w:pPr>
            <w:r>
              <w:rPr>
                <w:rFonts w:ascii="Arial" w:hAnsi="Arial" w:cs="Arial"/>
                <w:sz w:val="15"/>
                <w:szCs w:val="15"/>
              </w:rPr>
              <w:t xml:space="preserve">150</w:t>
            </w:r>
          </w:p>
        </w:tc>
      </w:tr>
      <w:tr>
        <w:trPr>
          <w:cantSplit/>
        </w:trPr>
        <w:tc>
          <w:tcPr>
            <w:tcW w:w="800" w:type="dxa"/>
          </w:tcPr>
          <w:p>
            <w:pPr>
              <w:spacing w:after="0" w:line="240" w:lineRule="auto"/>
              <w:jc w:val="left"/>
            </w:pPr>
            <w:r>
              <w:rPr>
                <w:rFonts w:ascii="Arial" w:hAnsi="Arial" w:cs="Arial"/>
                <w:sz w:val="15"/>
                <w:szCs w:val="15"/>
              </w:rPr>
              <w:t xml:space="preserve">1.2</w:t>
            </w:r>
          </w:p>
        </w:tc>
        <w:tc>
          <w:tcPr>
            <w:tcW w:w="6200" w:type="dxa"/>
          </w:tcPr>
          <w:p>
            <w:pPr>
              <w:spacing w:after="0" w:line="240" w:lineRule="auto"/>
              <w:jc w:val="left"/>
            </w:pPr>
            <w:r>
              <w:rPr>
                <w:rFonts w:ascii="Arial" w:hAnsi="Arial" w:cs="Arial"/>
                <w:sz w:val="15"/>
                <w:szCs w:val="15"/>
              </w:rPr>
              <w:t xml:space="preserve">Stakeholder and communication plan</w:t>
            </w:r>
          </w:p>
        </w:tc>
        <w:tc>
          <w:tcPr>
            <w:tcW w:w="2026" w:type="dxa"/>
          </w:tcPr>
          <w:p>
            <w:pPr>
              <w:spacing w:after="0" w:line="240" w:lineRule="auto"/>
              <w:jc w:val="right"/>
            </w:pPr>
            <w:r>
              <w:rPr>
                <w:rFonts w:ascii="Arial" w:hAnsi="Arial" w:cs="Arial"/>
                <w:sz w:val="15"/>
                <w:szCs w:val="15"/>
              </w:rPr>
              <w:t xml:space="preserve">200</w:t>
            </w:r>
          </w:p>
        </w:tc>
      </w:tr>
      <w:tr>
        <w:trPr>
          <w:cantSplit/>
        </w:trPr>
        <w:tc>
          <w:tcPr>
            <w:tcW w:w="800" w:type="dxa"/>
          </w:tcPr>
          <w:p>
            <w:pPr>
              <w:spacing w:after="0" w:line="240" w:lineRule="auto"/>
              <w:jc w:val="left"/>
            </w:pPr>
            <w:r>
              <w:rPr>
                <w:rFonts w:ascii="Arial" w:hAnsi="Arial" w:cs="Arial"/>
                <w:sz w:val="15"/>
                <w:szCs w:val="15"/>
              </w:rPr>
              <w:t xml:space="preserve">1.3</w:t>
            </w:r>
          </w:p>
        </w:tc>
        <w:tc>
          <w:tcPr>
            <w:tcW w:w="6200" w:type="dxa"/>
          </w:tcPr>
          <w:p>
            <w:pPr>
              <w:spacing w:after="0" w:line="240" w:lineRule="auto"/>
              <w:jc w:val="left"/>
            </w:pPr>
            <w:r>
              <w:rPr>
                <w:rFonts w:ascii="Arial" w:hAnsi="Arial" w:cs="Arial"/>
                <w:sz w:val="15"/>
                <w:szCs w:val="15"/>
              </w:rPr>
              <w:t xml:space="preserve">Risk management and reserve</w:t>
            </w:r>
          </w:p>
        </w:tc>
        <w:tc>
          <w:tcPr>
            <w:tcW w:w="2026" w:type="dxa"/>
          </w:tcPr>
          <w:p>
            <w:pPr>
              <w:spacing w:after="0" w:line="240" w:lineRule="auto"/>
              <w:jc w:val="right"/>
            </w:pPr>
            <w:r>
              <w:rPr>
                <w:rFonts w:ascii="Arial" w:hAnsi="Arial" w:cs="Arial"/>
                <w:sz w:val="15"/>
                <w:szCs w:val="15"/>
              </w:rPr>
              <w:t xml:space="preserve">1,200</w:t>
            </w:r>
          </w:p>
        </w:tc>
      </w:tr>
      <w:tr>
        <w:trPr>
          <w:cantSplit/>
        </w:trPr>
        <w:tc>
          <w:tcPr>
            <w:tcW w:w="800" w:type="dxa"/>
          </w:tcPr>
          <w:p>
            <w:pPr>
              <w:spacing w:after="0" w:line="240" w:lineRule="auto"/>
              <w:jc w:val="left"/>
            </w:pPr>
            <w:r>
              <w:rPr>
                <w:rFonts w:ascii="Arial" w:hAnsi="Arial" w:cs="Arial"/>
                <w:sz w:val="15"/>
                <w:szCs w:val="15"/>
              </w:rPr>
              <w:t xml:space="preserve">1.4</w:t>
            </w:r>
          </w:p>
        </w:tc>
        <w:tc>
          <w:tcPr>
            <w:tcW w:w="6200" w:type="dxa"/>
          </w:tcPr>
          <w:p>
            <w:pPr>
              <w:spacing w:after="0" w:line="240" w:lineRule="auto"/>
              <w:jc w:val="left"/>
            </w:pPr>
            <w:r>
              <w:rPr>
                <w:rFonts w:ascii="Arial" w:hAnsi="Arial" w:cs="Arial"/>
                <w:sz w:val="15"/>
                <w:szCs w:val="15"/>
              </w:rPr>
              <w:t xml:space="preserve">Benefits tracking and close-out</w:t>
            </w:r>
          </w:p>
        </w:tc>
        <w:tc>
          <w:tcPr>
            <w:tcW w:w="2026" w:type="dxa"/>
          </w:tcPr>
          <w:p>
            <w:pPr>
              <w:spacing w:after="0" w:line="240" w:lineRule="auto"/>
              <w:jc w:val="right"/>
            </w:pPr>
            <w:r>
              <w:rPr>
                <w:rFonts w:ascii="Arial" w:hAnsi="Arial" w:cs="Arial"/>
                <w:sz w:val="15"/>
                <w:szCs w:val="15"/>
              </w:rPr>
              <w:t xml:space="preserve">150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1 Programme governance</w:t>
            </w:r>
          </w:p>
        </w:tc>
        <w:tc>
          <w:tcPr>
            <w:tcW w:w="2026" w:type="dxa"/>
          </w:tcPr>
          <w:p>
            <w:pPr>
              <w:spacing w:after="0" w:line="240" w:lineRule="auto"/>
              <w:jc w:val="right"/>
            </w:pPr>
            <w:r>
              <w:rPr>
                <w:rFonts w:ascii="Arial" w:hAnsi="Arial" w:cs="Arial"/>
                <w:sz w:val="15"/>
                <w:szCs w:val="15"/>
              </w:rPr>
              <w:t xml:space="preserve">1,700</w:t>
            </w:r>
          </w:p>
        </w:tc>
      </w:tr>
      <w:tr>
        <w:trPr>
          <w:cantSplit/>
        </w:trPr>
        <w:tc>
          <w:tcPr>
            <w:tcW w:w="800" w:type="dxa"/>
          </w:tcPr>
          <w:p>
            <w:pPr>
              <w:spacing w:after="0" w:line="240" w:lineRule="auto"/>
              <w:jc w:val="left"/>
            </w:pPr>
            <w:r>
              <w:rPr>
                <w:rFonts w:ascii="Arial" w:hAnsi="Arial" w:cs="Arial"/>
                <w:sz w:val="15"/>
                <w:szCs w:val="15"/>
              </w:rPr>
              <w:t xml:space="preserve">2.1</w:t>
            </w:r>
          </w:p>
        </w:tc>
        <w:tc>
          <w:tcPr>
            <w:tcW w:w="6200" w:type="dxa"/>
          </w:tcPr>
          <w:p>
            <w:pPr>
              <w:spacing w:after="0" w:line="240" w:lineRule="auto"/>
              <w:jc w:val="left"/>
            </w:pPr>
            <w:r>
              <w:rPr>
                <w:rFonts w:ascii="Arial" w:hAnsi="Arial" w:cs="Arial"/>
                <w:sz w:val="15"/>
                <w:szCs w:val="15"/>
              </w:rPr>
              <w:t xml:space="preserve">Requirements and vendor selection</w:t>
            </w:r>
          </w:p>
        </w:tc>
        <w:tc>
          <w:tcPr>
            <w:tcW w:w="2026" w:type="dxa"/>
          </w:tcPr>
          <w:p>
            <w:pPr>
              <w:spacing w:after="0" w:line="240" w:lineRule="auto"/>
              <w:jc w:val="right"/>
            </w:pPr>
            <w:r>
              <w:rPr>
                <w:rFonts w:ascii="Arial" w:hAnsi="Arial" w:cs="Arial"/>
                <w:sz w:val="15"/>
                <w:szCs w:val="15"/>
              </w:rPr>
              <w:t xml:space="preserve">300</w:t>
            </w:r>
          </w:p>
        </w:tc>
      </w:tr>
      <w:tr>
        <w:trPr>
          <w:cantSplit/>
        </w:trPr>
        <w:tc>
          <w:tcPr>
            <w:tcW w:w="800" w:type="dxa"/>
          </w:tcPr>
          <w:p>
            <w:pPr>
              <w:spacing w:after="0" w:line="240" w:lineRule="auto"/>
              <w:jc w:val="left"/>
            </w:pPr>
            <w:r>
              <w:rPr>
                <w:rFonts w:ascii="Arial" w:hAnsi="Arial" w:cs="Arial"/>
                <w:sz w:val="15"/>
                <w:szCs w:val="15"/>
              </w:rPr>
              <w:t xml:space="preserve">2.2</w:t>
            </w:r>
          </w:p>
        </w:tc>
        <w:tc>
          <w:tcPr>
            <w:tcW w:w="6200" w:type="dxa"/>
          </w:tcPr>
          <w:p>
            <w:pPr>
              <w:spacing w:after="0" w:line="240" w:lineRule="auto"/>
              <w:jc w:val="left"/>
            </w:pPr>
            <w:r>
              <w:rPr>
                <w:rFonts w:ascii="Arial" w:hAnsi="Arial" w:cs="Arial"/>
                <w:sz w:val="15"/>
                <w:szCs w:val="15"/>
              </w:rPr>
              <w:t xml:space="preserve">Platform configuration and integration</w:t>
            </w:r>
          </w:p>
        </w:tc>
        <w:tc>
          <w:tcPr>
            <w:tcW w:w="2026" w:type="dxa"/>
          </w:tcPr>
          <w:p>
            <w:pPr>
              <w:spacing w:after="0" w:line="240" w:lineRule="auto"/>
              <w:jc w:val="right"/>
            </w:pPr>
            <w:r>
              <w:rPr>
                <w:rFonts w:ascii="Arial" w:hAnsi="Arial" w:cs="Arial"/>
                <w:sz w:val="15"/>
                <w:szCs w:val="15"/>
              </w:rPr>
              <w:t xml:space="preserve">2,000</w:t>
            </w:r>
          </w:p>
        </w:tc>
      </w:tr>
      <w:tr>
        <w:trPr>
          <w:cantSplit/>
        </w:trPr>
        <w:tc>
          <w:tcPr>
            <w:tcW w:w="800" w:type="dxa"/>
          </w:tcPr>
          <w:p>
            <w:pPr>
              <w:spacing w:after="0" w:line="240" w:lineRule="auto"/>
              <w:jc w:val="left"/>
            </w:pPr>
            <w:r>
              <w:rPr>
                <w:rFonts w:ascii="Arial" w:hAnsi="Arial" w:cs="Arial"/>
                <w:sz w:val="15"/>
                <w:szCs w:val="15"/>
              </w:rPr>
              <w:t xml:space="preserve">2.3</w:t>
            </w:r>
          </w:p>
        </w:tc>
        <w:tc>
          <w:tcPr>
            <w:tcW w:w="6200" w:type="dxa"/>
          </w:tcPr>
          <w:p>
            <w:pPr>
              <w:spacing w:after="0" w:line="240" w:lineRule="auto"/>
              <w:jc w:val="left"/>
            </w:pPr>
            <w:r>
              <w:rPr>
                <w:rFonts w:ascii="Arial" w:hAnsi="Arial" w:cs="Arial"/>
                <w:sz w:val="15"/>
                <w:szCs w:val="15"/>
              </w:rPr>
              <w:t xml:space="preserve">Tier 1 data onboarding</w:t>
            </w:r>
          </w:p>
        </w:tc>
        <w:tc>
          <w:tcPr>
            <w:tcW w:w="2026" w:type="dxa"/>
          </w:tcPr>
          <w:p>
            <w:pPr>
              <w:spacing w:after="0" w:line="240" w:lineRule="auto"/>
              <w:jc w:val="right"/>
            </w:pPr>
            <w:r>
              <w:rPr>
                <w:rFonts w:ascii="Arial" w:hAnsi="Arial" w:cs="Arial"/>
                <w:sz w:val="15"/>
                <w:szCs w:val="15"/>
              </w:rPr>
              <w:t xml:space="preserve">900</w:t>
            </w:r>
          </w:p>
        </w:tc>
      </w:tr>
      <w:tr>
        <w:trPr>
          <w:cantSplit/>
        </w:trPr>
        <w:tc>
          <w:tcPr>
            <w:tcW w:w="800" w:type="dxa"/>
          </w:tcPr>
          <w:p>
            <w:pPr>
              <w:spacing w:after="0" w:line="240" w:lineRule="auto"/>
              <w:jc w:val="left"/>
            </w:pPr>
            <w:r>
              <w:rPr>
                <w:rFonts w:ascii="Arial" w:hAnsi="Arial" w:cs="Arial"/>
                <w:sz w:val="15"/>
                <w:szCs w:val="15"/>
              </w:rPr>
              <w:t xml:space="preserve">2.4</w:t>
            </w:r>
          </w:p>
        </w:tc>
        <w:tc>
          <w:tcPr>
            <w:tcW w:w="6200" w:type="dxa"/>
          </w:tcPr>
          <w:p>
            <w:pPr>
              <w:spacing w:after="0" w:line="240" w:lineRule="auto"/>
              <w:jc w:val="left"/>
            </w:pPr>
            <w:r>
              <w:rPr>
                <w:rFonts w:ascii="Arial" w:hAnsi="Arial" w:cs="Arial"/>
                <w:sz w:val="15"/>
                <w:szCs w:val="15"/>
              </w:rPr>
              <w:t xml:space="preserve">Tier 2 mill mapping</w:t>
            </w:r>
          </w:p>
        </w:tc>
        <w:tc>
          <w:tcPr>
            <w:tcW w:w="2026" w:type="dxa"/>
          </w:tcPr>
          <w:p>
            <w:pPr>
              <w:spacing w:after="0" w:line="240" w:lineRule="auto"/>
              <w:jc w:val="right"/>
            </w:pPr>
            <w:r>
              <w:rPr>
                <w:rFonts w:ascii="Arial" w:hAnsi="Arial" w:cs="Arial"/>
                <w:sz w:val="15"/>
                <w:szCs w:val="15"/>
              </w:rPr>
              <w:t xml:space="preserve">1,100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2 Multi-tier visibility platform</w:t>
            </w:r>
          </w:p>
        </w:tc>
        <w:tc>
          <w:tcPr>
            <w:tcW w:w="2026" w:type="dxa"/>
          </w:tcPr>
          <w:p>
            <w:pPr>
              <w:spacing w:after="0" w:line="240" w:lineRule="auto"/>
              <w:jc w:val="right"/>
            </w:pPr>
            <w:r>
              <w:rPr>
                <w:rFonts w:ascii="Arial" w:hAnsi="Arial" w:cs="Arial"/>
                <w:sz w:val="15"/>
                <w:szCs w:val="15"/>
              </w:rPr>
              <w:t xml:space="preserve">4,300</w:t>
            </w:r>
          </w:p>
        </w:tc>
      </w:tr>
      <w:tr>
        <w:trPr>
          <w:cantSplit/>
        </w:trPr>
        <w:tc>
          <w:tcPr>
            <w:tcW w:w="800" w:type="dxa"/>
          </w:tcPr>
          <w:p>
            <w:pPr>
              <w:spacing w:after="0" w:line="240" w:lineRule="auto"/>
              <w:jc w:val="left"/>
            </w:pPr>
            <w:r>
              <w:rPr>
                <w:rFonts w:ascii="Arial" w:hAnsi="Arial" w:cs="Arial"/>
                <w:sz w:val="15"/>
                <w:szCs w:val="15"/>
              </w:rPr>
              <w:t xml:space="preserve">3.1</w:t>
            </w:r>
          </w:p>
        </w:tc>
        <w:tc>
          <w:tcPr>
            <w:tcW w:w="6200" w:type="dxa"/>
          </w:tcPr>
          <w:p>
            <w:pPr>
              <w:spacing w:after="0" w:line="240" w:lineRule="auto"/>
              <w:jc w:val="left"/>
            </w:pPr>
            <w:r>
              <w:rPr>
                <w:rFonts w:ascii="Arial" w:hAnsi="Arial" w:cs="Arial"/>
                <w:sz w:val="15"/>
                <w:szCs w:val="15"/>
              </w:rPr>
              <w:t xml:space="preserve">Candidate factory selection</w:t>
            </w:r>
          </w:p>
        </w:tc>
        <w:tc>
          <w:tcPr>
            <w:tcW w:w="2026" w:type="dxa"/>
          </w:tcPr>
          <w:p>
            <w:pPr>
              <w:spacing w:after="0" w:line="240" w:lineRule="auto"/>
              <w:jc w:val="right"/>
            </w:pPr>
            <w:r>
              <w:rPr>
                <w:rFonts w:ascii="Arial" w:hAnsi="Arial" w:cs="Arial"/>
                <w:sz w:val="15"/>
                <w:szCs w:val="15"/>
              </w:rPr>
              <w:t xml:space="preserve">200</w:t>
            </w:r>
          </w:p>
        </w:tc>
      </w:tr>
      <w:tr>
        <w:trPr>
          <w:cantSplit/>
        </w:trPr>
        <w:tc>
          <w:tcPr>
            <w:tcW w:w="800" w:type="dxa"/>
          </w:tcPr>
          <w:p>
            <w:pPr>
              <w:spacing w:after="0" w:line="240" w:lineRule="auto"/>
              <w:jc w:val="left"/>
            </w:pPr>
            <w:r>
              <w:rPr>
                <w:rFonts w:ascii="Arial" w:hAnsi="Arial" w:cs="Arial"/>
                <w:sz w:val="15"/>
                <w:szCs w:val="15"/>
              </w:rPr>
              <w:t xml:space="preserve">3.2</w:t>
            </w:r>
          </w:p>
        </w:tc>
        <w:tc>
          <w:tcPr>
            <w:tcW w:w="6200" w:type="dxa"/>
          </w:tcPr>
          <w:p>
            <w:pPr>
              <w:spacing w:after="0" w:line="240" w:lineRule="auto"/>
              <w:jc w:val="left"/>
            </w:pPr>
            <w:r>
              <w:rPr>
                <w:rFonts w:ascii="Arial" w:hAnsi="Arial" w:cs="Arial"/>
                <w:sz w:val="15"/>
                <w:szCs w:val="15"/>
              </w:rPr>
              <w:t xml:space="preserve">HREDD audits</w:t>
            </w:r>
          </w:p>
        </w:tc>
        <w:tc>
          <w:tcPr>
            <w:tcW w:w="2026" w:type="dxa"/>
          </w:tcPr>
          <w:p>
            <w:pPr>
              <w:spacing w:after="0" w:line="240" w:lineRule="auto"/>
              <w:jc w:val="right"/>
            </w:pPr>
            <w:r>
              <w:rPr>
                <w:rFonts w:ascii="Arial" w:hAnsi="Arial" w:cs="Arial"/>
                <w:sz w:val="15"/>
                <w:szCs w:val="15"/>
              </w:rPr>
              <w:t xml:space="preserve">700</w:t>
            </w:r>
          </w:p>
        </w:tc>
      </w:tr>
      <w:tr>
        <w:trPr>
          <w:cantSplit/>
        </w:trPr>
        <w:tc>
          <w:tcPr>
            <w:tcW w:w="800" w:type="dxa"/>
          </w:tcPr>
          <w:p>
            <w:pPr>
              <w:spacing w:after="0" w:line="240" w:lineRule="auto"/>
              <w:jc w:val="left"/>
            </w:pPr>
            <w:r>
              <w:rPr>
                <w:rFonts w:ascii="Arial" w:hAnsi="Arial" w:cs="Arial"/>
                <w:sz w:val="15"/>
                <w:szCs w:val="15"/>
              </w:rPr>
              <w:t xml:space="preserve">3.3</w:t>
            </w:r>
          </w:p>
        </w:tc>
        <w:tc>
          <w:tcPr>
            <w:tcW w:w="6200" w:type="dxa"/>
          </w:tcPr>
          <w:p>
            <w:pPr>
              <w:spacing w:after="0" w:line="240" w:lineRule="auto"/>
              <w:jc w:val="left"/>
            </w:pPr>
            <w:r>
              <w:rPr>
                <w:rFonts w:ascii="Arial" w:hAnsi="Arial" w:cs="Arial"/>
                <w:sz w:val="15"/>
                <w:szCs w:val="15"/>
              </w:rPr>
              <w:t xml:space="preserve">Technical trials and sample approval</w:t>
            </w:r>
          </w:p>
        </w:tc>
        <w:tc>
          <w:tcPr>
            <w:tcW w:w="2026" w:type="dxa"/>
          </w:tcPr>
          <w:p>
            <w:pPr>
              <w:spacing w:after="0" w:line="240" w:lineRule="auto"/>
              <w:jc w:val="right"/>
            </w:pPr>
            <w:r>
              <w:rPr>
                <w:rFonts w:ascii="Arial" w:hAnsi="Arial" w:cs="Arial"/>
                <w:sz w:val="15"/>
                <w:szCs w:val="15"/>
              </w:rPr>
              <w:t xml:space="preserve">1,500</w:t>
            </w:r>
          </w:p>
        </w:tc>
      </w:tr>
      <w:tr>
        <w:trPr>
          <w:cantSplit/>
        </w:trPr>
        <w:tc>
          <w:tcPr>
            <w:tcW w:w="800" w:type="dxa"/>
          </w:tcPr>
          <w:p>
            <w:pPr>
              <w:spacing w:after="0" w:line="240" w:lineRule="auto"/>
              <w:jc w:val="left"/>
            </w:pPr>
            <w:r>
              <w:rPr>
                <w:rFonts w:ascii="Arial" w:hAnsi="Arial" w:cs="Arial"/>
                <w:sz w:val="15"/>
                <w:szCs w:val="15"/>
              </w:rPr>
              <w:t xml:space="preserve">3.4</w:t>
            </w:r>
          </w:p>
        </w:tc>
        <w:tc>
          <w:tcPr>
            <w:tcW w:w="6200" w:type="dxa"/>
          </w:tcPr>
          <w:p>
            <w:pPr>
              <w:spacing w:after="0" w:line="240" w:lineRule="auto"/>
              <w:jc w:val="left"/>
            </w:pPr>
            <w:r>
              <w:rPr>
                <w:rFonts w:ascii="Arial" w:hAnsi="Arial" w:cs="Arial"/>
                <w:sz w:val="15"/>
                <w:szCs w:val="15"/>
              </w:rPr>
              <w:t xml:space="preserve">Commercial agreements</w:t>
            </w:r>
          </w:p>
        </w:tc>
        <w:tc>
          <w:tcPr>
            <w:tcW w:w="2026" w:type="dxa"/>
          </w:tcPr>
          <w:p>
            <w:pPr>
              <w:spacing w:after="0" w:line="240" w:lineRule="auto"/>
              <w:jc w:val="right"/>
            </w:pPr>
            <w:r>
              <w:rPr>
                <w:rFonts w:ascii="Arial" w:hAnsi="Arial" w:cs="Arial"/>
                <w:sz w:val="15"/>
                <w:szCs w:val="15"/>
              </w:rPr>
              <w:t xml:space="preserve">300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3 Second-source qualification</w:t>
            </w:r>
          </w:p>
        </w:tc>
        <w:tc>
          <w:tcPr>
            <w:tcW w:w="2026" w:type="dxa"/>
          </w:tcPr>
          <w:p>
            <w:pPr>
              <w:spacing w:after="0" w:line="240" w:lineRule="auto"/>
              <w:jc w:val="right"/>
            </w:pPr>
            <w:r>
              <w:rPr>
                <w:rFonts w:ascii="Arial" w:hAnsi="Arial" w:cs="Arial"/>
                <w:sz w:val="15"/>
                <w:szCs w:val="15"/>
              </w:rPr>
              <w:t xml:space="preserve">2,700</w:t>
            </w:r>
          </w:p>
        </w:tc>
      </w:tr>
      <w:tr>
        <w:trPr>
          <w:cantSplit/>
        </w:trPr>
        <w:tc>
          <w:tcPr>
            <w:tcW w:w="800" w:type="dxa"/>
          </w:tcPr>
          <w:p>
            <w:pPr>
              <w:spacing w:after="0" w:line="240" w:lineRule="auto"/>
              <w:jc w:val="left"/>
            </w:pPr>
            <w:r>
              <w:rPr>
                <w:rFonts w:ascii="Arial" w:hAnsi="Arial" w:cs="Arial"/>
                <w:sz w:val="15"/>
                <w:szCs w:val="15"/>
              </w:rPr>
              <w:t xml:space="preserve">4.1</w:t>
            </w:r>
          </w:p>
        </w:tc>
        <w:tc>
          <w:tcPr>
            <w:tcW w:w="6200" w:type="dxa"/>
          </w:tcPr>
          <w:p>
            <w:pPr>
              <w:spacing w:after="0" w:line="240" w:lineRule="auto"/>
              <w:jc w:val="left"/>
            </w:pPr>
            <w:r>
              <w:rPr>
                <w:rFonts w:ascii="Arial" w:hAnsi="Arial" w:cs="Arial"/>
                <w:sz w:val="15"/>
                <w:szCs w:val="15"/>
              </w:rPr>
              <w:t xml:space="preserve">Style-factory capability matrix</w:t>
            </w:r>
          </w:p>
        </w:tc>
        <w:tc>
          <w:tcPr>
            <w:tcW w:w="2026" w:type="dxa"/>
          </w:tcPr>
          <w:p>
            <w:pPr>
              <w:spacing w:after="0" w:line="240" w:lineRule="auto"/>
              <w:jc w:val="right"/>
            </w:pPr>
            <w:r>
              <w:rPr>
                <w:rFonts w:ascii="Arial" w:hAnsi="Arial" w:cs="Arial"/>
                <w:sz w:val="15"/>
                <w:szCs w:val="15"/>
              </w:rPr>
              <w:t xml:space="preserve">250</w:t>
            </w:r>
          </w:p>
        </w:tc>
      </w:tr>
      <w:tr>
        <w:trPr>
          <w:cantSplit/>
        </w:trPr>
        <w:tc>
          <w:tcPr>
            <w:tcW w:w="800" w:type="dxa"/>
          </w:tcPr>
          <w:p>
            <w:pPr>
              <w:spacing w:after="0" w:line="240" w:lineRule="auto"/>
              <w:jc w:val="left"/>
            </w:pPr>
            <w:r>
              <w:rPr>
                <w:rFonts w:ascii="Arial" w:hAnsi="Arial" w:cs="Arial"/>
                <w:sz w:val="15"/>
                <w:szCs w:val="15"/>
              </w:rPr>
              <w:t xml:space="preserve">4.2</w:t>
            </w:r>
          </w:p>
        </w:tc>
        <w:tc>
          <w:tcPr>
            <w:tcW w:w="6200" w:type="dxa"/>
          </w:tcPr>
          <w:p>
            <w:pPr>
              <w:spacing w:after="0" w:line="240" w:lineRule="auto"/>
              <w:jc w:val="left"/>
            </w:pPr>
            <w:r>
              <w:rPr>
                <w:rFonts w:ascii="Arial" w:hAnsi="Arial" w:cs="Arial"/>
                <w:sz w:val="15"/>
                <w:szCs w:val="15"/>
              </w:rPr>
              <w:t xml:space="preserve">Switching process design</w:t>
            </w:r>
          </w:p>
        </w:tc>
        <w:tc>
          <w:tcPr>
            <w:tcW w:w="2026" w:type="dxa"/>
          </w:tcPr>
          <w:p>
            <w:pPr>
              <w:spacing w:after="0" w:line="240" w:lineRule="auto"/>
              <w:jc w:val="right"/>
            </w:pPr>
            <w:r>
              <w:rPr>
                <w:rFonts w:ascii="Arial" w:hAnsi="Arial" w:cs="Arial"/>
                <w:sz w:val="15"/>
                <w:szCs w:val="15"/>
              </w:rPr>
              <w:t xml:space="preserve">350</w:t>
            </w:r>
          </w:p>
        </w:tc>
      </w:tr>
      <w:tr>
        <w:trPr>
          <w:cantSplit/>
        </w:trPr>
        <w:tc>
          <w:tcPr>
            <w:tcW w:w="800" w:type="dxa"/>
          </w:tcPr>
          <w:p>
            <w:pPr>
              <w:spacing w:after="0" w:line="240" w:lineRule="auto"/>
              <w:jc w:val="left"/>
            </w:pPr>
            <w:r>
              <w:rPr>
                <w:rFonts w:ascii="Arial" w:hAnsi="Arial" w:cs="Arial"/>
                <w:sz w:val="15"/>
                <w:szCs w:val="15"/>
              </w:rPr>
              <w:t xml:space="preserve">4.3</w:t>
            </w:r>
          </w:p>
        </w:tc>
        <w:tc>
          <w:tcPr>
            <w:tcW w:w="6200" w:type="dxa"/>
          </w:tcPr>
          <w:p>
            <w:pPr>
              <w:spacing w:after="0" w:line="240" w:lineRule="auto"/>
              <w:jc w:val="left"/>
            </w:pPr>
            <w:r>
              <w:rPr>
                <w:rFonts w:ascii="Arial" w:hAnsi="Arial" w:cs="Arial"/>
                <w:sz w:val="15"/>
                <w:szCs w:val="15"/>
              </w:rPr>
              <w:t xml:space="preserve">Simulated switch pilots</w:t>
            </w:r>
          </w:p>
        </w:tc>
        <w:tc>
          <w:tcPr>
            <w:tcW w:w="2026" w:type="dxa"/>
          </w:tcPr>
          <w:p>
            <w:pPr>
              <w:spacing w:after="0" w:line="240" w:lineRule="auto"/>
              <w:jc w:val="right"/>
            </w:pPr>
            <w:r>
              <w:rPr>
                <w:rFonts w:ascii="Arial" w:hAnsi="Arial" w:cs="Arial"/>
                <w:sz w:val="15"/>
                <w:szCs w:val="15"/>
              </w:rPr>
              <w:t xml:space="preserve">500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4 Switching playbook</w:t>
            </w:r>
          </w:p>
        </w:tc>
        <w:tc>
          <w:tcPr>
            <w:tcW w:w="2026" w:type="dxa"/>
          </w:tcPr>
          <w:p>
            <w:pPr>
              <w:spacing w:after="0" w:line="240" w:lineRule="auto"/>
              <w:jc w:val="right"/>
            </w:pPr>
            <w:r>
              <w:rPr>
                <w:rFonts w:ascii="Arial" w:hAnsi="Arial" w:cs="Arial"/>
                <w:sz w:val="15"/>
                <w:szCs w:val="15"/>
              </w:rPr>
              <w:t xml:space="preserve">1,100</w:t>
            </w:r>
          </w:p>
        </w:tc>
      </w:tr>
      <w:tr>
        <w:trPr>
          <w:cantSplit/>
        </w:trPr>
        <w:tc>
          <w:tcPr>
            <w:tcW w:w="800" w:type="dxa"/>
          </w:tcPr>
          <w:p>
            <w:pPr>
              <w:spacing w:after="0" w:line="240" w:lineRule="auto"/>
              <w:jc w:val="left"/>
            </w:pPr>
            <w:r>
              <w:rPr>
                <w:rFonts w:ascii="Arial" w:hAnsi="Arial" w:cs="Arial"/>
                <w:sz w:val="15"/>
                <w:szCs w:val="15"/>
              </w:rPr>
              <w:t xml:space="preserve">5.1</w:t>
            </w:r>
          </w:p>
        </w:tc>
        <w:tc>
          <w:tcPr>
            <w:tcW w:w="6200" w:type="dxa"/>
          </w:tcPr>
          <w:p>
            <w:pPr>
              <w:spacing w:after="0" w:line="240" w:lineRule="auto"/>
              <w:jc w:val="left"/>
            </w:pPr>
            <w:r>
              <w:rPr>
                <w:rFonts w:ascii="Arial" w:hAnsi="Arial" w:cs="Arial"/>
                <w:sz w:val="15"/>
                <w:szCs w:val="15"/>
              </w:rPr>
              <w:t xml:space="preserve">Sourcing team training</w:t>
            </w:r>
          </w:p>
        </w:tc>
        <w:tc>
          <w:tcPr>
            <w:tcW w:w="2026" w:type="dxa"/>
          </w:tcPr>
          <w:p>
            <w:pPr>
              <w:spacing w:after="0" w:line="240" w:lineRule="auto"/>
              <w:jc w:val="right"/>
            </w:pPr>
            <w:r>
              <w:rPr>
                <w:rFonts w:ascii="Arial" w:hAnsi="Arial" w:cs="Arial"/>
                <w:sz w:val="15"/>
                <w:szCs w:val="15"/>
              </w:rPr>
              <w:t xml:space="preserve">250</w:t>
            </w:r>
          </w:p>
        </w:tc>
      </w:tr>
      <w:tr>
        <w:trPr>
          <w:cantSplit/>
        </w:trPr>
        <w:tc>
          <w:tcPr>
            <w:tcW w:w="800" w:type="dxa"/>
          </w:tcPr>
          <w:p>
            <w:pPr>
              <w:spacing w:after="0" w:line="240" w:lineRule="auto"/>
              <w:jc w:val="left"/>
            </w:pPr>
            <w:r>
              <w:rPr>
                <w:rFonts w:ascii="Arial" w:hAnsi="Arial" w:cs="Arial"/>
                <w:sz w:val="15"/>
                <w:szCs w:val="15"/>
              </w:rPr>
              <w:t xml:space="preserve">5.2</w:t>
            </w:r>
          </w:p>
        </w:tc>
        <w:tc>
          <w:tcPr>
            <w:tcW w:w="6200" w:type="dxa"/>
          </w:tcPr>
          <w:p>
            <w:pPr>
              <w:spacing w:after="0" w:line="240" w:lineRule="auto"/>
              <w:jc w:val="left"/>
            </w:pPr>
            <w:r>
              <w:rPr>
                <w:rFonts w:ascii="Arial" w:hAnsi="Arial" w:cs="Arial"/>
                <w:sz w:val="15"/>
                <w:szCs w:val="15"/>
              </w:rPr>
              <w:t xml:space="preserve">Supplier onboarding workshops</w:t>
            </w:r>
          </w:p>
        </w:tc>
        <w:tc>
          <w:tcPr>
            <w:tcW w:w="2026" w:type="dxa"/>
          </w:tcPr>
          <w:p>
            <w:pPr>
              <w:spacing w:after="0" w:line="240" w:lineRule="auto"/>
              <w:jc w:val="right"/>
            </w:pPr>
            <w:r>
              <w:rPr>
                <w:rFonts w:ascii="Arial" w:hAnsi="Arial" w:cs="Arial"/>
                <w:sz w:val="15"/>
                <w:szCs w:val="15"/>
              </w:rPr>
              <w:t xml:space="preserve">350</w:t>
            </w:r>
          </w:p>
        </w:tc>
      </w:tr>
      <w:tr>
        <w:trPr>
          <w:cantSplit/>
        </w:trPr>
        <w:tc>
          <w:tcPr>
            <w:tcW w:w="800" w:type="dxa"/>
          </w:tcPr>
          <w:p>
            <w:pPr>
              <w:spacing w:after="0" w:line="240" w:lineRule="auto"/>
              <w:jc w:val="left"/>
            </w:pPr>
            <w:r>
              <w:rPr>
                <w:rFonts w:ascii="Arial" w:hAnsi="Arial" w:cs="Arial"/>
                <w:sz w:val="15"/>
                <w:szCs w:val="15"/>
              </w:rPr>
              <w:t xml:space="preserve">5.3</w:t>
            </w:r>
          </w:p>
        </w:tc>
        <w:tc>
          <w:tcPr>
            <w:tcW w:w="6200" w:type="dxa"/>
          </w:tcPr>
          <w:p>
            <w:pPr>
              <w:spacing w:after="0" w:line="240" w:lineRule="auto"/>
              <w:jc w:val="left"/>
            </w:pPr>
            <w:r>
              <w:rPr>
                <w:rFonts w:ascii="Arial" w:hAnsi="Arial" w:cs="Arial"/>
                <w:sz w:val="15"/>
                <w:szCs w:val="15"/>
              </w:rPr>
              <w:t xml:space="preserve">Worker-voice integration</w:t>
            </w:r>
          </w:p>
        </w:tc>
        <w:tc>
          <w:tcPr>
            <w:tcW w:w="2026" w:type="dxa"/>
          </w:tcPr>
          <w:p>
            <w:pPr>
              <w:spacing w:after="0" w:line="240" w:lineRule="auto"/>
              <w:jc w:val="right"/>
            </w:pPr>
            <w:r>
              <w:rPr>
                <w:rFonts w:ascii="Arial" w:hAnsi="Arial" w:cs="Arial"/>
                <w:sz w:val="15"/>
                <w:szCs w:val="15"/>
              </w:rPr>
              <w:t xml:space="preserve">300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5 Capability and change</w:t>
            </w:r>
          </w:p>
        </w:tc>
        <w:tc>
          <w:tcPr>
            <w:tcW w:w="2026" w:type="dxa"/>
          </w:tcPr>
          <w:p>
            <w:pPr>
              <w:spacing w:after="0" w:line="240" w:lineRule="auto"/>
              <w:jc w:val="right"/>
            </w:pPr>
            <w:r>
              <w:rPr>
                <w:rFonts w:ascii="Arial" w:hAnsi="Arial" w:cs="Arial"/>
                <w:sz w:val="15"/>
                <w:szCs w:val="15"/>
              </w:rPr>
              <w:t xml:space="preserve">900</w:t>
            </w:r>
          </w:p>
        </w:tc>
      </w:tr>
      <w:tr>
        <w:trPr>
          <w:cantSplit/>
        </w:trPr>
        <w:tc>
          <w:tcPr>
            <w:tcW w:w="800" w:type="dxa"/>
          </w:tcPr>
          <w:p>
            <w:pPr>
              <w:spacing w:after="0" w:line="240" w:lineRule="auto"/>
              <w:jc w:val="left"/>
            </w:pPr>
            <w:r>
              <w:rPr>
                <w:rFonts w:ascii="Arial" w:hAnsi="Arial" w:cs="Arial"/>
                <w:sz w:val="15"/>
                <w:szCs w:val="15"/>
              </w:rPr>
              <w:t xml:space="preserve">6.1</w:t>
            </w:r>
          </w:p>
        </w:tc>
        <w:tc>
          <w:tcPr>
            <w:tcW w:w="6200" w:type="dxa"/>
          </w:tcPr>
          <w:p>
            <w:pPr>
              <w:spacing w:after="0" w:line="240" w:lineRule="auto"/>
              <w:jc w:val="left"/>
            </w:pPr>
            <w:r>
              <w:rPr>
                <w:rFonts w:ascii="Arial" w:hAnsi="Arial" w:cs="Arial"/>
                <w:sz w:val="15"/>
                <w:szCs w:val="15"/>
              </w:rPr>
              <w:t xml:space="preserve">Control tower go-live</w:t>
            </w:r>
          </w:p>
        </w:tc>
        <w:tc>
          <w:tcPr>
            <w:tcW w:w="2026" w:type="dxa"/>
          </w:tcPr>
          <w:p>
            <w:pPr>
              <w:spacing w:after="0" w:line="240" w:lineRule="auto"/>
              <w:jc w:val="right"/>
            </w:pPr>
            <w:r>
              <w:rPr>
                <w:rFonts w:ascii="Arial" w:hAnsi="Arial" w:cs="Arial"/>
                <w:sz w:val="15"/>
                <w:szCs w:val="15"/>
              </w:rPr>
              <w:t xml:space="preserve">400</w:t>
            </w:r>
          </w:p>
        </w:tc>
      </w:tr>
      <w:tr>
        <w:trPr>
          <w:cantSplit/>
        </w:trPr>
        <w:tc>
          <w:tcPr>
            <w:tcW w:w="800" w:type="dxa"/>
          </w:tcPr>
          <w:p>
            <w:pPr>
              <w:spacing w:after="0" w:line="240" w:lineRule="auto"/>
              <w:jc w:val="left"/>
            </w:pPr>
            <w:r>
              <w:rPr>
                <w:rFonts w:ascii="Arial" w:hAnsi="Arial" w:cs="Arial"/>
                <w:sz w:val="15"/>
                <w:szCs w:val="15"/>
              </w:rPr>
              <w:t xml:space="preserve">6.2</w:t>
            </w:r>
          </w:p>
        </w:tc>
        <w:tc>
          <w:tcPr>
            <w:tcW w:w="6200" w:type="dxa"/>
          </w:tcPr>
          <w:p>
            <w:pPr>
              <w:spacing w:after="0" w:line="240" w:lineRule="auto"/>
              <w:jc w:val="left"/>
            </w:pPr>
            <w:r>
              <w:rPr>
                <w:rFonts w:ascii="Arial" w:hAnsi="Arial" w:cs="Arial"/>
                <w:sz w:val="15"/>
                <w:szCs w:val="15"/>
              </w:rPr>
              <w:t xml:space="preserve">Live switch rehearsal</w:t>
            </w:r>
          </w:p>
        </w:tc>
        <w:tc>
          <w:tcPr>
            <w:tcW w:w="2026" w:type="dxa"/>
          </w:tcPr>
          <w:p>
            <w:pPr>
              <w:spacing w:after="0" w:line="240" w:lineRule="auto"/>
              <w:jc w:val="right"/>
            </w:pPr>
            <w:r>
              <w:rPr>
                <w:rFonts w:ascii="Arial" w:hAnsi="Arial" w:cs="Arial"/>
                <w:sz w:val="15"/>
                <w:szCs w:val="15"/>
              </w:rPr>
              <w:t xml:space="preserve">500</w:t>
            </w:r>
          </w:p>
        </w:tc>
      </w:tr>
      <w:tr>
        <w:trPr>
          <w:cantSplit/>
        </w:trPr>
        <w:tc>
          <w:tcPr>
            <w:tcW w:w="800" w:type="dxa"/>
          </w:tcPr>
          <w:p>
            <w:pPr>
              <w:spacing w:after="0" w:line="240" w:lineRule="auto"/>
              <w:jc w:val="left"/>
            </w:pPr>
            <w:r>
              <w:rPr>
                <w:rFonts w:ascii="Arial" w:hAnsi="Arial" w:cs="Arial"/>
                <w:sz w:val="15"/>
                <w:szCs w:val="15"/>
              </w:rPr>
              <w:t xml:space="preserve">6.3</w:t>
            </w:r>
          </w:p>
        </w:tc>
        <w:tc>
          <w:tcPr>
            <w:tcW w:w="6200" w:type="dxa"/>
          </w:tcPr>
          <w:p>
            <w:pPr>
              <w:spacing w:after="0" w:line="240" w:lineRule="auto"/>
              <w:jc w:val="left"/>
            </w:pPr>
            <w:r>
              <w:rPr>
                <w:rFonts w:ascii="Arial" w:hAnsi="Arial" w:cs="Arial"/>
                <w:sz w:val="15"/>
                <w:szCs w:val="15"/>
              </w:rPr>
              <w:t xml:space="preserve">KPI baseline and measurement</w:t>
            </w:r>
          </w:p>
        </w:tc>
        <w:tc>
          <w:tcPr>
            <w:tcW w:w="2026" w:type="dxa"/>
          </w:tcPr>
          <w:p>
            <w:pPr>
              <w:spacing w:after="0" w:line="240" w:lineRule="auto"/>
              <w:jc w:val="right"/>
            </w:pPr>
            <w:r>
              <w:rPr>
                <w:rFonts w:ascii="Arial" w:hAnsi="Arial" w:cs="Arial"/>
                <w:sz w:val="15"/>
                <w:szCs w:val="15"/>
              </w:rPr>
              <w:t xml:space="preserve">250</w:t>
            </w:r>
          </w:p>
        </w:tc>
      </w:tr>
      <w:tr>
        <w:trPr>
          <w:cantSplit/>
        </w:trPr>
        <w:tc>
          <w:tcPr>
            <w:tcW w:w="800" w:type="dxa"/>
          </w:tcPr>
          <w:p>
            <w:pPr>
              <w:spacing w:after="0" w:line="240" w:lineRule="auto"/>
              <w:jc w:val="left"/>
            </w:pPr>
            <w:r>
              <w:rPr>
                <w:rFonts w:ascii="Arial" w:hAnsi="Arial" w:cs="Arial"/>
                <w:sz w:val="15"/>
                <w:szCs w:val="15"/>
              </w:rPr>
              <w:t xml:space="preserve">6.4</w:t>
            </w:r>
          </w:p>
        </w:tc>
        <w:tc>
          <w:tcPr>
            <w:tcW w:w="6200" w:type="dxa"/>
          </w:tcPr>
          <w:p>
            <w:pPr>
              <w:spacing w:after="0" w:line="240" w:lineRule="auto"/>
              <w:jc w:val="left"/>
            </w:pPr>
            <w:r>
              <w:rPr>
                <w:rFonts w:ascii="Arial" w:hAnsi="Arial" w:cs="Arial"/>
                <w:sz w:val="15"/>
                <w:szCs w:val="15"/>
              </w:rPr>
              <w:t xml:space="preserve">Lessons learned and handover</w:t>
            </w:r>
          </w:p>
        </w:tc>
        <w:tc>
          <w:tcPr>
            <w:tcW w:w="2026" w:type="dxa"/>
          </w:tcPr>
          <w:p>
            <w:pPr>
              <w:spacing w:after="0" w:line="240" w:lineRule="auto"/>
              <w:jc w:val="right"/>
            </w:pPr>
            <w:r>
              <w:rPr>
                <w:rFonts w:ascii="Arial" w:hAnsi="Arial" w:cs="Arial"/>
                <w:sz w:val="15"/>
                <w:szCs w:val="15"/>
              </w:rPr>
              <w:t xml:space="preserve">150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sz w:val="15"/>
                <w:szCs w:val="15"/>
              </w:rPr>
              <w:t xml:space="preserve">Subtotal: 6 Pilot, rollout, benefits</w:t>
            </w:r>
          </w:p>
        </w:tc>
        <w:tc>
          <w:tcPr>
            <w:tcW w:w="2026" w:type="dxa"/>
          </w:tcPr>
          <w:p>
            <w:pPr>
              <w:spacing w:after="0" w:line="240" w:lineRule="auto"/>
              <w:jc w:val="right"/>
            </w:pPr>
            <w:r>
              <w:rPr>
                <w:rFonts w:ascii="Arial" w:hAnsi="Arial" w:cs="Arial"/>
                <w:sz w:val="15"/>
                <w:szCs w:val="15"/>
              </w:rPr>
              <w:t xml:space="preserve">1,300</w:t>
            </w:r>
          </w:p>
        </w:tc>
      </w:tr>
      <w:tr>
        <w:trPr>
          <w:cantSplit/>
        </w:trPr>
        <w:tc>
          <w:tcPr>
            <w:tcW w:w="800" w:type="dxa"/>
          </w:tcPr>
          <w:p>
            <w:pPr>
              <w:spacing w:after="0" w:line="240" w:lineRule="auto"/>
              <w:jc w:val="left"/>
            </w:pPr>
          </w:p>
        </w:tc>
        <w:tc>
          <w:tcPr>
            <w:tcW w:w="6200" w:type="dxa"/>
          </w:tcPr>
          <w:p>
            <w:pPr>
              <w:spacing w:after="0" w:line="240" w:lineRule="auto"/>
              <w:jc w:val="left"/>
            </w:pPr>
            <w:r>
              <w:rPr>
                <w:rFonts w:ascii="Arial" w:hAnsi="Arial" w:cs="Arial"/>
                <w:b/>
                <w:sz w:val="15"/>
                <w:szCs w:val="15"/>
              </w:rPr>
              <w:t xml:space="preserve">TOTAL (equals the EUR 12.0m cap in Figure 2)</w:t>
            </w:r>
          </w:p>
        </w:tc>
        <w:tc>
          <w:tcPr>
            <w:tcW w:w="2026" w:type="dxa"/>
          </w:tcPr>
          <w:p>
            <w:pPr>
              <w:spacing w:after="0" w:line="240" w:lineRule="auto"/>
              <w:jc w:val="right"/>
            </w:pPr>
            <w:r>
              <w:rPr>
                <w:rFonts w:ascii="Arial" w:hAnsi="Arial" w:cs="Arial"/>
                <w:b/>
                <w:sz w:val="15"/>
                <w:szCs w:val="15"/>
              </w:rPr>
              <w:t xml:space="preserve">12,000</w:t>
            </w:r>
          </w:p>
        </w:tc>
      </w:tr>
    </w:tbl>
    <w:p>
      <w:pPr>
        <w:pStyle w:val="NoSpacing"/>
        <w:spacing w:after="120"/>
      </w:pPr>
    </w:p>
    <w:p>
      <w:pPr>
        <w:pStyle w:val="NoSpacing"/>
        <w:keepNext/>
        <w:spacing w:after="120"/>
      </w:pPr>
      <w:r>
        <w:rPr>
          <w:rFonts w:ascii="Arial" w:hAnsi="Arial" w:cs="Arial"/>
          <w:b/>
        </w:rPr>
        <w:t xml:space="preserve">Appendix F: Data table behind Figure 1</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3800"/>
        <w:gridCol w:w="3000"/>
        <w:gridCol w:w="2226"/>
      </w:tblGrid>
      <w:tr>
        <w:trPr>
          <w:cantSplit/>
          <w:tblHeader/>
        </w:trPr>
        <w:tc>
          <w:tcPr>
            <w:tcW w:w="3800" w:type="dxa"/>
            <w:shd w:val="clear" w:color="auto" w:fill="D9D9D9"/>
          </w:tcPr>
          <w:p>
            <w:pPr>
              <w:spacing w:after="0" w:line="240" w:lineRule="auto"/>
              <w:jc w:val="left"/>
            </w:pPr>
            <w:r>
              <w:rPr>
                <w:rFonts w:ascii="Arial" w:hAnsi="Arial" w:cs="Arial"/>
                <w:b/>
                <w:sz w:val="15"/>
                <w:szCs w:val="15"/>
              </w:rPr>
              <w:t xml:space="preserve">Item</w:t>
            </w:r>
          </w:p>
        </w:tc>
        <w:tc>
          <w:tcPr>
            <w:tcW w:w="3000" w:type="dxa"/>
            <w:shd w:val="clear" w:color="auto" w:fill="D9D9D9"/>
          </w:tcPr>
          <w:p>
            <w:pPr>
              <w:spacing w:after="0" w:line="240" w:lineRule="auto"/>
              <w:jc w:val="left"/>
            </w:pPr>
            <w:r>
              <w:rPr>
                <w:rFonts w:ascii="Arial" w:hAnsi="Arial" w:cs="Arial"/>
                <w:b/>
                <w:sz w:val="15"/>
                <w:szCs w:val="15"/>
              </w:rPr>
              <w:t xml:space="preserve">Value</w:t>
            </w:r>
          </w:p>
        </w:tc>
        <w:tc>
          <w:tcPr>
            <w:tcW w:w="2226" w:type="dxa"/>
            <w:shd w:val="clear" w:color="auto" w:fill="D9D9D9"/>
          </w:tcPr>
          <w:p>
            <w:pPr>
              <w:spacing w:after="0" w:line="240" w:lineRule="auto"/>
              <w:jc w:val="left"/>
            </w:pPr>
            <w:r>
              <w:rPr>
                <w:rFonts w:ascii="Arial" w:hAnsi="Arial" w:cs="Arial"/>
                <w:b/>
                <w:sz w:val="15"/>
                <w:szCs w:val="15"/>
              </w:rPr>
              <w:t xml:space="preserve">Source</w:t>
            </w:r>
          </w:p>
        </w:tc>
      </w:tr>
      <w:tr>
        <w:trPr>
          <w:cantSplit/>
        </w:trPr>
        <w:tc>
          <w:tcPr>
            <w:tcW w:w="3800" w:type="dxa"/>
          </w:tcPr>
          <w:p>
            <w:pPr>
              <w:spacing w:after="0" w:line="240" w:lineRule="auto"/>
              <w:jc w:val="left"/>
            </w:pPr>
            <w:r>
              <w:rPr>
                <w:rFonts w:ascii="Arial" w:hAnsi="Arial" w:cs="Arial"/>
                <w:sz w:val="15"/>
                <w:szCs w:val="15"/>
              </w:rPr>
              <w:t xml:space="preserve">Vietnam</w:t>
            </w:r>
          </w:p>
        </w:tc>
        <w:tc>
          <w:tcPr>
            <w:tcW w:w="3000" w:type="dxa"/>
          </w:tcPr>
          <w:p>
            <w:pPr>
              <w:spacing w:after="0" w:line="240" w:lineRule="auto"/>
              <w:jc w:val="left"/>
            </w:pPr>
            <w:r>
              <w:rPr>
                <w:rFonts w:ascii="Arial" w:hAnsi="Arial" w:cs="Arial"/>
                <w:sz w:val="15"/>
                <w:szCs w:val="15"/>
              </w:rPr>
              <w:t xml:space="preserve">27%</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Indonesia</w:t>
            </w:r>
          </w:p>
        </w:tc>
        <w:tc>
          <w:tcPr>
            <w:tcW w:w="3000" w:type="dxa"/>
          </w:tcPr>
          <w:p>
            <w:pPr>
              <w:spacing w:after="0" w:line="240" w:lineRule="auto"/>
              <w:jc w:val="left"/>
            </w:pPr>
            <w:r>
              <w:rPr>
                <w:rFonts w:ascii="Arial" w:hAnsi="Arial" w:cs="Arial"/>
                <w:sz w:val="15"/>
                <w:szCs w:val="15"/>
              </w:rPr>
              <w:t xml:space="preserve">18%</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China</w:t>
            </w:r>
          </w:p>
        </w:tc>
        <w:tc>
          <w:tcPr>
            <w:tcW w:w="3000" w:type="dxa"/>
          </w:tcPr>
          <w:p>
            <w:pPr>
              <w:spacing w:after="0" w:line="240" w:lineRule="auto"/>
              <w:jc w:val="left"/>
            </w:pPr>
            <w:r>
              <w:rPr>
                <w:rFonts w:ascii="Arial" w:hAnsi="Arial" w:cs="Arial"/>
                <w:sz w:val="15"/>
                <w:szCs w:val="15"/>
              </w:rPr>
              <w:t xml:space="preserve">16%</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Other Asia</w:t>
            </w:r>
          </w:p>
        </w:tc>
        <w:tc>
          <w:tcPr>
            <w:tcW w:w="3000" w:type="dxa"/>
          </w:tcPr>
          <w:p>
            <w:pPr>
              <w:spacing w:after="0" w:line="240" w:lineRule="auto"/>
              <w:jc w:val="left"/>
            </w:pPr>
            <w:r>
              <w:rPr>
                <w:rFonts w:ascii="Arial" w:hAnsi="Arial" w:cs="Arial"/>
                <w:sz w:val="15"/>
                <w:szCs w:val="15"/>
              </w:rPr>
              <w:t xml:space="preserve">31%</w:t>
            </w:r>
          </w:p>
        </w:tc>
        <w:tc>
          <w:tcPr>
            <w:tcW w:w="2226" w:type="dxa"/>
          </w:tcPr>
          <w:p>
            <w:pPr>
              <w:spacing w:after="0" w:line="240" w:lineRule="auto"/>
              <w:jc w:val="left"/>
            </w:pPr>
            <w:r>
              <w:rPr>
                <w:rFonts w:ascii="Arial" w:hAnsi="Arial" w:cs="Arial"/>
                <w:sz w:val="15"/>
                <w:szCs w:val="15"/>
              </w:rPr>
              <w:t xml:space="preserve">Derived: 92% less 61%</w:t>
            </w:r>
          </w:p>
        </w:tc>
      </w:tr>
      <w:tr>
        <w:trPr>
          <w:cantSplit/>
        </w:trPr>
        <w:tc>
          <w:tcPr>
            <w:tcW w:w="3800" w:type="dxa"/>
          </w:tcPr>
          <w:p>
            <w:pPr>
              <w:spacing w:after="0" w:line="240" w:lineRule="auto"/>
              <w:jc w:val="left"/>
            </w:pPr>
            <w:r>
              <w:rPr>
                <w:rFonts w:ascii="Arial" w:hAnsi="Arial" w:cs="Arial"/>
                <w:sz w:val="15"/>
                <w:szCs w:val="15"/>
              </w:rPr>
              <w:t xml:space="preserve">Outside Asia</w:t>
            </w:r>
          </w:p>
        </w:tc>
        <w:tc>
          <w:tcPr>
            <w:tcW w:w="3000" w:type="dxa"/>
          </w:tcPr>
          <w:p>
            <w:pPr>
              <w:spacing w:after="0" w:line="240" w:lineRule="auto"/>
              <w:jc w:val="left"/>
            </w:pPr>
            <w:r>
              <w:rPr>
                <w:rFonts w:ascii="Arial" w:hAnsi="Arial" w:cs="Arial"/>
                <w:sz w:val="15"/>
                <w:szCs w:val="15"/>
              </w:rPr>
              <w:t xml:space="preserve">8%</w:t>
            </w:r>
          </w:p>
        </w:tc>
        <w:tc>
          <w:tcPr>
            <w:tcW w:w="2226" w:type="dxa"/>
          </w:tcPr>
          <w:p>
            <w:pPr>
              <w:spacing w:after="0" w:line="240" w:lineRule="auto"/>
              <w:jc w:val="left"/>
            </w:pPr>
            <w:r>
              <w:rPr>
                <w:rFonts w:ascii="Arial" w:hAnsi="Arial" w:cs="Arial"/>
                <w:sz w:val="15"/>
                <w:szCs w:val="15"/>
              </w:rPr>
              <w:t xml:space="preserve">Derived: 100% less 92%</w:t>
            </w:r>
          </w:p>
        </w:tc>
      </w:tr>
      <w:tr>
        <w:trPr>
          <w:cantSplit/>
        </w:trPr>
        <w:tc>
          <w:tcPr>
            <w:tcW w:w="3800" w:type="dxa"/>
          </w:tcPr>
          <w:p>
            <w:pPr>
              <w:spacing w:after="0" w:line="240" w:lineRule="auto"/>
              <w:jc w:val="left"/>
            </w:pPr>
            <w:r>
              <w:rPr>
                <w:rFonts w:ascii="Arial" w:hAnsi="Arial" w:cs="Arial"/>
                <w:sz w:val="15"/>
                <w:szCs w:val="15"/>
              </w:rPr>
              <w:t xml:space="preserve">Distribution centres, total</w:t>
            </w:r>
          </w:p>
        </w:tc>
        <w:tc>
          <w:tcPr>
            <w:tcW w:w="3000" w:type="dxa"/>
          </w:tcPr>
          <w:p>
            <w:pPr>
              <w:spacing w:after="0" w:line="240" w:lineRule="auto"/>
              <w:jc w:val="left"/>
            </w:pPr>
            <w:r>
              <w:rPr>
                <w:rFonts w:ascii="Arial" w:hAnsi="Arial" w:cs="Arial"/>
                <w:sz w:val="15"/>
                <w:szCs w:val="15"/>
              </w:rPr>
              <w:t xml:space="preserve">60 (21 owned, 39 partner-run)</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North America / Japan and South Korea / Greater China</w:t>
            </w:r>
          </w:p>
        </w:tc>
        <w:tc>
          <w:tcPr>
            <w:tcW w:w="3000" w:type="dxa"/>
          </w:tcPr>
          <w:p>
            <w:pPr>
              <w:spacing w:after="0" w:line="240" w:lineRule="auto"/>
              <w:jc w:val="left"/>
            </w:pPr>
            <w:r>
              <w:rPr>
                <w:rFonts w:ascii="Arial" w:hAnsi="Arial" w:cs="Arial"/>
                <w:sz w:val="15"/>
                <w:szCs w:val="15"/>
              </w:rPr>
              <w:t xml:space="preserve">21 / 13 / 8</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Latin America / Europe / Emerging Markets</w:t>
            </w:r>
          </w:p>
        </w:tc>
        <w:tc>
          <w:tcPr>
            <w:tcW w:w="3000" w:type="dxa"/>
          </w:tcPr>
          <w:p>
            <w:pPr>
              <w:spacing w:after="0" w:line="240" w:lineRule="auto"/>
              <w:jc w:val="left"/>
            </w:pPr>
            <w:r>
              <w:rPr>
                <w:rFonts w:ascii="Arial" w:hAnsi="Arial" w:cs="Arial"/>
                <w:sz w:val="15"/>
                <w:szCs w:val="15"/>
              </w:rPr>
              <w:t xml:space="preserve">7 / 6 / 5</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Largest single factory</w:t>
            </w:r>
          </w:p>
        </w:tc>
        <w:tc>
          <w:tcPr>
            <w:tcW w:w="3000" w:type="dxa"/>
          </w:tcPr>
          <w:p>
            <w:pPr>
              <w:spacing w:after="0" w:line="240" w:lineRule="auto"/>
              <w:jc w:val="left"/>
            </w:pPr>
            <w:r>
              <w:rPr>
                <w:rFonts w:ascii="Arial" w:hAnsi="Arial" w:cs="Arial"/>
                <w:sz w:val="15"/>
                <w:szCs w:val="15"/>
              </w:rPr>
              <w:t xml:space="preserve">About 6% of volume</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Partners with Adidas 10+ years / 20+ years</w:t>
            </w:r>
          </w:p>
        </w:tc>
        <w:tc>
          <w:tcPr>
            <w:tcW w:w="3000" w:type="dxa"/>
          </w:tcPr>
          <w:p>
            <w:pPr>
              <w:spacing w:after="0" w:line="240" w:lineRule="auto"/>
              <w:jc w:val="left"/>
            </w:pPr>
            <w:r>
              <w:rPr>
                <w:rFonts w:ascii="Arial" w:hAnsi="Arial" w:cs="Arial"/>
                <w:sz w:val="15"/>
                <w:szCs w:val="15"/>
              </w:rPr>
              <w:t xml:space="preserve">65% / 37%</w:t>
            </w:r>
          </w:p>
        </w:tc>
        <w:tc>
          <w:tcPr>
            <w:tcW w:w="2226" w:type="dxa"/>
          </w:tcPr>
          <w:p>
            <w:pPr>
              <w:spacing w:after="0" w:line="240" w:lineRule="auto"/>
              <w:jc w:val="left"/>
            </w:pPr>
            <w:r>
              <w:rPr>
                <w:rFonts w:ascii="Arial" w:hAnsi="Arial" w:cs="Arial"/>
                <w:sz w:val="15"/>
                <w:szCs w:val="15"/>
              </w:rPr>
              <w:t xml:space="preserve">adidas AG (2026)</w:t>
            </w:r>
          </w:p>
        </w:tc>
      </w:tr>
      <w:tr>
        <w:trPr>
          <w:cantSplit/>
        </w:trPr>
        <w:tc>
          <w:tcPr>
            <w:tcW w:w="3800" w:type="dxa"/>
          </w:tcPr>
          <w:p>
            <w:pPr>
              <w:spacing w:after="0" w:line="240" w:lineRule="auto"/>
              <w:jc w:val="left"/>
            </w:pPr>
            <w:r>
              <w:rPr>
                <w:rFonts w:ascii="Arial" w:hAnsi="Arial" w:cs="Arial"/>
                <w:sz w:val="15"/>
                <w:szCs w:val="15"/>
              </w:rPr>
              <w:t xml:space="preserve">Minimum HHI from the three named countries</w:t>
            </w:r>
          </w:p>
        </w:tc>
        <w:tc>
          <w:tcPr>
            <w:tcW w:w="3000" w:type="dxa"/>
          </w:tcPr>
          <w:p>
            <w:pPr>
              <w:spacing w:after="0" w:line="240" w:lineRule="auto"/>
              <w:jc w:val="left"/>
            </w:pPr>
            <w:r>
              <w:rPr>
                <w:rFonts w:ascii="Arial" w:hAnsi="Arial" w:cs="Arial"/>
                <w:sz w:val="15"/>
                <w:szCs w:val="15"/>
              </w:rPr>
              <w:t xml:space="preserve">1,309 (27 squared + 18 squared + 16 squared)</w:t>
            </w:r>
          </w:p>
        </w:tc>
        <w:tc>
          <w:tcPr>
            <w:tcW w:w="2226" w:type="dxa"/>
          </w:tcPr>
          <w:p>
            <w:pPr>
              <w:spacing w:after="0" w:line="240" w:lineRule="auto"/>
              <w:jc w:val="left"/>
            </w:pPr>
            <w:r>
              <w:rPr>
                <w:rFonts w:ascii="Arial" w:hAnsi="Arial" w:cs="Arial"/>
                <w:sz w:val="15"/>
                <w:szCs w:val="15"/>
              </w:rPr>
              <w:t xml:space="preserve">Author's calculation</w:t>
            </w:r>
          </w:p>
        </w:tc>
      </w:tr>
    </w:tbl>
    <w:p>
      <w:pPr>
        <w:pStyle w:val="NoSpacing"/>
        <w:spacing w:after="120"/>
      </w:pPr>
    </w:p>
    <w:sectPr w:rsidR="00A747D2" w:rsidRPr="00D71C7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E7C0F" w14:textId="77777777" w:rsidR="0042679A" w:rsidRDefault="0042679A" w:rsidP="00A747D2">
      <w:pPr>
        <w:spacing w:after="0" w:line="240" w:lineRule="auto"/>
      </w:pPr>
      <w:r>
        <w:separator/>
      </w:r>
    </w:p>
  </w:endnote>
  <w:endnote w:type="continuationSeparator" w:id="0">
    <w:p w14:paraId="76DC7379" w14:textId="77777777" w:rsidR="0042679A" w:rsidRDefault="0042679A" w:rsidP="00A7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8996228"/>
      <w:docPartObj>
        <w:docPartGallery w:val="Page Numbers (Bottom of Page)"/>
        <w:docPartUnique/>
      </w:docPartObj>
    </w:sdtPr>
    <w:sdtEndPr>
      <w:rPr>
        <w:noProof/>
      </w:rPr>
    </w:sdtEndPr>
    <w:sdtContent>
      <w:p w14:paraId="13950DCB" w14:textId="77777777" w:rsidR="00A747D2" w:rsidRDefault="00A747D2">
        <w:pPr>
          <w:pStyle w:val="Footer"/>
          <w:jc w:val="center"/>
        </w:pPr>
        <w:r>
          <w:fldChar w:fldCharType="begin"/>
        </w:r>
        <w:r>
          <w:instrText xml:space="preserve"> PAGE   \* MERGEFORMAT </w:instrText>
        </w:r>
        <w:r>
          <w:fldChar w:fldCharType="separate"/>
        </w:r>
        <w:r w:rsidR="005A01A5">
          <w:rPr>
            <w:noProof/>
          </w:rPr>
          <w:t>1</w:t>
        </w:r>
        <w:r>
          <w:rPr>
            <w:noProof/>
          </w:rPr>
          <w:fldChar w:fldCharType="end"/>
        </w:r>
      </w:p>
    </w:sdtContent>
  </w:sdt>
  <w:p w14:paraId="583ED85F" w14:textId="77777777" w:rsidR="00A747D2" w:rsidRDefault="00A74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64B66" w14:textId="77777777" w:rsidR="0042679A" w:rsidRDefault="0042679A" w:rsidP="00A747D2">
      <w:pPr>
        <w:spacing w:after="0" w:line="240" w:lineRule="auto"/>
      </w:pPr>
      <w:r>
        <w:separator/>
      </w:r>
    </w:p>
  </w:footnote>
  <w:footnote w:type="continuationSeparator" w:id="0">
    <w:p w14:paraId="1E550083" w14:textId="77777777" w:rsidR="0042679A" w:rsidRDefault="0042679A" w:rsidP="00A74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111B05"/>
    <w:multiLevelType w:val="hybridMultilevel"/>
    <w:tmpl w:val="7B68C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7IwtzAyMTYyNzVW0lEKTi0uzszPAykwrAUAAZvMDiwAAAA="/>
  </w:docVars>
  <w:rsids>
    <w:rsidRoot w:val="00D71C71"/>
    <w:rsid w:val="00003653"/>
    <w:rsid w:val="00165F2C"/>
    <w:rsid w:val="00352F27"/>
    <w:rsid w:val="0042679A"/>
    <w:rsid w:val="00444A2D"/>
    <w:rsid w:val="004E644C"/>
    <w:rsid w:val="005A01A5"/>
    <w:rsid w:val="007A0E97"/>
    <w:rsid w:val="00986AD2"/>
    <w:rsid w:val="00A6440F"/>
    <w:rsid w:val="00A747D2"/>
    <w:rsid w:val="00B76C75"/>
    <w:rsid w:val="00C77411"/>
    <w:rsid w:val="00D71C71"/>
    <w:rsid w:val="00E04D25"/>
    <w:rsid w:val="00E263F8"/>
    <w:rsid w:val="00E616E0"/>
    <w:rsid w:val="00E8454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52D7"/>
  <w15:chartTrackingRefBased/>
  <w15:docId w15:val="{0C60D0D1-528E-4AEC-A1A8-427D3CF0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C71"/>
    <w:pPr>
      <w:keepNext/>
      <w:keepLines/>
      <w:pBdr>
        <w:bottom w:val="single" w:sz="12" w:space="1" w:color="auto"/>
      </w:pBdr>
      <w:spacing w:before="240" w:after="120" w:line="240" w:lineRule="auto"/>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A747D2"/>
    <w:pPr>
      <w:keepNext/>
      <w:keepLines/>
      <w:spacing w:before="40" w:after="0" w:line="240" w:lineRule="auto"/>
      <w:jc w:val="center"/>
      <w:outlineLvl w:val="1"/>
    </w:pPr>
    <w:rPr>
      <w:rFonts w:ascii="Arial" w:eastAsiaTheme="majorEastAsia" w:hAnsi="Arial" w:cstheme="majorBidi"/>
      <w:b/>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C71"/>
    <w:rPr>
      <w:rFonts w:ascii="Arial" w:eastAsiaTheme="majorEastAsia" w:hAnsi="Arial" w:cstheme="majorBidi"/>
      <w:b/>
      <w:color w:val="000000" w:themeColor="text1"/>
      <w:sz w:val="24"/>
      <w:szCs w:val="32"/>
    </w:rPr>
  </w:style>
  <w:style w:type="paragraph" w:styleId="NoSpacing">
    <w:name w:val="No Spacing"/>
    <w:uiPriority w:val="1"/>
    <w:qFormat/>
    <w:rsid w:val="00D71C71"/>
    <w:pPr>
      <w:spacing w:after="0" w:line="360" w:lineRule="auto"/>
      <w:jc w:val="both"/>
    </w:pPr>
    <w:rPr>
      <w:rFonts w:ascii="Arial" w:hAnsi="Arial"/>
      <w:color w:val="000000" w:themeColor="text1"/>
    </w:rPr>
  </w:style>
  <w:style w:type="paragraph" w:styleId="Header">
    <w:name w:val="header"/>
    <w:basedOn w:val="Normal"/>
    <w:link w:val="HeaderChar"/>
    <w:uiPriority w:val="99"/>
    <w:unhideWhenUsed/>
    <w:rsid w:val="00A747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7D2"/>
  </w:style>
  <w:style w:type="paragraph" w:styleId="Footer">
    <w:name w:val="footer"/>
    <w:basedOn w:val="Normal"/>
    <w:link w:val="FooterChar"/>
    <w:uiPriority w:val="99"/>
    <w:unhideWhenUsed/>
    <w:rsid w:val="00A747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7D2"/>
  </w:style>
  <w:style w:type="character" w:customStyle="1" w:styleId="Heading2Char">
    <w:name w:val="Heading 2 Char"/>
    <w:basedOn w:val="DefaultParagraphFont"/>
    <w:link w:val="Heading2"/>
    <w:uiPriority w:val="9"/>
    <w:rsid w:val="00A747D2"/>
    <w:rPr>
      <w:rFonts w:ascii="Arial" w:eastAsiaTheme="majorEastAsia" w:hAnsi="Arial" w:cstheme="majorBidi"/>
      <w:b/>
      <w:sz w:val="18"/>
      <w:szCs w:val="26"/>
    </w:rPr>
  </w:style>
  <w:style w:type="paragraph" w:styleId="ListParagraph">
    <w:name w:val="List Paragraph"/>
    <w:basedOn w:val="Normal"/>
    <w:uiPriority w:val="34"/>
    <w:qFormat/>
    <w:rsid w:val="00444A2D"/>
    <w:pPr>
      <w:ind w:left="720"/>
      <w:contextualSpacing/>
    </w:pPr>
  </w:style>
  <w:style w:type="paragraph" w:styleId="TOCHeading">
    <w:name w:val="TOC Heading"/>
    <w:basedOn w:val="Heading1"/>
    <w:next w:val="Normal"/>
    <w:uiPriority w:val="39"/>
    <w:unhideWhenUsed/>
    <w:qFormat/>
    <w:rsid w:val="007A0E97"/>
    <w:pPr>
      <w:pBdr>
        <w:bottom w:val="none" w:sz="0" w:space="0" w:color="auto"/>
      </w:pBdr>
      <w:spacing w:after="0" w:line="259" w:lineRule="auto"/>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7A0E97"/>
    <w:pPr>
      <w:spacing w:after="100"/>
    </w:pPr>
  </w:style>
  <w:style w:type="paragraph" w:styleId="TOC2">
    <w:name w:val="toc 2"/>
    <w:basedOn w:val="Normal"/>
    <w:next w:val="Normal"/>
    <w:autoRedefine/>
    <w:uiPriority w:val="39"/>
    <w:unhideWhenUsed/>
    <w:rsid w:val="007A0E97"/>
    <w:pPr>
      <w:spacing w:after="100"/>
      <w:ind w:left="220"/>
    </w:pPr>
  </w:style>
  <w:style w:type="character" w:styleId="Hyperlink">
    <w:name w:val="Hyperlink"/>
    <w:basedOn w:val="DefaultParagraphFont"/>
    <w:uiPriority w:val="99"/>
    <w:unhideWhenUsed/>
    <w:rsid w:val="007A0E97"/>
    <w:rPr>
      <w:color w:val="0563C1" w:themeColor="hyperlink"/>
      <w:u w:val="single"/>
    </w:rPr>
  </w:style>
  <w:style w:type="paragraph" w:styleId="Caption">
    <w:name w:val="caption"/>
    <w:basedOn w:val="Normal"/>
    <w:next w:val="Normal"/>
    <w:uiPriority w:val="35"/>
    <w:unhideWhenUsed/>
    <w:qFormat/>
    <w:pPr>
      <w:keepNext/>
      <w:spacing w:before="160" w:after="80" w:line="240" w:lineRule="auto"/>
      <w:jc w:val="center"/>
    </w:pPr>
    <w:rPr>
      <w:rFonts w:ascii="Arial" w:hAnsi="Arial" w:cs="Arial"/>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128</Words>
  <Characters>733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Ogunseyin, Michael (Dr)</dc:creator>
  <cp:keywords/>
  <dc:description/>
  <cp:lastModifiedBy>Bindu Baral</cp:lastModifiedBy>
  <cp:revision>3</cp:revision>
  <dcterms:created xsi:type="dcterms:W3CDTF">2026-10-21T16:18:00Z</dcterms:created>
  <dcterms:modified xsi:type="dcterms:W3CDTF">2026-10-21T16:26:00Z</dcterms:modified>
</cp:coreProperties>
</file>