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Draft status.</w:t>
      </w:r>
      <w:r>
        <w:t xml:space="preserve"> </w:t>
      </w:r>
      <w:r>
        <w:t xml:space="preserve">One item still needs your own data: the coded review sample in Appendix 4 and the three sentences in Chapter 5 that depend on it, marked [SQUARE BRACKETS]. Everything else is written from your photographs and from sources I checked by search. Other brackets mark facts to confirm against the original page. Delete this note and all brackets before you submit.</w:t>
      </w:r>
    </w:p>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 xml:space="preserve">How well do those decisions work, judged by visit evidence, documents and reviews? (Chapter 5)</w:t>
      </w:r>
    </w:p>
    <w:p>
      <w:pPr>
        <w:numPr>
          <w:ilvl w:val="0"/>
          <w:numId w:val="1001"/>
        </w:numPr>
        <w:pStyle w:val="Compact"/>
      </w:pPr>
      <w:r>
        <w:t xml:space="preserve">What four fixes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£236 to £309 (Booking.com, 2026; Fig. 10).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 xml:space="preserve">Primary data came from a hosted visit on 9 September 2025 [CONFIRM DATE AGAINST YOUR NOTES] (Veal, 2017). The visit had three parts. First, the group was seated and each person introduced themselves in turn, followed by a two-way question-and-answer session about hospitality careers, in which staff stressed that the field is wider than students expect, with a broad range of career paths. Second, the group was split into small groups [CONFIRM: you recall groups of three, though some photographs show larger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 xml:space="preserve">Secondary data comprised Camden Council planning documents, Meliá press material, trade press, ranking coverage from Brand Finance and S&amp;P Global, and a coded sample of online reviews analysed thematically (Braun and Clarke, 2006). Following Denzin (1978) and Bryman and Bell (2015), each claim is checked against at least two source types.</w:t>
      </w:r>
    </w:p>
    <w:p>
      <w:pPr>
        <w:pStyle w:val="BodyText"/>
      </w:pPr>
      <w:r>
        <w:t>The limits are specific. There was one visit and one managed tour, and management accounts were unavailable. Corporate sources are promotional, and online reviews are self-selected, so the review sample is indicative only (Litvin, Goldsmith and Pan, 2008; Sparks and Browning, 2011). Sources also conflict: Meliá’s press material gives 581 bedrooms, while a Camden Council document gives 548 (Camden Council, 2025). Both are reported and neither is chosen silently.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Zeithaml (1988) places value in the guest’s head, so it differs between guests. Xia, Monroe and Cox (2004) add that price differences are judged for fairness, and Kimes (2002) notes that yield pricing is rational for the hotel yet can feel unfair. Rooms quoted at about £300 on the visit, and listed at about £236 to £309 on a booking site depending on discounts (Fig. 10), mean guests pay different amounts for the same room and so hold different yardsticks. The same lift door can be forgiven at a discounted price and resented at the full one.</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 xml:space="preserve">Smith, Bolton and Wagner (1999) show that how a failure is put right shapes later satisfaction, yet McCollough, Berry and Yadav (2000) caution that recovery cannot substitute for reliability. The lens is applied to the breakfast disruption. Because the evidence is a single report, it is used to shape a protocol and not to judge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 xml:space="preserve">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Camden filings also show works continuing in 2025, including a Wing A refurbishment and a basement conversion (Camden Council, 2025) [CHECK AGAINST THE RECORD]. The verdict is that the asset justified the bet, but trading through works moved some cost onto guests, and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w:t>
      </w:r>
    </w:p>
    <w:p>
      <w:pPr>
        <w:pStyle w:val="BodyText"/>
      </w:pPr>
      <w:r>
        <w:rPr>
          <w:bCs/>
          <w:b/>
        </w:rPr>
        <w:t xml:space="preserve">Decision 4: the premium badge.</w:t>
      </w:r>
      <w:r>
        <w:t xml:space="preserve"> </w:t>
      </w:r>
      <w:r>
        <w:t>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rather than a discounted rate near £240. Manaktola and Jauhari (2007) find that guests’ green attitudes do not always translate into choices, so sustainability should be supporting value, not the lead. The only sustainability cue seen on the visit was the organic cava (Fig. 3).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the documents and the reviews point to strength in public spaces, breakfast and the bar, and weakness in condition and consistency. Where they disagree, repeated guest accounts outweigh a single promotional claim. They disagree on scale: the photographs show small, visible faults, whereas the press material promises that the hotel exceeds expectations.</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 (Fig. 5).</w:t>
      </w:r>
    </w:p>
    <w:p>
      <w:pPr>
        <w:pStyle w:val="BodyText"/>
      </w:pPr>
      <w:r>
        <w:t xml:space="preserve">The separate bar was the author’s favourite area. Drinks were displayed clearly, each type was served in its own glass (wine in a wine glass, beer in a beer glass, whiskey in a whiskey glass), and there was a set of premium whiskeys [CONFIRM WHICH BAR THIS WAS AND WHETHER THE DRINKS WERE SPANISH].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61,500 at about 205 NPR to the pound [CHECK THE RATE ON THE DAY YOU SUBMIT], a large amount for a middle-class household, and a stay in this bracket is out of reach for many guests. This is a point about affordability, not about value. Zeithaml (1988) places value in the guest’s head, so the same room can be fair value to one guest and unaffordable to another, which helps explain why reviews of the same building differ.</w:t>
      </w:r>
    </w:p>
    <w:p>
      <w:pPr>
        <w:pStyle w:val="BodyText"/>
      </w:pPr>
      <w:r>
        <w:t xml:space="preserve">The review sample is indicative, not representative (Litvin et al., 2008). Across [CONFIRM NUMBER] reviews, touchpoints drew [X] positive and [Y] negative mentions, and the largest negative cluster concerned [INSERT FROM YOUR CHART] (Appendix 4). The chart cannot show how common these experiences are among all guests, only which themes recur in the sample.</w:t>
      </w:r>
    </w:p>
    <w:p>
      <w:pPr>
        <w:pStyle w:val="BodyText"/>
      </w:pPr>
      <w:r>
        <w:t xml:space="preserve">Appendix 5 sets promise against proof. Two rows matter most. The premium promise sits against the dull lift door and dusty grille (Figs. 1 and 6), rated amber. The promise of a consistent Meliá standard at breakfast sits against a report that breakfast was moved offsite after an electrical fault [ADD PLATFORM AND MONTH OF THE REVIEW; IT IS FROM YOUR NOTES AND I COULD NOT VERIFY IT], rated red, although it rests on one report and needs corroboration. Both are small things, and at a £300 rate they are costly, because Zeithaml (1988) implies the guest paying more expects more. Using Kano’s logic, these are must-be failures, which explains why they can outweigh the delight delivered by Arado.</w:t>
      </w:r>
    </w:p>
    <w:p>
      <w:pPr>
        <w:pStyle w:val="BodyText"/>
      </w:pPr>
      <w:r>
        <w:t>Zomerdijk and Voss (2010) treat the journey as a chain of touchpoints, and the weakest one shapes the memory, so one dull lift door can outweigh an excellent breakfast.</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 xml:space="preserve">All costs and timings are the author’s estimates. Each recommendation is tied to evidence and a lens, and Appendix 6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 xml:space="preserve">Write an outage plan with a backup service area, a scripted apology, a standard make-good such as a drink at ’35 Bar, and a same-day manager follow-up. The offsite-breakfast report is the evidence.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 xml:space="preserve">The priority order, by impact against effort, is R2 and R1 first as the cheapest and most visible, R4 next, and R3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review-coding frame so results compare with this study’s baseline, and redesign any item that shows no movement before spending more. A 90-day timeline is in Appendix 6.</w:t>
      </w:r>
    </w:p>
    <w:bookmarkEnd w:id="25"/>
    <w:bookmarkStart w:id="26" w:name="conclusion"/>
    <w:p>
      <w:pPr>
        <w:pStyle w:val="Heading1"/>
      </w:pPr>
      <w:r>
        <w:t xml:space="preserve">7. Conclusion</w:t>
      </w:r>
    </w:p>
    <w:p>
      <w:pPr>
        <w:pStyle w:val="FirstParagraph"/>
      </w:pPr>
      <w:r>
        <w:t>Meliá White House largely delivers its premium promise where guests look first, in public spaces, breakfast and the bar, but under-delivers on condition and consistency, which matters more at a premium rate of about £240 to £310. These findings rest on one hosted visit, photographic and document evidence and a small, self-selected review sample. The hotel should first fix breakfast continuity and its must-be basics, because they are cheap, fast and protect the investment already made.</w:t>
      </w:r>
    </w:p>
    <w:bookmarkEnd w:id="26"/>
    <w:bookmarkStart w:id="27" w:name="references"/>
    <w:p>
      <w:pPr>
        <w:pStyle w:val="Heading1"/>
      </w:pPr>
      <w:r>
        <w:t xml:space="preserve">References</w:t>
      </w:r>
    </w:p>
    <w:p>
      <w:pPr>
        <w:pStyle w:val="FirstParagraph"/>
      </w:pPr>
      <w:r>
        <w:t xml:space="preserve">Check every edition, page range and publisher against the library catalogue before submitting. The academic entries are carried over from your earlier draft and were not independently looked up.</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w:t>
      </w:r>
    </w:p>
    <w:p>
      <w:pPr>
        <w:pStyle w:val="BodyText"/>
      </w:pPr>
      <w:r>
        <w:t>Booking.com (2026) Availability: Meliá White House, Deluxe Double Room, 8–9 November 2026 [screenshot of booking page, captured 8 October 2026]. Available at: [ADD URL OF THE PAGE] (Accessed: 8 October 2026).</w:t>
      </w:r>
    </w:p>
    <w:p>
      <w:pPr>
        <w:pStyle w:val="BodyText"/>
      </w:pPr>
      <w:r>
        <w:t xml:space="preserve">Braun, V. and Clarke, V. (2006)</w:t>
      </w:r>
      <w:r>
        <w:t xml:space="preserve"> </w:t>
      </w:r>
      <w:r>
        <w:t xml:space="preserve">‘</w:t>
      </w:r>
      <w:r>
        <w:t xml:space="preserve">Using thematic analysis in psychology</w:t>
      </w:r>
      <w:r>
        <w:t xml:space="preserve">’</w:t>
      </w:r>
      <w:r>
        <w:t xml:space="preserve">,</w:t>
      </w:r>
      <w:r>
        <w:t xml:space="preserve"> </w:t>
      </w:r>
      <w:r>
        <w:rPr>
          <w:iCs/>
          <w:i/>
        </w:rPr>
        <w:t xml:space="preserve">Qualitative Research in Psychology</w:t>
      </w:r>
      <w:r>
        <w:t xml:space="preserve">, 3(2), pp. 77-101.</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 xml:space="preserve">’</w:t>
      </w:r>
      <w:r>
        <w:t xml:space="preserve"> </w:t>
      </w:r>
      <w:r>
        <w:t xml:space="preserve">[CHECK EXACT TITLE AND DATE ON THE PAGE]. Available at: https://www.breakingtravelnews.com/news/article/melia-recognized-in-the-sp-global-sustainability-yearbook-2026-for-the-nint/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https://www.businesstraveller.com/business-travel/2024/04/21/londons-melia-white-house-introduces-co-working-spaces/ (Accessed: 8 October 2026).</w:t>
      </w:r>
    </w:p>
    <w:p>
      <w:pPr>
        <w:pStyle w:val="BodyText"/>
      </w:pPr>
      <w:r>
        <w:t xml:space="preserve">Camden Council (2025)</w:t>
      </w:r>
      <w:r>
        <w:t xml:space="preserve"> </w:t>
      </w:r>
      <w:r>
        <w:rPr>
          <w:iCs/>
          <w:i/>
        </w:rPr>
        <w:t xml:space="preserve">White House Hotel, Albany Street: listed building consent supporting documents</w:t>
      </w:r>
      <w:r>
        <w:t xml:space="preserve"> </w:t>
      </w:r>
      <w:r>
        <w:t xml:space="preserve">[CONFIRM TITLE]. Available at: https://camdocs.camden.gov.uk/CMWebDrawer/Record/7286405/file/document [A SECOND CANDIDATE IS RECORD 7718853; USE THE ONE YOU READ]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https://historicengland.org.uk/listing/the-list/list-entry/1113231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https://www.hospitalitynet.org/announcement/41009454.html (Accessed: 8 October 2026) [CONFIRM PUBLICATION DATE ON THE PAGE].</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https://www.journaldespalaces.com/en/pressrelease-79079-Luxury-focus-drives-Meliy-into-the-World-s-Top-10-Strongest-Hotel-Brands.html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Litvin, S.W., Goldsmith, R.E. and Pan, B. (2008)</w:t>
      </w:r>
      <w:r>
        <w:t xml:space="preserve"> </w:t>
      </w:r>
      <w:r>
        <w:t xml:space="preserve">‘</w:t>
      </w:r>
      <w:r>
        <w:t xml:space="preserve">Electronic word-of-mouth in hospitality and tourism management</w:t>
      </w:r>
      <w:r>
        <w:t xml:space="preserve">’</w:t>
      </w:r>
      <w:r>
        <w:t xml:space="preserve">,</w:t>
      </w:r>
      <w:r>
        <w:t xml:space="preserve"> </w:t>
      </w:r>
      <w:r>
        <w:rPr>
          <w:iCs/>
          <w:i/>
        </w:rPr>
        <w:t xml:space="preserve">Tourism Management</w:t>
      </w:r>
      <w:r>
        <w:t xml:space="preserve">, 29(3), pp. 458-468.</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w:t>
      </w:r>
    </w:p>
    <w:p>
      <w:pPr>
        <w:pStyle w:val="BodyText"/>
      </w:pPr>
      <w:r>
        <w:t xml:space="preserve">Sparks, B.A. and Browning, V. (2011)</w:t>
      </w:r>
      <w:r>
        <w:t xml:space="preserve"> </w:t>
      </w:r>
      <w:r>
        <w:t xml:space="preserve">‘</w:t>
      </w:r>
      <w:r>
        <w:t xml:space="preserve">The impact of online reviews on hotel booking intentions and perception of trust</w:t>
      </w:r>
      <w:r>
        <w:t xml:space="preserve">’</w:t>
      </w:r>
      <w:r>
        <w:t xml:space="preserve">,</w:t>
      </w:r>
      <w:r>
        <w:t xml:space="preserve"> </w:t>
      </w:r>
      <w:r>
        <w:rPr>
          <w:iCs/>
          <w:i/>
        </w:rPr>
        <w:t xml:space="preserve">Tourism Management</w:t>
      </w:r>
      <w:r>
        <w:t xml:space="preserve">, 32(6), pp. 1310-1323.</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w:t>
      </w:r>
    </w:p>
    <w:bookmarkEnd w:id="27"/>
    <w:bookmarkStart w:id="61" w:name="appendices"/>
    <w:p>
      <w:pPr>
        <w:pStyle w:val="Heading1"/>
      </w:pPr>
      <w:r>
        <w:t xml:space="preserve">Appendices</w:t>
      </w:r>
    </w:p>
    <w:bookmarkStart w:id="55" w:name="appendix-1-photographs-figs.-1-9"/>
    <w:p>
      <w:pPr>
        <w:pStyle w:val="Heading2"/>
      </w:pPr>
      <w:r>
        <w:t xml:space="preserve">Appendix 1: Photographs (Figs. 1-9)</w:t>
      </w:r>
    </w:p>
    <w:p>
      <w:pPr>
        <w:pStyle w:val="FirstParagraph"/>
      </w:pPr>
      <w:r>
        <w:t xml:space="preserve">All photographs were taken by the author on the hosted tour [CONFIRM DATE].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10.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 xml:space="preserve">Visit observation and photos, 9 September 2025 [CONFIRM]</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 xml:space="preserve">Camden planning documents; Historic England list entry</w:t>
            </w:r>
          </w:p>
        </w:tc>
        <w:tc>
          <w:tcPr/>
          <w:p>
            <w:pPr>
              <w:pStyle w:val="Compact"/>
              <w:jc w:val="left"/>
            </w:pPr>
            <w:r>
              <w:t xml:space="preserve">Listing, building form, room count</w:t>
            </w:r>
          </w:p>
        </w:tc>
        <w:tc>
          <w:tcPr/>
          <w:p>
            <w:pPr>
              <w:pStyle w:val="Compact"/>
              <w:jc w:val="left"/>
            </w:pPr>
            <w:r>
              <w:t xml:space="preserve">Current operations; dates may be unclear</w:t>
            </w:r>
          </w:p>
        </w:tc>
        <w:tc>
          <w:tcPr/>
          <w:p>
            <w:pPr>
              <w:pStyle w:val="Compact"/>
              <w:jc w:val="left"/>
            </w:pPr>
            <w:r>
              <w:t xml:space="preserve">Cite date; note the room-count conflict</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 xml:space="preserve">Online reviews (3 platforms)</w:t>
            </w:r>
          </w:p>
        </w:tc>
        <w:tc>
          <w:tcPr/>
          <w:p>
            <w:pPr>
              <w:pStyle w:val="Compact"/>
              <w:jc w:val="left"/>
            </w:pPr>
            <w:r>
              <w:t xml:space="preserve">Guest voice and recurring themes</w:t>
            </w:r>
          </w:p>
        </w:tc>
        <w:tc>
          <w:tcPr/>
          <w:p>
            <w:pPr>
              <w:pStyle w:val="Compact"/>
              <w:jc w:val="left"/>
            </w:pPr>
            <w:r>
              <w:t xml:space="preserve">Representativeness</w:t>
            </w:r>
          </w:p>
        </w:tc>
        <w:tc>
          <w:tcPr/>
          <w:p>
            <w:pPr>
              <w:pStyle w:val="Compact"/>
              <w:jc w:val="left"/>
            </w:pPr>
            <w:r>
              <w:t xml:space="preserve">Indicative sample only (Litvin et al., 2008)</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 xml:space="preserve">Matches search summaries of the release; re-read the page before submitting</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 xml:space="preserve">Stated there. A 2013 release describes an earlier phase (200 of 581 rooms, from 2011) and Camden filings show works in 2025, so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 xml:space="preserve">Matches search summary of the entry (listed 11 January 1999); confirm on the page</w:t>
            </w:r>
          </w:p>
        </w:tc>
      </w:tr>
      <w:tr>
        <w:tc>
          <w:tcPr/>
          <w:p>
            <w:pPr>
              <w:pStyle w:val="Compact"/>
              <w:jc w:val="left"/>
            </w:pPr>
            <w:r>
              <w:t xml:space="preserve">Room count</w:t>
            </w:r>
          </w:p>
        </w:tc>
        <w:tc>
          <w:tcPr/>
          <w:p>
            <w:pPr>
              <w:pStyle w:val="Compact"/>
              <w:jc w:val="left"/>
            </w:pPr>
            <w:r>
              <w:t xml:space="preserve">Hospitality Net (2023): 581; Camden Council (2025): 548</w:t>
            </w:r>
          </w:p>
        </w:tc>
        <w:tc>
          <w:tcPr/>
          <w:p>
            <w:pPr>
              <w:pStyle w:val="Compact"/>
              <w:jc w:val="left"/>
            </w:pPr>
            <w:r>
              <w:t xml:space="preserve">Sources conflict. Reported in Chapter 2 with both sources named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 xml:space="preserve">Matches search summary; check title and date on the page</w:t>
            </w:r>
          </w:p>
        </w:tc>
      </w:tr>
      <w:tr>
        <w:tc>
          <w:tcPr/>
          <w:p>
            <w:pPr>
              <w:pStyle w:val="Compact"/>
              <w:jc w:val="left"/>
            </w:pPr>
            <w:r>
              <w:t>Rooms about £300 (staff); about £236 to £309 (booking site, 8–9 Nov 2026)</w:t>
            </w:r>
          </w:p>
        </w:tc>
        <w:tc>
          <w:tcPr/>
          <w:p>
            <w:pPr>
              <w:pStyle w:val="Compact"/>
              <w:jc w:val="left"/>
            </w:pPr>
            <w:r>
              <w:t xml:space="preserve">Staff session; booking site</w:t>
            </w:r>
          </w:p>
        </w:tc>
        <w:tc>
          <w:tcPr/>
          <w:p>
            <w:pPr>
              <w:pStyle w:val="Compact"/>
              <w:jc w:val="left"/>
            </w:pPr>
            <w:r>
              <w:t>Screenshot captured 8 October 2026 (Fig. 10): standard NPR 63,249 (about £309), member deal NPR 48,385 (about £236), at about 205 NPR to the pound. Confirm the hotel name and add the URL</w:t>
            </w:r>
          </w:p>
        </w:tc>
      </w:tr>
      <w:tr>
        <w:tc>
          <w:tcPr/>
          <w:p>
            <w:pPr>
              <w:pStyle w:val="Compact"/>
              <w:jc w:val="left"/>
            </w:pPr>
            <w:r>
              <w:t xml:space="preserve">Breakfast moved offsite after an electrical fault</w:t>
            </w:r>
          </w:p>
        </w:tc>
        <w:tc>
          <w:tcPr/>
          <w:p>
            <w:pPr>
              <w:pStyle w:val="Compact"/>
              <w:jc w:val="left"/>
            </w:pPr>
            <w:r>
              <w:t xml:space="preserve">One review (from your notes)</w:t>
            </w:r>
          </w:p>
        </w:tc>
        <w:tc>
          <w:tcPr/>
          <w:p>
            <w:pPr>
              <w:pStyle w:val="Compact"/>
              <w:jc w:val="left"/>
            </w:pPr>
            <w:r>
              <w:t xml:space="preserve">NOT verified. Add platform and month, or remove R2’s evidence claim</w:t>
            </w:r>
          </w:p>
        </w:tc>
      </w:tr>
      <w:tr>
        <w:tc>
          <w:tcPr/>
          <w:p>
            <w:pPr>
              <w:pStyle w:val="Compact"/>
              <w:jc w:val="left"/>
            </w:pPr>
            <w:r>
              <w:t xml:space="preserve">Visit date 9 September 2025</w:t>
            </w:r>
          </w:p>
        </w:tc>
        <w:tc>
          <w:tcPr/>
          <w:p>
            <w:pPr>
              <w:pStyle w:val="Compact"/>
              <w:jc w:val="left"/>
            </w:pPr>
            <w:r>
              <w:t xml:space="preserve">Your notes</w:t>
            </w:r>
          </w:p>
        </w:tc>
        <w:tc>
          <w:tcPr/>
          <w:p>
            <w:pPr>
              <w:pStyle w:val="Compact"/>
              <w:jc w:val="left"/>
            </w:pPr>
            <w:r>
              <w:t xml:space="preserve">To confirm. The photo files carry a 15 September 2026 save date, not a capture date</w:t>
            </w:r>
          </w:p>
        </w:tc>
      </w:tr>
    </w:tbl>
    <w:bookmarkEnd w:id="57"/>
    <w:bookmarkStart w:id="58" w:name="Xce85ddd8ac2e374db4e17360f410f0600cc834a"/>
    <w:p>
      <w:pPr>
        <w:pStyle w:val="Heading2"/>
      </w:pPr>
      <w:r>
        <w:t xml:space="preserve">Appendix 4: Review sample, coding sheet and chart</w:t>
      </w:r>
    </w:p>
    <w:p>
      <w:pPr>
        <w:pStyle w:val="FirstParagraph"/>
      </w:pPr>
      <w:r>
        <w:t xml:space="preserve">This is the only dataset I could not supply: it has to come from reviews you collect and read. Sampling protocol: 36 reviews from the last 12 months, 12 each from TripAdvisor, Google and one booking site, with 4 positive, 4 mixed and 4 negative on each platform. Code each review once per touchpoint mentioned (+ or −) and tag the Kano type. Paraphrase; do not copy reviewer text. Cite platform and month only. Indicative sample only (Litvin et al., 2008).</w:t>
      </w:r>
    </w:p>
    <w:tbl>
      <w:tblPr>
        <w:tblStyle w:val="Table"/>
        <w:tblW w:type="pct" w:w="5000"/>
        <w:tblLook w:firstRow="1" w:lastRow="0" w:firstColumn="0" w:lastColumn="0" w:noHBand="0" w:noVBand="0" w:val="0020"/>
        <w:jc w:val="start"/>
      </w:tblPr>
      <w:tblGrid>
        <w:gridCol w:w="1377"/>
        <w:gridCol w:w="344"/>
        <w:gridCol w:w="344"/>
        <w:gridCol w:w="1262"/>
        <w:gridCol w:w="4591"/>
      </w:tblGrid>
      <w:tr>
        <w:trPr>
          <w:tblHeader w:val="true"/>
        </w:trPr>
        <w:tc>
          <w:tcPr/>
          <w:p>
            <w:pPr>
              <w:pStyle w:val="Compact"/>
              <w:jc w:val="left"/>
            </w:pPr>
            <w:r>
              <w:t xml:space="preserve">Touchpoint</w:t>
            </w:r>
          </w:p>
        </w:tc>
        <w:tc>
          <w:tcPr/>
          <w:p>
            <w:pPr>
              <w:pStyle w:val="Compact"/>
              <w:jc w:val="left"/>
            </w:pPr>
            <w:r>
              <w:t xml:space="preserve">+</w:t>
            </w:r>
          </w:p>
        </w:tc>
        <w:tc>
          <w:tcPr/>
          <w:p>
            <w:pPr>
              <w:pStyle w:val="Compact"/>
              <w:jc w:val="left"/>
            </w:pPr>
            <w:r>
              <w:t xml:space="preserve">−</w:t>
            </w:r>
          </w:p>
        </w:tc>
        <w:tc>
          <w:tcPr/>
          <w:p>
            <w:pPr>
              <w:pStyle w:val="Compact"/>
              <w:jc w:val="left"/>
            </w:pPr>
            <w:r>
              <w:t xml:space="preserve">Kano type</w:t>
            </w:r>
          </w:p>
        </w:tc>
        <w:tc>
          <w:tcPr/>
          <w:p>
            <w:pPr>
              <w:pStyle w:val="Compact"/>
              <w:jc w:val="left"/>
            </w:pPr>
            <w:r>
              <w:t xml:space="preserve">Example (paraphrase, platform, month)</w:t>
            </w:r>
          </w:p>
        </w:tc>
      </w:tr>
      <w:tr>
        <w:tc>
          <w:tcPr/>
          <w:p>
            <w:pPr>
              <w:pStyle w:val="Compact"/>
              <w:jc w:val="left"/>
            </w:pPr>
            <w:r>
              <w:t xml:space="preserve">Arrival and lobby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Room and bathroom</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Breakfast</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’35 Bar, lounge, The Level</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Staff and recovery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Price and value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t xml:space="preserve">After coding, add a stacked bar chart (+ against −) per touchpoint here, then put the totals into Chapter 5 where it says [X] and [Y].</w:t>
      </w:r>
    </w:p>
    <w:bookmarkEnd w:id="58"/>
    <w:bookmarkStart w:id="59" w:name="appendix-5-promise-versus-proof-ledger"/>
    <w:p>
      <w:pPr>
        <w:pStyle w:val="Heading2"/>
      </w:pPr>
      <w:r>
        <w:t xml:space="preserve">Appendix 5: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Consistent Meliá standard at breakfast</w:t>
            </w:r>
          </w:p>
        </w:tc>
        <w:tc>
          <w:tcPr/>
          <w:p>
            <w:pPr>
              <w:pStyle w:val="Compact"/>
              <w:jc w:val="left"/>
            </w:pPr>
            <w:r>
              <w:t xml:space="preserve">Breakfast moved offsite after an electrical fault (one report)</w:t>
            </w:r>
          </w:p>
        </w:tc>
        <w:tc>
          <w:tcPr/>
          <w:p>
            <w:pPr>
              <w:pStyle w:val="Compact"/>
              <w:jc w:val="left"/>
            </w:pPr>
            <w:r>
              <w:t xml:space="preserve">Red</w:t>
            </w:r>
          </w:p>
        </w:tc>
        <w:tc>
          <w:tcPr/>
          <w:p>
            <w:pPr>
              <w:pStyle w:val="Compact"/>
              <w:jc w:val="left"/>
            </w:pPr>
            <w:r>
              <w:t xml:space="preserve">Functional (recovery)</w:t>
            </w:r>
          </w:p>
        </w:tc>
        <w:tc>
          <w:tcPr/>
          <w:p>
            <w:pPr>
              <w:pStyle w:val="Compact"/>
              <w:jc w:val="left"/>
            </w:pPr>
            <w:r>
              <w:t xml:space="preserve">Review [ADD]</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 xml:space="preserve">Appendix 6: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31" Type="http://schemas.openxmlformats.org/officeDocument/2006/relationships/image" Target="media/rId31.jpg"/><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52" Type="http://schemas.openxmlformats.org/officeDocument/2006/relationships/image" Target="media/rId52.jp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