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run by Meliá since 1999 (Historic England, n.d.). Meliá reports a £40m, five-year renovation of its 581 bedrooms and suites, restaurant, bar and public spaces, done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falls short,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falls short where they look closely (condition and consistency). That gap costs more at a quoted rate near £300 than it would at a budget rate. Chapter 2 sets out the method, Chapters 3 and 4 the tools and the decisions, Chapter 5 the evidence, and Chapters 6 and 7 the recommendations and the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no contract and no client feedback loop, so entry and feedback are simulated, and the report claims only diagnosis and recommendation. Feedback is the weakest stage, because no client has tested the findings.</w:t>
      </w:r>
    </w:p>
    <w:p w14:paraId="18B2B15E" w14:textId="77777777" w:rsidR="00DB1E35" w:rsidRDefault="00000000">
      <w:pPr>
        <w:pStyle w:val="BodyText"/>
      </w:pPr>
      <w:r>
        <w:t>The design is a single-case study (Yin, 2018). One hotel gives depth rather than breadth. That suits a question about consistency across touchpoints, though it limits how far the findings can be generalised.</w:t>
      </w:r>
    </w:p>
    <w:p w14:paraId="1A4B32A6" w14:textId="77777777" w:rsidR="00DB1E35" w:rsidRDefault="00000000">
      <w:pPr>
        <w:pStyle w:val="BodyText"/>
      </w:pPr>
      <w:r>
        <w:t>Primary data came from a hosted visit on 9 September 2025 (Veal, 2017). It had three parts. The group was first seated, and each person introduced themselves in turn, followed by a two-way question-and-answer session about hospitality careers, in which staff asked questions as well as answering them. Next, the group split into small groups and was taken through the hotel’s rooms and facilities. Staff said rooms start from about £300 a night and stressed that the property is more than a hotel of rooms, with F&amp;B, lounge, wellness and workspace facilities. Drinks were served before the group left. Observation was non-participant and recorded in photographs. The staff remarks are paraphrased from memory and are not treated as policy.</w:t>
      </w:r>
    </w:p>
    <w:p w14:paraId="51E2D96E" w14:textId="77777777" w:rsidR="00DB1E35" w:rsidRDefault="00000000">
      <w:pPr>
        <w:pStyle w:val="BodyText"/>
      </w:pPr>
      <w:r>
        <w:t>The visit was therefore a guided, hospitable one. The first session was about careers, not operations, the hosts chose the route, and the closing drinks may have softened impressions. What it showed was a managed version of the hotel. Sixteen photographs were taken, and five are used as Figures 1 to 5 (Appendix 1). Photographs showing identifiable people were cropped or left out. The findings should be read with that in mind.</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self-selected, so the reviews are indicative only (Litvin, Goldsmith and Pan, 2008; Sparks and Browning, 2011). Sources also conflict: Meliá’s press material gives 581 bedrooms, while a Camden Council document gives 548 (Camden Council, 2025). Both figures are reported and neither is chosen silently. The co-working article dates from April 2024, so prices may have changed, and the £300 figure is a verbal staff quote of a starting rate, not a published tariff. Findings are therefore indicative. Appendix 2 maps each source.</w:t>
      </w:r>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one returns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For a consultant the split matters because different teams fix each side: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go unnoticed when present, while others delight. Categories are normally set by survey and shift by guest type, so here they are inferred from photographs, and the report says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Once the guest has paid a premium rate, the same patina can read as neglect.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from guest to guest. Xia, Monroe and Cox (2004) add that price differences are judged for fairness, and Kimes (2002) notes that yield pricing is rational for the hotel yet can feel unfair. Rooms were quoted at about £300 on the visit, a level online listings also suggest, and that sets a high yardstick. A lift door that is forgiven at a budget price can be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cannot substitute for reliability. The lens is applied to breakfast, the hotel’s most visible service. No failure was seen on the visit, so it shapes a precautionary protocol and does not judge past performance.</w:t>
      </w:r>
      <w:r/>
    </w:p>
    <w:p w14:paraId="48F7BC40" w14:textId="77777777" w:rsidR="00DB1E35" w:rsidRDefault="00000000">
      <w:pPr>
        <w:pStyle w:val="BodyText"/>
      </w:pPr>
      <w:r>
        <w:t>Taken 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and the lift lobby pairs black marble with a pedimented surround (Fig. 1). Yet Poria et al. (2003) suggest heritage appeals through a personal link with the past, which a neglected finish does not support, and the lift lobby shows how quickly heritage becomes a liability when it is not maintained. The lift door has a dull, uneven finish, and the air-conditioning grille above the cornice is visibly dusty. Camden filings also show works continuing in 2025, including a Wing A refurbishment and a basement conversion (Camden Council, 2025). The verdict: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a hot-lamp pass, bread in linen bags and a bowl of Real Crisps (Fig. 2). The drinks station adds Spanish wines (Embrujo, La Prensa, Arnegui Rioja Crianza) and, on ice, Codorníu Cuvée Original Brut Ecológico beside Flama d’Or cava. The concept breaks down in the room. The tea and coffee tray holds Nescafé Original sachets and portion milk, on a black marble top with visible water marks and smears (Fig. 4), which contradicts the Spanish, premium identity. The verdict is a good bet undermined by a fixable inconsistency. Gentile, Spiller and Noci (2007) explain why it matters: experience is built from many components, so one weak component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 shows a long timber table with power-ready seating beside softer café-style tables facing a garden (Fig. 3). The visit also took in a dark-wood, red-velvet ’35 Bar, so the offer exists as a flexible work-and-dine space with a distinct second outlet. The verdict: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The scheme is better read as a way of drawing local professionals into Arado and ’35 Bar than as a major revenue line, and without redemption data the discount cannot be judged.</w:t>
      </w:r>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support the value story, not lead it. The only sustainability cue seen on the visit was the organic cava. A brand that wanted guests to credit its green record would need visible, repeated cues, and one organic product offers little. The verdict: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three evidence types agree on the pattern. Photographs, documents and reviews all point to strength in public spaces, breakfast and the bar, and weakness in condition and consistency. They differ on scale: the photographs show small, visible faults, whereas the press material promises that the hotel exceeds expectations. Where they conflict, repeated guest accounts outweigh a single promotional claim. Triangulation here is a credibility check, not statistical proof. Read together, the three sources tell one story, even if they tell it at different volumes.</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the lounge (Fig. 3), the ’35 Bar and a guest room with walnut headboard, bay window and a framed motorcycle artwork (Fig. 5) all read as premium. The faults sit in surfaces guests touch or look up at: the lift door (Fig. 1), the marble tray top and instant-coffee sachets (Fig. 4), the grille beside the cornice, and a corridor where an open service door shows a laundry cart. The corridor point is minor and may reflect tour timing.</w:t>
      </w:r>
    </w:p>
    <w:p w14:paraId="0E57F945" w14:textId="77777777" w:rsidR="00DB1E35" w:rsidRDefault="00000000">
      <w:pPr>
        <w:pStyle w:val="BodyText"/>
      </w:pPr>
      <w:r>
        <w:t>Appendix 3 sets promise against proof. The row that matters most pairs the premium promise with the dull lift door and dusty grille (Fig. 1), rated amber. These are small things, and at a £300 rate they are costly, because Zeithaml (1988) implies the guest paying more expects more. In Kano’s terms they are must-be failures, which explains why they can outweigh the delight Arado delivers.</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falls short on consistency. That is encouraging for management, because condition failures respond to routine checklist control rather than capital spend. The findings therefore describe the upkeep of a largely successful repositioning, not a case for rethinking it. Put plainly, the hotel does not need a new strategy. It needs the existing one applied with the same care every day.</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and 4 show two of the faults, Kano et al. (1984) rank must-be failures above missing delight, and Turley and Milliman (2000) show that the setting shapes judgement. Measure the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4 contrasts with Fig. 2,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 3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By impact against effort, R2 and R1 come first as the cheapest and most visible, R4 follows, and R3 comes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 The cheap, visible fixes also build the evidence needed to justify the costlier one.</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falls short on condition and consistency, which matters more at a rate near £300. These findings rest on one hosted visit, photographic and document evidence and a small number of self-selected guest reviews. The hotel should fix breakfast continuity and its must-be basics first,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1-5)</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3.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4. In-room tea and coffee tray with Nescafé sachets on a marked marble top.</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5.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468304B9" w14:textId="77777777">
        <w:tc>
          <w:tcPr>
            <w:tcW w:w="0" w:type="auto"/>
          </w:tcPr>
          <w:p w14:paraId="647D8091" w14:textId="77777777" w:rsidR="00DB1E35" w:rsidRDefault="00000000">
            <w:pPr>
              <w:pStyle w:val="Compact"/>
            </w:pPr>
            <w:r>
              <w:t>3</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4</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62DB0452" w14:textId="77777777">
        <w:tc>
          <w:tcPr>
            <w:tcW w:w="0" w:type="auto"/>
          </w:tcPr>
          <w:p w14:paraId="778C1663" w14:textId="77777777" w:rsidR="00DB1E35" w:rsidRDefault="00000000">
            <w:pPr>
              <w:pStyle w:val="Compact"/>
            </w:pPr>
            <w:r>
              <w:t>5</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4</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4</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 1</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3;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5</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revision>2</cp:revision>
  <dcterms:created xsi:type="dcterms:W3CDTF">2026-10-08T07:45:00Z</dcterms:created>
  <dcterms:modified xsi:type="dcterms:W3CDTF">2026-10-08T10:25:00Z</dcterms:modified>
</cp:coreProperties>
</file>