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Blueprint: Starbucks Expansion into Bangladesh</w:t>
      </w:r>
    </w:p>
    <w:p>
      <w:pPr>
        <w:spacing w:after="10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International Business in the Global Economy – Formative Assessment (BSc Applied Management, BPP)</w:t>
      </w:r>
    </w:p>
    <w:p>
      <w:pPr>
        <w:spacing w:after="10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1,000-word strategic report | AC1 + AC2 | Target 85+ | Blueprint only – no report text drafted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 (one page)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Country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Bangladesh (Dhaka first). Large, young, urbanising market; institutionally fragile; already served by several foreign coffee chains.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Core problem the report solves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“is there demand?” but “can a late mover with a premium brand win in a tea-dominant, price-sensitive market where rivals are already established?”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Thesis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as a premium challenger through a licence or JV with a domestic conglomerate, rolling out cluster by cluster in Dhaka’s affluent districts. Starbucks’ advantage is capability, not novelty, and local institutions and networks make a well-connected partner essential.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framework (ONE)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RBV (Barney, 1991) with core competence (Prahalad and Hamel, 1990), benchmarked against named rivals instead of in isolation.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 theories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Eclectic Paradigm (market-seeking); institutional voids (Khanna and Palepu, 1997) with Scott’s three pillars; liability of outsidership (Johanson and Vahlne, 2009).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AC2 structure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Four tests the market sets: can we operate, can customers pay, will they come and how, what do we learn.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Culture method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six Hofstede dimensions mapped onto the customer and employee journey, with Hall’s high-context communication as the second lens.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Word budget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 50 | AC1 430 | AC2 430 | Conclusion 50 = 960 (40-word margin).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Biggest evidence risks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verified Hofstede scores for long-term orientation and indulgence; unknown Starbucks pricing; unknown mobile-payment adoption; foreign-ownership rules for food retail not yet found.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What a harsh marker looks for (from the marking guide)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80+ descriptor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this blueprint answers 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“Detailed and deeply integrated” AC1 discussion; RBV, Institutional Theory, Eclectic Paradigm all applied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theory has one job and hands over to the next: RBV says what Starbucks has, OLI says why Bangladesh, institutional theory says through whom.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“Exceptional critical evaluation… well-chosen examples”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Named rivals (Coffee World, Gloria Jean’s, Crimson Cup, Café Amazon) used as live comparators; each theory gets a stated limit.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AC2: all Hofstede elements, management changes, “remain competitive globally”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Six dimensions linked to concrete changes in leadership, communication, marketing and offer; a reverse-learning card.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Referencing precise and full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Reference plan in Section 9; every figure carries a verification status in Section 7.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Academic skills at professional standard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late-mover framing, honest data limits, clean figures and tables.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Traps to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Treating Bangladesh as an empty market. Foreign chains have been there since 2005, so the report must acknowledge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Using RBV or VRIO as a generic table with no competitor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Listing Hofstede scores without management consequences, or quoting scores you cannot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Using more than ONE framework for the internal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Unsupported claims about prices, payments, gender norms or tourism: label as hypotheses or leave out.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Why Bangladesh, and what I could and could not verify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is a good test: </w:t>
      </w:r>
      <w:r>
        <w:rPr>
          <w:rFonts w:ascii="Calibri" w:cs="Calibri" w:eastAsia="Calibri" w:hAnsi="Calibri"/>
          <w:sz w:val="21"/>
          <w:szCs w:val="21"/>
        </w:rPr>
        <w:t xml:space="preserve">about 175.7m people, median age 26, 42.6% urban and rising, GNI per capita about $2,820 (2024), a nascent but growing café scene, and a political and institutional reset after 2024–26. That mix produces real tension to analyse.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Starbucks presence: </w:t>
      </w:r>
      <w:r>
        <w:rPr>
          <w:rFonts w:ascii="Calibri" w:cs="Calibri" w:eastAsia="Calibri" w:hAnsi="Calibri"/>
          <w:sz w:val="21"/>
          <w:szCs w:val="21"/>
        </w:rPr>
        <w:t xml:space="preserve">my search found no report of Starbucks planning or operating in Bangladesh, but it was a single search and the results were mostly about other markets. Confirm on the store locator and the 10-K market list, and record the check in Appendix A.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Competitive set found: </w:t>
      </w:r>
      <w:r>
        <w:rPr>
          <w:rFonts w:ascii="Calibri" w:cs="Calibri" w:eastAsia="Calibri" w:hAnsi="Calibri"/>
          <w:sz w:val="21"/>
          <w:szCs w:val="21"/>
        </w:rPr>
        <w:t xml:space="preserve">Coffee World (first international chain, Banani 2005); Gloria Jean’s (entered 2012) and Crimson Cup (2015), reported at five and 10 stores in a 2024–25 report; Café Amazon (Thailand), launched in Dhaka in August 2024 through Bashundhara Group, with a long-term plan for 100 stores; local operators such as Tabaq Coffee and Coal &amp; Coffee; specialty roasters North End and Awake. Verify store counts and dates.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Constraint evidence: </w:t>
      </w:r>
      <w:r>
        <w:rPr>
          <w:rFonts w:ascii="Calibri" w:cs="Calibri" w:eastAsia="Calibri" w:hAnsi="Calibri"/>
          <w:sz w:val="21"/>
          <w:szCs w:val="21"/>
        </w:rPr>
        <w:t xml:space="preserve">reports cite high duties on imported premium beans, high real-estate costs, a shortage of trained baristas and saturation in upscale neighbourhoods. Tea remains the dominant hot drink.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Regional precedent: </w:t>
      </w:r>
      <w:r>
        <w:rPr>
          <w:rFonts w:ascii="Calibri" w:cs="Calibri" w:eastAsia="Calibri" w:hAnsi="Calibri"/>
          <w:sz w:val="21"/>
          <w:szCs w:val="21"/>
        </w:rPr>
        <w:t xml:space="preserve">Starbucks in India (Tata Starbucks, opened Mumbai 2012) is the natural comparator for a South Asian partnership model. Verify details before citing.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Core argument and steel-manned objections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Thesis: </w:t>
      </w:r>
      <w:r>
        <w:rPr>
          <w:rFonts w:ascii="Calibri" w:cs="Calibri" w:eastAsia="Calibri" w:hAnsi="Calibri"/>
          <w:sz w:val="21"/>
          <w:szCs w:val="21"/>
        </w:rPr>
        <w:t xml:space="preserve">Starbucks should enter Bangladesh as a premium challenger, not a pioneer. Its advantage lies in transferable capabilities (sourcing, training, brand, loyalty platform) rather than novelty, and Bangladesh’s institutional gaps and relationship-based business networks make a domestic conglomerate partner and a cluster-by-cluster rollout the sensible route.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Strongest objection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Reply to build into the text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“Starbucks is too late; Coffee World and others own the category.”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First-mover advantages are real but not decisive (Lieberman and Montgomery, 1988). The market is still small and tea-dominant, so the category is being built, not carved up.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“Bangladesh is too poor for a premium brand.”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Mean income understates the target: the 18–40 urban, affluent and socially active segment is the one that already buys at cafés. State clearly that this is a niche, and that national averages mislead.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“A local conglomerate partner means governance and brand-control risk.”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 it: CPI 24/100 raises partner-governance risk. The reply is contractual (quality audits, step-in rights) and that going alone would face the same voids without the network.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“Macro conditions are too unstable.”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Inflation is high (8.66% in July 2026) but the central bank has begun easing and reserves are rebuilding; the rollout is staged and cluster-based, which limits fixed-cost exposure.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“Hofstede is dated and stereotyping.”</w:t>
            </w:r>
          </w:p>
        </w:tc>
        <w:tc>
          <w:tcPr>
            <w:tcW w:type="dxa" w:w="6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Concede it, flag the data limits, and pair it with Hall’s high-context lens and customer evidence.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Theory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Theory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Job in the report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Limit to state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RBV (Barney, 1991) with core competence (Prahalad and Hamel, 1990): the ONE internal framework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resources and competences matter, benchmarked against four named rivals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Static; benchmarks depend on thin public rival data; a resource is only valuable if local customers value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First-mover vs late-mover (Lieberman and Montgomery, 1988)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Frames why being late changes what advantage must be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 mostly from other contexts; first-mover benefits vary by industry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Eclectic Paradigm (Dunning, 1988)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(capabilities), L (scale, youth, urbanisation: market-seeking), I (licence/JV over wholly owned)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Treats location advantages as given; says little about partner governance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Institutional voids (Khanna and Palepu, 1997) with Scott’s regulative, normative and cognitive pillars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a conglomerate partner and local intermediaries matter; BIDA and Bangladesh Bank rules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Voids are changing after 2024–26; a snapshot may date quickly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Liability of outsidership (Johanson and Vahlne, 2009)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network access, not just distance, shapes success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Hard to measure; may over-weight relationships vs formal contracts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Hofstede et al. (2010) plus Hall (1976)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Six dimensions on the customer and employee journey; communication style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National averages; dated samples; incomplete scores for Bangladesh</w:t>
            </w:r>
          </w:p>
        </w:tc>
      </w:tr>
    </w:tbl>
    <w:p>
      <w:pPr>
        <w:spacing w:after="100"/>
        <w:rPr>
          <w:i/>
          <w:iCs/>
        </w:rPr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Do not add Porter’s Diamond or Value Chain; they would break the “ONE framework” instruction and dilute depth.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Section plan: paragraph cards (960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038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Words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card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AC1: Competitive Advantage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1a 80 + 1b 170 + 1c 180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AC2: Complexities and Diversities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2a 110 + 2b 90 + 2c 170 + 2d 60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Conclusion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card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960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 a 40-word margin; check what counts under your word-count guidelines.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Introduction (50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Enter Bangladesh as a premium challenger through a conglomerate partner, Dhaka clusters first.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Sentence 1 recommendation (~18); sentence 2 thesis and why (~20); sentence 3 roadmap (~12).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AC1: Competitive Advantage (430 words)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1a. The late-mover case (80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Bangladesh is attractive but not empty: Starbucks arrives after Coffee World (2005), Gloria Jean’s (2012), Crimson Cup (2015) and Café Amazon (2024).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175.7m people, median age 26, 42.6% urban; GNI per capita about $2,820 (2024); tea dominant, coffee a young-urban lifestyle product. 10-K data for Starbucks’ growth motive (take figures from the filing).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Lieberman and Montgomery (1988): first-mover advantages are contingent.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 move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Concede that market size is not purchasing power; the real prize is a premium urban niche plus category growth.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Because Starbucks is not first, its capabilities must be the reason to win (leads to 1b).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1b. RBV benchmarked against named rivals (170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Starbucks’ advantage is a bundle of competences rivals find hard to match together: global sourcing standards and scale, training and store-operations systems, brand equity among travelled and diaspora consumers, and a digital loyalty platform.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Compare against Coffee World, Gloria Jean’s, Crimson Cup, Café Amazon (and local roasters) on sourcing, brand, store experience and backing (Appendix B table). Rival data limited; say what is verified.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RBV (valuable, rare, hard to imitate) plus core competence: Prahalad and Hamel (1990).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 move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“valuable” through local eyes: premium pricing may not be valued; Café Amazon’s conglomerate backing and 100-store plan shows rivals can scale fast; imported-bean duties hit everyone.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capabilities are the edge, the open question is how to deploy them under local constraints (1c).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1c. Why enter, and through whom (180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Market-seeking entry via a licence or JV with a domestic conglomerate is the best fit.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OLI: O (capabilities from 1b), L (scale and youth), I (licence/JV avoids heavy fixed investment). Bangladesh Bank/BIDA rules: franchise and royalty agreements pre-endorsed by BIDA; remittance above 6% of prior-year sales needs prior approval (verify current rules). Café Amazon’s Bashundhara partnership as a live example of the partner model.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Eclectic Paradigm; institutional voids (Khanna and Palepu, 1997); liability of outsidership (Johanson and Vahlne, 2009).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 move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Partner dependence cuts both ways: governance risk with CPI 24/100; contract design (quality audits, step-in rights) is the mitigation.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partner choice sets the operating environment tested in AC2.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AC2: Complexities and Diversities (430 words), four tests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2a. Can we operate? Politics and law (110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environment is improving but unproven.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BNP-led government after the 12 February 2026 election (about 211 of 299 constituency seats with allies, provisional) following the 2024 transition; reform agenda at risk from a large majority; CPI 2025: 24/100 (rank to verify); LDC graduation scheduled 24 Nov 2026 with a deferral to 2029 requested (check outcome).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Choose a partner with strong compliance; build regulatory milestones into the plan; expect trade-preference changes to affect costs indirectly.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 move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large majority can stabilise policy or weaken checks; present both.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2b. Can customers pay? Economics (90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 exists in a narrow, price-sensitive band.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Inflation 8.66% (July 2026); policy rate cut to 9.5% (30 July 2026); FY26 growth 3.7–4.1% vs IMF 4.7% projection (Jan 2026) – state the range; weak exports; reserves rebuilding. Imported-bean duties and real-estate costs raise cost per cup.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Target affluent districts first; pricing ladder and a tea or local-flavour range; avoid fixed commitments outside clusters.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 move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 not quote one forecast as fact; show the spread.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2c. Will they come, and how? Culture by journey (170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Culture shapes the offer, the store and the management model.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Evidence (Hofstede)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Power distance about 80; individualism about 20; masculinity about 55; uncertainty avoidance about 60 (secondary sources). Long-term orientation reported about 40 (2013 course table); indulgence not found – check Hofstede Insights for both.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journey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Collectivism: group visits, shared tables, family occasions. Masculinity: status and display. Uncertainty avoidance: trust in familiar, consistent formats. Indulgence (verify): leisure and treat spending. Tea culture: offer tea or hybrid drinks.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Employee journey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 power distance: clear manager authority; adapt the flat “partner” approach; training on empowerment step by step. Hall (1976): high-context communication, so manager feedback needs care.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 move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National averages hide Dhaka’s elite micro-market; flag data gaps rather than inventing scores. Avoid unsupported claims about gender or religion unless sourced.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 2d. What Starbucks learns (60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Bangladesh teaches Starbucks how to compete as a late mover in tea-dominant, conglomerate-backed markets.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Insights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Cluster-by-cluster rollout; partner contracts with quality step-in rights; local-flavour and tea range; mobile-wallet payments (verify adoption); managing premium positioning at scale.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Transferable to Pakistan, Sri Lanka and other South Asian markets; one sentence on dynamic capabilities (Teece et al., 1997) if space allows.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 (50 words)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field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Restate the premium-challenger route; answer the thesis (capability plus partner plus clusters); name the key indicator to monitor (partner governance and unit economics); no new evidence.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Evidence ledger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OK = found in a source; CHECK = weak, conflicting, dated or missing. Open every source before citing.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800"/>
        <w:gridCol w:w="29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Population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175.7m (2025); median age 26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Worldometer (UN 2024 revision); DataReportal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Urbanisation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42.6% (2025)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Worldometer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Dhaka population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10.4m city vs 17.6m metro (2015)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Definitions differ; state which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Internet use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47% online at end-2025; 53% offline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DataReportal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Mobile payments (bKash, Nagad)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data found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a source before any claim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GNI per capita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$2,820 (2024); LDC threshold $1,306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Prothom Alo; CPD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LDC graduation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Scheduled 24 Nov 2026; new government requested deferral to 2029; UNGA decides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 current 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Election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Feb 2026; BNP and allies about 211/299 seats (provisional); turnout about 60%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CSIS; Penn Perry World House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CPI 2025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24/100 (Bangladesh); rank not found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Himal Press regional table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Growth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FY26: 3.7–4.1% (estimates); IMF Jan 2026 projection 4.7%; CPD cites 3.5% for FY27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Estimates conflict; state the range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Inflation and policy rate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8.66% (July 2026); policy rate cut 50bp to 9.5% (30 July 2026)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CPD; Dhaka Tribune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Exchange rate and reserves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found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Bangladesh Bank or IMF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Royalty and franchise remittance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BIDA pre-endorsement of agreements; above 6% of prior-year sales needs approval; capital and profits repatriable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BIDA; TBS; law-firm summaries. Verify current guidelines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Foreign ownership in food retail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found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 BIDA and the investment guidance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Café market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Coffee World 2005; Gloria Jean’s 2012 (5 stores); Crimson Cup 2015 (10); Café Amazon Aug 2024; 18–40 core; tea dominant; duties, rents and barista shortage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 Star; World Coffee Portal; reports dated 2024–25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Hofstede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PDI about 80; IDV about 20; MAS about 55; UAI about 60; LTO about 40; IVR not found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Prothom Alo; UNC handout (2013). Verify at Hofstede Insights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Starbucks in Bangladesh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evidence found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 locator; 10-K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Visuals and appendices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5238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1: Rival benchmark (Starbucks vs Coffee World, Gloria Jean’s, Crimson Cup, Café Amazon on sourcing, brand, store experience, backing, scale)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Appendix B (key point in the body)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RBV evidence. Fill only with verified facts; mark unknowns.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Figure 1: Four-test readiness scorecard (traffic lights: operate, pay, come, learn) with one line of evidence each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Body if allowed, else Appendix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Summarises AC2 visually; do not add new claims.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Appendix A: country screen and Starbucks-presence check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Appendix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Bangladesh vs 2–3 verified comparators.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Appendix C: indicator table (Section 7)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Appendix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Sources and dates.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Appendix D: critical-path Gantt (pre-opening and rollout)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Appendix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below.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Appendix D: critical-path Gantt (indicative)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100"/>
        <w:gridCol w:w="27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if delayed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Partner selection and due diligence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Months 0–4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Governance and brand-control risk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BIDA pre-endorsement of licence; Bangladesh Bank setup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Months 3–8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Signed term sheet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Royalty remittance blocked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Site, import duties and supply chain (beans, equipment)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Months 4–10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Partner agreement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overrun; launch delay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Recruitment and barista training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Months 6–12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Sites secured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Quality failure; high turnover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cluster (Gulshan/Banani, to verify)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Months 12–15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above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Weak early performance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 gate and second cluster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Months 15–24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 data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Over-expansion</w:t>
            </w:r>
          </w:p>
        </w:tc>
      </w:tr>
    </w:tbl>
    <w:p>
      <w:pPr>
        <w:spacing w:after="100"/>
        <w:rPr>
          <w:i/>
          <w:iCs/>
        </w:rPr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Timings are placeholders; justify any you keep.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Reference plan (verify each before citing)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Barney, J. (1991) ‘Firm resources and sustained competitive advantage’, Journal of Management, 17(1).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Dunning, J.H. (1988) ‘The eclectic paradigm of international production’, Journal of International Business Studies, 19(1).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Hall, E.T. (1976) Beyond Culture.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Hofstede, G., Hofstede, G.J. and Minkov, M. (2010) Cultures and Organizations: Software of the Mind. 3rd edn.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Johanson, J. and Vahlne, J-E. (2009) ‘The Uppsala internationalization process model revisited: from liability of foreignness to liability of outsidership’, Journal of International Business Studies, 40(9).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Khanna, T. and Palepu, K. (1997) ‘Why focused strategies may be wrong for emerging markets’, Harvard Business Review, 75(4).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Lieberman, M.B. and Montgomery, D.B. (1988) ‘First-mover advantages’, Strategic Management Journal, 9(S1).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Prahalad, C.K. and Hamel, G. (1990) ‘The core competence of the corporation’, Harvard Business Review, 68(3).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Scott, W.R. (2014) Institutions and Organizations. 4th edn.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Teece, D.J., Pisano, G. and Shuen, A. (1997) ‘Dynamic capabilities and strategic management’, Strategic Management Journal, 18(7).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Starbucks Corporation: latest Form 10-K and Global Impact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Transparency International (2026) Corruption Perceptions Index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IMF (2026) Bangladesh: 2025 Article IV Consultation.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Bangladesh Investment Development Authority (BIDA): guidance on royalty and franchise remittance.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Centre for Policy Dialogue (CPD): Bangladesh macroeconomic briefs (2026).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Daily Star (2025) café-market reporting.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Quality gates and compliance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write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Starbucks absence checked and recorded.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Hofstede Insights opened; all six scores confirmed or the gap stated.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Foreign-ownership and food-retail rules found (BIDA).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Rival facts for Table 1 verified.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LDC status and current macro figures refreshed.</w:t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submit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Word count 960–990 under your programme’s counting rules; cover sheet word count entered.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Harvard in-text and list match exactly, with access dates.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number traced to a named source; conflicting figures shown as a range.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One internal framework only; every theory has a stated limit.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Cover sheet, title page, contents, page numbers; SRN only; Turnitin only; on time.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declaration warning: </w:t>
      </w:r>
      <w:r>
        <w:rPr>
          <w:rFonts w:ascii="Calibri" w:cs="Calibri" w:eastAsia="Calibri" w:hAnsi="Calibri"/>
          <w:sz w:val="21"/>
          <w:szCs w:val="21"/>
        </w:rPr>
        <w:t xml:space="preserve">the brief allows AI only to review a draft or correct language errors, and requires you to declare it and keep your prompts. Check your module’s policy before submitting any AI-drafted text.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Sources used for this blueprint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fuxypcqpfddgcovidced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World Coffee Portal – Café Amazon in Bangladesh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otzrz7rsgspczsskl7uj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The Daily Star – café corners to cash flow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8xny_kn7abmdsjtxpsci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Prothom Alo – 6-D model of culture and Bangladesh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i5hkxstw2rs6kzbyyf1o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IMF – 2025 Article IV, Bangladesh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blp5gcmq7mgqevghn5ru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CPD – Bangladesh Macroeconomic Pulse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pxcbkh70hdcwkeymcsql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Dhaka Tribune – economy and inflows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kmef0xd6qnuinmxetyt2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CSIS – after Bangladesh votes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dik0egveglfnb0yl-vtb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Penn Perry World House – 2026 Bangladesh elections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n3nqomt9cabkgjnulu-w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BIDA – repatriation of royalty and franchise fees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eepksjl377bkg7nkaqk4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TBS News – royalty and franchise fee remittance eased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2ovikgdrh3komheqv-sy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Worldometer – Bangladesh population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z10lgvvtdjmc-gbr2vcb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DataReportal – Digital 2026: Bangladesh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79recniiokqwcpgjqpnj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Prothom Alo – LDC graduation deferral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6og_8nyibsess_h54jhfz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Himal Press – South Asia CPI scores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fuxypcqpfddgcovidced" Type="http://schemas.openxmlformats.org/officeDocument/2006/relationships/hyperlink" Target="https://www.worldcoffeeportal.com/news/cafe-amazon-to-launch-in-bangladesh-with-long-term-plan-for-100-stores/" TargetMode="External"/><Relationship Id="rIdvotzrz7rsgspczsskl7uj" Type="http://schemas.openxmlformats.org/officeDocument/2006/relationships/hyperlink" Target="https://www.thedailystar.net/business/news/cafe-corners-cash-flow-3890971" TargetMode="External"/><Relationship Id="rIdg8xny_kn7abmdsjtxpsci" Type="http://schemas.openxmlformats.org/officeDocument/2006/relationships/hyperlink" Target="https://en.prothomalo.com/opinion/6-D-model-of-culture-and-Bangladesh" TargetMode="External"/><Relationship Id="rId0i5hkxstw2rs6kzbyyf1o" Type="http://schemas.openxmlformats.org/officeDocument/2006/relationships/hyperlink" Target="https://www.imf.org/en/news/articles/2026/01/30/pr-26029-bangladesh-imf-executive-board-concludes-2025-article-iv-consultation" TargetMode="External"/><Relationship Id="rIdzblp5gcmq7mgqevghn5ru" Type="http://schemas.openxmlformats.org/officeDocument/2006/relationships/hyperlink" Target="https://cpd.org.bd/?p=57197" TargetMode="External"/><Relationship Id="rId4pxcbkh70hdcwkeymcsql" Type="http://schemas.openxmlformats.org/officeDocument/2006/relationships/hyperlink" Target="https://www.dhakatribune.com/business/414815/economy-balances-resilient-inflows-against" TargetMode="External"/><Relationship Id="rIdkkmef0xd6qnuinmxetyt2" Type="http://schemas.openxmlformats.org/officeDocument/2006/relationships/hyperlink" Target="https://www.csis.org/analysis/after-bangladesh-votes-stability-will-be-earned-through-delivery-not-declarations" TargetMode="External"/><Relationship Id="rIdvdik0egveglfnb0yl-vtb" Type="http://schemas.openxmlformats.org/officeDocument/2006/relationships/hyperlink" Target="https://perryworldhouse.upenn.edu/news-and-insight/the-2026-bangladesh-elections-a-qa-with-muhib-rahman/" TargetMode="External"/><Relationship Id="rIdan3nqomt9cabkgjnulu-w" Type="http://schemas.openxmlformats.org/officeDocument/2006/relationships/hyperlink" Target="https://bida.gov.bd/details/what-procedure-repatriation-royalty-franchise-technical-license-know-how-assistance-fees" TargetMode="External"/><Relationship Id="rId4eepksjl377bkg7nkaqk4" Type="http://schemas.openxmlformats.org/officeDocument/2006/relationships/hyperlink" Target="https://www.tbsnews.net/economy/trade/sending-royalty-franchise-fees-abroad-eased-230323" TargetMode="External"/><Relationship Id="rIdy2ovikgdrh3komheqv-sy" Type="http://schemas.openxmlformats.org/officeDocument/2006/relationships/hyperlink" Target="https://worldometers.info/world-population/bangladesh-population" TargetMode="External"/><Relationship Id="rIdcz10lgvvtdjmc-gbr2vcb" Type="http://schemas.openxmlformats.org/officeDocument/2006/relationships/hyperlink" Target="https://datareportal.com/reports/digital-2026-bangladesh" TargetMode="External"/><Relationship Id="rIdc79recniiokqwcpgjqpnj" Type="http://schemas.openxmlformats.org/officeDocument/2006/relationships/hyperlink" Target="https://en.prothomalo.com/amp/story/business/local/6oissxr1dn" TargetMode="External"/><Relationship Id="rId6og_8nyibsess_h54jhfz" Type="http://schemas.openxmlformats.org/officeDocument/2006/relationships/hyperlink" Target="https://en.himalpress.com/nepals-score-in-cpi-remains-unchanged-at-34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Starbucks Bangladesh Blueprint</dc:title>
  <dc:creator>Blueprint</dc:creator>
  <cp:lastModifiedBy>Un-named</cp:lastModifiedBy>
  <cp:revision>1</cp:revision>
  <dcterms:created xsi:type="dcterms:W3CDTF">2026-10-14T02:16:52.130Z</dcterms:created>
  <dcterms:modified xsi:type="dcterms:W3CDTF">2026-10-14T02:16:52.135Z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