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run by Meliá since 1999 (Historic England, n.d.). Meliá reports a £40m, five-year renovation of its 581 bedrooms and suites, restaurant, bar and public spaces, done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falls short,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falls short where they look closely (condition and consistency). That gap costs more at a quoted rate near £300 than it would at a budget rate. Chapter 2 sets out the method, Chapters 3 and 4 the tools and the decisions, Chapter 5 the evidence, and Chapters 6 and 7 the recommendations and the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A student consultant has no contract and no client feedback loop, so entry and feedback are simulated, and the report claims only diagnosis and recommendation. Feedback is the weakest stage, because no client has tested the findings.</w:t>
      </w:r>
    </w:p>
    <w:p w14:paraId="18B2B15E" w14:textId="77777777" w:rsidR="00DB1E35" w:rsidRDefault="00000000">
      <w:pPr>
        <w:pStyle w:val="BodyText"/>
      </w:pPr>
      <w:r>
        <w:t>The design is a single-case study (Yin, 2018). One hotel gives depth rather than breadth. That suits a question about consistency across touchpoints, though it limits how far the findings can be generalised.</w:t>
      </w:r>
    </w:p>
    <w:p w14:paraId="1A4B32A6" w14:textId="77777777" w:rsidR="00DB1E35" w:rsidRDefault="00000000">
      <w:pPr>
        <w:pStyle w:val="BodyText"/>
      </w:pPr>
      <w:r>
        <w:t>Primary data came from a hosted visit on 9 September 2025 (Veal, 2017). It had three parts. The group was first seated, and each person introduced themselves in turn, followed by a two-way question-and-answer session about hospitality careers, in which staff asked questions as well as answering them. Next, the group split into small groups and was taken through the hotel’s rooms and facilities. Staff said rooms start from about £300 a night and stressed that the property is more than a hotel of rooms, with F&amp;B, lounge, wellness and workspace facilities. Drinks were served before the group left. Observation was non-participant and recorded in photographs. The staff remarks are paraphrased from memory and are not treated as policy.</w:t>
      </w:r>
    </w:p>
    <w:p w14:paraId="51E2D96E" w14:textId="77777777" w:rsidR="00DB1E35" w:rsidRDefault="00000000">
      <w:pPr>
        <w:pStyle w:val="BodyText"/>
      </w:pPr>
      <w:r>
        <w:t>The visit was therefore a guided, hospitable one. The first session was about careers, not operations, the hosts chose the route, and the closing drinks may have softened impressions. What it showed was a managed version of the hotel. Sixteen photographs were taken, and five are used as Figures 1 to 5 (Appendix 1). Photographs showing identifiable people were cropped or left out. The findings should be read with that in mind.</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self-selected, so the reviews are indicative only (Litvin, Goldsmith and Pan, 2008; Sparks and Browning, 2011). Sources also conflict: Meliá’s press material gives 581 bedrooms, while a Camden Council document gives 548 (Camden Council, 2025). Both figures are reported and neither is chosen silently. The co-working article dates from April 2024, so prices may have changed, and the £300 figure is a verbal staff quote of a starting rate, not a published tariff. Findings are therefore indicative. Appendix 2 maps each source.</w:t>
      </w:r>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one returns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For a consultant the split matters because different teams fix each side: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go unnoticed when present, while others delight. Categories are normally set by survey and shift by guest type, so here they are inferred from photographs, and the report says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Once the guest has paid a premium rate, the same patina can read as neglect.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from guest to guest. Xia, Monroe and Cox (2004) add that price differences are judged for fairness, and Kimes (2002) notes that yield pricing is rational for the hotel yet can feel unfair. Rooms were quoted at about £300 on the visit, a level online listings also suggest, and that sets a high yardstick. A lift door that is forgiven at a budget price can be resented at a premium one.</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cannot substitute for reliability. The lens is applied to breakfast, the hotel’s most visible service. No failure was seen on the visit, so it shapes a precautionary protocol and does not judge past performance.</w:t>
      </w:r>
      <w:r/>
    </w:p>
    <w:p w14:paraId="48F7BC40" w14:textId="77777777" w:rsidR="00DB1E35" w:rsidRDefault="00000000">
      <w:pPr>
        <w:pStyle w:val="BodyText"/>
      </w:pPr>
      <w:r>
        <w:t>Taken 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suggest renovating while trading can be read as a capability, because revenue and learning continue. The corridors and gym show the heritage carried through: cornice detail runs through the fitness area, and the lift lobby pairs black marble with a pedimented surround (Fig. 1). Yet Poria et al. (2003) suggest heritage appeals through a personal link with the past, which a neglected finish does not support, and the lift lobby shows how quickly heritage becomes a liability when it is not maintained. The lift door has a dull, uneven finish, and the air-conditioning grille above the cornice is visibly dusty. Camden filings also show works continuing in 2025, including a Wing A refurbishment and a basement conversion (Camden Council, 2025). The verdict: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a hot-lamp pass, bread in linen bags and a bowl of Real Crisps (Fig. 2). The drinks station adds Spanish wines (Embrujo, La Prensa, Arnegui Rioja Crianza) and, on ice, Codorníu Cuvée Original Brut Ecológico beside Flama d’Or cava. The concept breaks down in the room. The tea and coffee tray holds Nescafé Original sachets and portion milk, on a black marble top with visible water marks and smears (Fig. 4), which contradicts the Spanish, premium identity. The verdict is a good bet undermined by a fixable inconsistency. Gentile, Spiller and Noci (2007) explain why it matters: experience is built from many components, so one weak component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 shows a long timber table with power-ready seating beside softer café-style tables facing a garden (Fig. 3). The visit also took in a dark-wood, red-velvet ’35 Bar, so the offer exists as a flexible work-and-dine space with a distinct second outlet. The verdict: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The scheme is better read as a way of drawing local professionals into Arado and ’35 Bar than as a major revenue line, and without redemption data the discount cannot be judged.</w:t>
      </w:r>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Manaktola and Jauhari (2007) find that guests’ green attitudes do not always translate into choices, so sustainability should support the value story, not lead it. The only sustainability cue seen on the visit was the organic cava. A brand that wanted guests to credit its green record would need visible, repeated cues, and one organic product offers little. The verdict: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three evidence types agree on the pattern. Photographs, documents and reviews all point to strength in public spaces, breakfast and the bar, and weakness in condition and consistency. They differ on scale: the photographs show small, visible faults, whereas the press material promises that the hotel exceeds expectations. Where they conflict, repeated guest accounts outweigh a single promotional claim. Triangulation here is a credibility check, not statistical proof. Read together, the three sources tell one story, even if they tell it at different volumes.</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the lounge (Fig. 3), the ’35 Bar and a guest room with walnut headboard, bay window and a framed motorcycle artwork (Fig. 5) all read as premium. The faults sit in surfaces guests touch or look up at: the lift door (Fig. 1), the marble tray top and instant-coffee sachets (Fig. 4), the grille beside the cornice, and a corridor where an open service door shows a laundry cart. The corridor point is minor and may reflect tour timing.</w:t>
      </w:r>
    </w:p>
    <w:p w14:paraId="0E57F945" w14:textId="77777777" w:rsidR="00DB1E35" w:rsidRDefault="00000000">
      <w:pPr>
        <w:pStyle w:val="BodyText"/>
      </w:pPr>
      <w:r>
        <w:t>Appendix 3 sets promise against proof. The row that matters most pairs the premium promise with the dull lift door and dusty grille (Fig. 1), rated amber. These are small things, and at a £300 rate they are costly, because Zeithaml (1988) implies the guest paying more expects more. In Kano’s terms they are must-be failures, which explains why they can outweigh the delight Arado delivers.</w:t>
      </w:r>
      <w:r/>
    </w:p>
    <w:p w14:paraId="60028DED" w14:textId="4F67DA44" w:rsidR="00DB1E35" w:rsidRDefault="00000000">
      <w:pPr>
        <w:pStyle w:val="BodyText"/>
      </w:pPr>
      <w:r>
        <w:t>Zomerdijk and Voss (2010) treat the journey as a chain of touchpoints, so a weak one can stand out, and one dull lift door may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falls short on consistency. That is encouraging for management, because condition failures respond to routine checklist control rather than capital spend. The findings therefore describe the upkeep of a largely successful repositioning, not a case for rethinking it. Put plainly, the hotel does not need a new strategy. It needs the existing one applied with the same care every day.</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and 4 show two of the faults, Kano et al. (1984) rank must-be failures above missing delight, and Turley and Milliman (2000) show that the setting shapes judgement. Measure the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4 contrasts with Fig. 2,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 3 and Business Traveller (2024) show the offer, and Ansoff (1957) and Drucker (1985) imply a new use of space is only a good bet if it is watched. Measure occupancy of the ten workspaces and average spend. Estimate: low cost, about two months. The risk is cannibalised full-price spend.</w:t>
      </w:r>
    </w:p>
    <w:p w14:paraId="5D399C06" w14:textId="77777777" w:rsidR="00DB1E35" w:rsidRDefault="00000000">
      <w:pPr>
        <w:pStyle w:val="BodyText"/>
      </w:pPr>
      <w:r>
        <w:t>By impact against effort, R2 and R1 come first as the cheapest and most visible, R4 follows, and R3 comes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 The cheap, visible fixes also build the evidence needed to justify the costlier one.</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falls short on condition and consistency, which matters more at a rate near £300. These findings rest on one hosted visit, photographic and document evidence and a small number of self-selected guest reviews. The hotel should fix breakfast continuity and its must-be basics first,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w:t>
      </w:r>
    </w:p>
    <w:p w14:paraId="54FE0B80" w14:textId="77777777" w:rsidR="00DB1E35" w:rsidRDefault="00000000">
      <w:pPr>
        <w:pStyle w:val="BodyText"/>
      </w:pPr>
      <w:r>
        <w:rPr/>
        <w:t xml:space="preserve">Breaking Travel News (2026) ‘Meliá recognized in the S&amp;P Global Sustainability Yearbook 2026 for the ninth consecutive year’. Available at: </w:t>
      </w:r>
      <w:hyperlink r:id="rId9" w:history="1">
        <w:r>
          <w:rPr>
            <w:color w:val="0563C1"/>
            <w:u w:val="single"/>
          </w:rPr>
          <w:t xml:space="preserve">https://www.breakingtravelnews.com/news/article/melia-recognized-in-the-sp-global-sustainability-yearbook-2026-for-the-nint/</w:t>
        </w:r>
      </w:hyperlink>
      <w:r>
        <w:rPr/>
        <w:t xml:space="preserve">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rPr/>
        <w:t xml:space="preserve">Business Traveller (2024) ‘London’s Meliá White House introduces co-working spaces’, 21 April. Available at: </w:t>
      </w:r>
      <w:hyperlink r:id="rId12" w:history="1">
        <w:r>
          <w:rPr>
            <w:color w:val="0563C1"/>
            <w:u w:val="single"/>
          </w:rPr>
          <w:t xml:space="preserve">https://www.businesstraveller.com/business-</w:t>
        </w:r>
        <w:r>
          <w:rPr>
            <w:color w:val="0563C1"/>
            <w:u w:val="single"/>
          </w:rPr>
          <w:t xml:space="preserve">travel/2024/04/21/londons-melia-white-house-introduces-co-working-spaces/</w:t>
        </w:r>
      </w:hyperlink>
      <w:r>
        <w:rPr/>
        <w:t xml:space="preserve"> (Accessed: 8 October 2026).</w:t>
      </w:r>
    </w:p>
    <w:p w14:paraId="23058673" w14:textId="77777777" w:rsidR="00DB1E35" w:rsidRDefault="00000000">
      <w:pPr>
        <w:pStyle w:val="BodyText"/>
      </w:pPr>
      <w:r>
        <w:rPr/>
        <w:t xml:space="preserve">Camden Council (2025) </w:t>
      </w:r>
      <w:r>
        <w:rPr>
          <w:i/>
          <w:iCs/>
        </w:rPr>
        <w:t xml:space="preserve">White House Hotel, Albany Street: listed building consent supporting documents</w:t>
      </w:r>
      <w:r>
        <w:rPr/>
        <w:t xml:space="preserve">. Available at: </w:t>
      </w:r>
      <w:hyperlink r:id="rId13" w:history="1">
        <w:r>
          <w:rPr>
            <w:color w:val="0563C1"/>
            <w:u w:val="single"/>
          </w:rPr>
          <w:t xml:space="preserve">https://camdocs.camden.gov.uk/CMWebDrawer/Record/7286405/file/document</w:t>
        </w:r>
      </w:hyperlink>
      <w:r>
        <w:rPr/>
        <w:t xml:space="preserve">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w:t>
      </w:r>
    </w:p>
    <w:p w14:paraId="78FFC8BE" w14:textId="77777777" w:rsidR="00DB1E35" w:rsidRDefault="00000000">
      <w:pPr>
        <w:pStyle w:val="BodyText"/>
      </w:pPr>
      <w:r>
        <w:rPr/>
        <w:t xml:space="preserve">Historic England (n.d.) </w:t>
      </w:r>
      <w:r>
        <w:rPr>
          <w:i/>
          <w:iCs/>
        </w:rPr>
        <w:t xml:space="preserve">National Heritage List for England: The White House, Albany Street</w:t>
      </w:r>
      <w:r>
        <w:rPr/>
        <w:t xml:space="preserve">, list entry 1113231. Available at: </w:t>
      </w:r>
      <w:hyperlink r:id="rId14" w:history="1">
        <w:r>
          <w:rPr>
            <w:color w:val="0563C1"/>
            <w:u w:val="single"/>
          </w:rPr>
          <w:t xml:space="preserve">https://historicengland.org.uk/listing/the-list/list-entry/1113231</w:t>
        </w:r>
      </w:hyperlink>
      <w:r>
        <w:rPr/>
        <w:t xml:space="preserve"> (Accessed: 8 October 2026).</w:t>
      </w:r>
    </w:p>
    <w:p w14:paraId="07C51B3C" w14:textId="77777777" w:rsidR="00DB1E35" w:rsidRDefault="00000000">
      <w:pPr>
        <w:pStyle w:val="BodyText"/>
      </w:pPr>
      <w:r>
        <w:rPr/>
        <w:t xml:space="preserve">Hospitality Net (2023) </w:t>
      </w:r>
      <w:r>
        <w:rPr>
          <w:i/>
          <w:iCs/>
        </w:rPr>
        <w:t xml:space="preserve">Meliá White House</w:t>
      </w:r>
      <w:r>
        <w:rPr/>
        <w:t xml:space="preserve"> [press release]. Available at: </w:t>
      </w:r>
      <w:hyperlink r:id="rId18" w:history="1">
        <w:r>
          <w:rPr>
            <w:color w:val="0563C1"/>
            <w:u w:val="single"/>
          </w:rPr>
          <w:t xml:space="preserve">https://www.hospitalitynet.org/announcement/41009454.html</w:t>
        </w:r>
      </w:hyperlink>
      <w:r>
        <w:rPr/>
        <w:t xml:space="preserve"> (Accessed: 8 October 2026).</w:t>
      </w:r>
    </w:p>
    <w:p w14:paraId="2FB28A2A" w14:textId="77777777" w:rsidR="00DB1E35" w:rsidRDefault="00000000">
      <w:pPr>
        <w:pStyle w:val="BodyText"/>
      </w:pPr>
      <w:r>
        <w:rPr/>
        <w:t xml:space="preserve">Journal des Palaces (2026) ‘Luxury focus drives Meliá into the world’s top 10 strongest hotel brands’, 3 August. Available at: </w:t>
      </w:r>
      <w:hyperlink r:id="rId19" w:history="1">
        <w:r>
          <w:rPr>
            <w:color w:val="0563C1"/>
            <w:u w:val="single"/>
          </w:rPr>
          <w:t xml:space="preserve">https://www.journaldespalaces.com/en/pressrelease-79079-Luxury-focus-drives-Meliy-into-the-World-s-Top-10-Strongest-Hotel-Brands.html</w:t>
        </w:r>
      </w:hyperlink>
      <w:r>
        <w:rPr/>
        <w:t xml:space="preserve">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1-5)</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3.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4. In-room tea and coffee tray with Nescafé sachets on a marked marble top.</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5.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468304B9" w14:textId="77777777">
        <w:tc>
          <w:tcPr>
            <w:tcW w:w="0" w:type="auto"/>
          </w:tcPr>
          <w:p w14:paraId="647D8091" w14:textId="77777777" w:rsidR="00DB1E35" w:rsidRDefault="00000000">
            <w:pPr>
              <w:pStyle w:val="Compact"/>
            </w:pPr>
            <w:r>
              <w:t>3</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4</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62DB0452" w14:textId="77777777">
        <w:tc>
          <w:tcPr>
            <w:tcW w:w="0" w:type="auto"/>
          </w:tcPr>
          <w:p w14:paraId="778C1663" w14:textId="77777777" w:rsidR="00DB1E35" w:rsidRDefault="00000000">
            <w:pPr>
              <w:pStyle w:val="Compact"/>
            </w:pPr>
            <w:r>
              <w:t>5</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4</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4</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 1</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3;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5</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hyperlink" Target="https://www.breakingtravelnews.com/news/article/melia-recognized-in-the-sp-global-sustainability-yearbook-2026-for-the-nint/" TargetMode="External"/><Relationship Id="rId12" Type="http://schemas.openxmlformats.org/officeDocument/2006/relationships/hyperlink" Target="https://www.businesstraveller.com/business-travel/2024/04/21/londons-melia-white-house-introduces-co-working-spaces/" TargetMode="External"/><Relationship Id="rId13" Type="http://schemas.openxmlformats.org/officeDocument/2006/relationships/hyperlink" Target="https://camdocs.camden.gov.uk/CMWebDrawer/Record/7286405/file/document" TargetMode="External"/><Relationship Id="rId14" Type="http://schemas.openxmlformats.org/officeDocument/2006/relationships/hyperlink" Target="https://historicengland.org.uk/listing/the-list/list-entry/1113231" TargetMode="External"/><Relationship Id="rId18" Type="http://schemas.openxmlformats.org/officeDocument/2006/relationships/hyperlink" Target="https://www.hospitalitynet.org/announcement/41009454.html" TargetMode="External"/><Relationship Id="rId19" Type="http://schemas.openxmlformats.org/officeDocument/2006/relationships/hyperlink" Target="https://www.journaldespalaces.com/en/pressrelease-79079-Luxury-focus-drives-Meliy-into-the-World-s-Top-10-Strongest-Hotel-Brand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revision>2</cp:revision>
  <dcterms:created xsi:type="dcterms:W3CDTF">2026-10-08T07:45:00Z</dcterms:created>
  <dcterms:modified xsi:type="dcterms:W3CDTF">2026-10-08T10:25:00Z</dcterms:modified>
</cp:coreProperties>
</file>