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1261" w14:textId="77777777" w:rsidR="00DB1E35" w:rsidRDefault="00000000">
      <w:pPr>
        <w:pStyle w:val="Title"/>
        <w:jc w:val="center"/>
      </w:pPr>
      <w:r>
        <w:t>Promise and proof: does Meliá White House deliver a consistent premium guest experience?</w:t>
      </w:r>
    </w:p>
    <w:p w14:paraId="33770A68" w14:textId="77777777" w:rsidR="00DB1E35" w:rsidRDefault="00000000">
      <w:pPr>
        <w:pStyle w:val="FirstParagraph"/>
        <w:jc w:val="center"/>
      </w:pPr>
      <w:r>
        <w:rPr>
          <w:b w:val="0"/>
          <w:sz w:val="24"/>
        </w:rPr>
      </w:r>
    </w:p>
    <w:p w14:paraId="33770A68" w14:textId="77777777" w:rsidR="00DB1E35" w:rsidRDefault="00000000">
      <w:pPr>
        <w:pStyle w:val="FirstParagraph"/>
        <w:jc w:val="center"/>
      </w:pPr>
      <w:r>
        <w:rPr>
          <w:b/>
          <w:sz w:val="28"/>
        </w:rPr>
        <w:t>MGT2001 Enterprise and Consultancy for Tourism</w:t>
      </w:r>
    </w:p>
    <w:p w14:paraId="33770A68" w14:textId="77777777" w:rsidR="00DB1E35" w:rsidRDefault="00000000">
      <w:pPr>
        <w:pStyle w:val="FirstParagraph"/>
        <w:jc w:val="center"/>
      </w:pPr>
      <w:r>
        <w:rPr>
          <w:b/>
          <w:sz w:val="24"/>
        </w:rPr>
        <w:t>Assessment 2: Consultancy Report</w:t>
      </w:r>
    </w:p>
    <w:p w14:paraId="33770A68" w14:textId="77777777" w:rsidR="00DB1E35" w:rsidRDefault="00000000">
      <w:pPr>
        <w:pStyle w:val="FirstParagraph"/>
        <w:jc w:val="center"/>
      </w:pPr>
      <w:r>
        <w:rPr>
          <w:b w:val="0"/>
          <w:sz w:val="24"/>
        </w:rPr>
        <w:t>University of Sunderland</w:t>
      </w:r>
    </w:p>
    <w:p w14:paraId="33770A68" w14:textId="77777777" w:rsidR="00DB1E35" w:rsidRDefault="00000000">
      <w:pPr>
        <w:pStyle w:val="FirstParagraph"/>
        <w:jc w:val="center"/>
      </w:pPr>
      <w:r>
        <w:rPr>
          <w:b w:val="0"/>
          <w:sz w:val="24"/>
        </w:rPr>
        <w:t>Student name: ______________________________</w:t>
      </w:r>
    </w:p>
    <w:p w14:paraId="33770A68" w14:textId="77777777" w:rsidR="00DB1E35" w:rsidRDefault="00000000">
      <w:pPr>
        <w:pStyle w:val="FirstParagraph"/>
        <w:jc w:val="center"/>
      </w:pPr>
      <w:r>
        <w:rPr>
          <w:b w:val="0"/>
          <w:sz w:val="24"/>
        </w:rPr>
        <w:t>Student ID: ______________________________</w:t>
      </w:r>
    </w:p>
    <w:p w14:paraId="33770A68" w14:textId="77777777" w:rsidR="00DB1E35" w:rsidRDefault="00000000">
      <w:pPr>
        <w:pStyle w:val="FirstParagraph"/>
        <w:jc w:val="center"/>
      </w:pPr>
      <w:r>
        <w:rPr>
          <w:b w:val="0"/>
          <w:sz w:val="24"/>
        </w:rPr>
        <w:t>Submission deadline: Thursday 8 October 2026, 2:00pm</w:t>
      </w:r>
    </w:p>
    <w:p w14:paraId="33770A68" w14:textId="77777777" w:rsidR="00DB1E35" w:rsidRDefault="00000000">
      <w:pPr>
        <w:pStyle w:val="FirstParagraph"/>
        <w:jc w:val="center"/>
      </w:pPr>
      <w:r>
        <w:rPr>
          <w:b/>
          <w:sz w:val="24"/>
        </w:rPr>
        <w:t>Word count (excluding title page, contents, references and appendices): 2,930</w:t>
      </w:r>
    </w:p>
    <w:p w14:paraId="33770A68" w14:textId="77777777" w:rsidR="00DB1E35" w:rsidRDefault="00000000">
      <w:pPr>
        <w:pStyle w:val="FirstParagraph"/>
        <w:jc w:val="center"/>
      </w:pPr>
      <w:r>
        <w:rPr>
          <w:b w:val="0"/>
          <w:sz w:val="24"/>
        </w:rPr>
        <w:br w:type="page"/>
      </w:r>
    </w:p>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operated by Meliá since 1999 (Historic England, n.d.). Meliá reports a £40m, five-year renovation of its 581 bedrooms and suites, restaurant, bar and public spaces, carried out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does not,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under-delivers where they look closely (condition and consistency). That gap matters more at a quoted rate near £300 than it would at a budget rate. Chapter 2 sets out the method, Chapters 3 and 4 the tools and the decisions, Chapter 5 the evidence, and Chapters 6 and 7 the recommendations and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neither a contract nor a client feedback loop, so entry and feedback are simulated and the report claims only diagnosis and recommendation. The weakest stage is feedback, because no client has tested the findings.</w:t>
      </w:r>
    </w:p>
    <w:p w14:paraId="18B2B15E" w14:textId="77777777" w:rsidR="00DB1E35" w:rsidRDefault="00000000">
      <w:pPr>
        <w:pStyle w:val="BodyText"/>
      </w:pPr>
      <w:r>
        <w:t>The design is a single-case study (Yin, 2018). One hotel gives depth over breadth, which suits a question about consistency across touchpoints, but it limits generalisation.</w:t>
      </w:r>
    </w:p>
    <w:p w14:paraId="1A4B32A6" w14:textId="77777777" w:rsidR="00DB1E35" w:rsidRDefault="00000000">
      <w:pPr>
        <w:pStyle w:val="BodyText"/>
      </w:pPr>
      <w:r>
        <w:t>Primary data came from a hosted visit on 9 September 2025 (Veal, 2017). The visit had three parts. First, the group was seated and each person introduced themselves in turn, followed by a two-way question-and-answer session about hospitality careers, in which staff asked questions as well as answering them. Second, the group was split into small groups and taken through the hotel’s rooms and facilities. Staff said rooms start from about £300 a night and stressed that the property is more than a hotel of rooms, with F&amp;B, lounge, wellness and workspace facilities. Third, drinks were served before the group left. Observation was non-participant and recorded in photographs, and the staff remarks are paraphrased from memory, not treated as policy.</w:t>
      </w:r>
    </w:p>
    <w:p w14:paraId="51E2D96E" w14:textId="77777777" w:rsidR="00DB1E35" w:rsidRDefault="00000000">
      <w:pPr>
        <w:pStyle w:val="BodyText"/>
      </w:pPr>
      <w:r>
        <w:t>The visit was therefore a guided, hospitable one: the first session was about careers, not operations, the route was chosen by the hosts, and the closing drinks may have softened impressions. It showed a managed version of the hotel. Sixteen photographs were taken; nine are used as Figures 1 to 9 (Appendix 1), and photographs showing identifiable people were cropped or left out.</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w:t>
      </w:r>
      <w:r>
        <w:t>selected, so the reviews are indicative only (Litvin, Goldsmith and Pan, 2008; Sparks and Browning, 2011). Sources also conflict: Meliá’s press material gives 581 bedrooms, while a Camden Council document gives 548 (Camden Council, 2025). Both are reported and neither is chosen silently. The co-working article is from April 2024, so prices may have changed, and the £300 figure is a verbal staff quote of a starting rate, not a published tariff. Findings are therefore indicative. Appendix 2 maps each source.</w:t>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reappears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The distinction matters for a consultant because different teams fix the two sides: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invisible when present, while others delight. Categories are normally set by survey and shift by guest type, so here they are inferred from photographs and say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The same patina can read as neglect once the guest has paid a premium rate.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between guests. Xia, Monroe and Cox (2004) add that price differences are judged for fairness, and Kimes (2002) notes that yield pricing is rational for the hotel yet can feel unfair. Rooms quoted at about £300 on the visit, a level online listings also suggest, set a high yardstick. The same lift door can be forgiven at a budget price and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w:t>
      </w:r>
      <w:r>
        <w:lastRenderedPageBreak/>
        <w:t>cannot substitute for reliability. The lens is applied to breakfast, the hotel’s most visible service. No failure was seen on the visit, so it is used to shape a precautionary protocol and not to judge past performance.</w:t>
      </w:r>
    </w:p>
    <w:p w14:paraId="48F7BC40" w14:textId="77777777" w:rsidR="00DB1E35" w:rsidRDefault="00000000">
      <w:pPr>
        <w:pStyle w:val="BodyText"/>
      </w:pPr>
      <w:r>
        <w:t>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6) and the lift lobby pairs black marble with a pedimented surround (Fig. 1). Yet Poria et al. (2003) question whether guests value heritage at all, and the same two photographs show how quickly it turns into a liability when not maintained. The lift door has a dull, uneven finish, and the air-conditioning grille above the cornice is visibly dusty. Camden filings also show works continuing in 2025, including a Wing A refurbishment and a basement conversion (Camden Council, 2025). The verdict is that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hot-lamp pass, bread in linen bags and a bowl of Real Crisps (Fig. 2). The drinks station adds Spanish wines (Embrujo, La Prensa, Arnegui Rioja Crianza) and, on ice, Codorníu Cuvée Original Brut Ecológico beside Flama d’Or cava (Fig. 3). The concept breaks in the room. The tea and coffee tray holds Nescafé Original sachets and portion milk, on a black marble top with visible water marks and smears (Fig. 5), which contradicts the Spanish, premium identity. The verdict is a good bet undermined by a fixable inconsistency. Gentile, Spiller and Noci (2007) explain why it matters: experience is built from many components, so a weak one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w:t>
      </w:r>
      <w:r>
        <w:lastRenderedPageBreak/>
        <w:t>and Tse (2008) add that diversification should reinforce the core. The photographs show a long timber table with power-ready seating beside softer café-style tables facing a garden (Fig. 4) and a dark-wood, red-velvet ’35 Bar (Fig. 8), so the offer exists as a flexible work-and-dine space with a distinct second outlet. The verdict is that this is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so the scheme is better read as a way of drawing local professionals into Arado and ’35 Bar than as a major revenue line, and without redemption data the discount cannot be judged.</w:t>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be supporting value, not the lead. The only sustainability cue seen on the visit was the organic cava (Fig. 3). A brand that wanted guests to credit its green record would need visible, repeated cues, and one organic product offers little. The verdict is that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evidence types agree on the pattern. The photographs, the documents and the reviews point to strength in public spaces, breakfast and the bar, and weakness in condition and consistency. Where they disagree, repeated guest accounts outweigh a single promotional claim. They disagree on scale: the photographs show small, visible faults, whereas the press material promises that the hotel exceeds expectations. Triangulation here is a credibility check, not statistical proof.</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(Fig. 3), the lounge (Fig. 4), the ’35 Bar (Fig. 8) and a guest room with walnut headboard, bay window and a framed motorcycle artwork (Fig. 9) all read as premium. The faults sit in surfaces guests touch or look up at: the lift door (Fig. 1), the marble tray top and instant-coffee sachets (Fig. 5), the grille beside the cornice (Fig. 6) and a corridor where an open service door shows a laundry cart (Fig. 7). The corridor point is minor and may reflect tour timing.</w:t>
      </w:r>
    </w:p>
    <w:p w14:paraId="0E57F945" w14:textId="77777777" w:rsidR="00DB1E35" w:rsidRDefault="00000000">
      <w:pPr>
        <w:pStyle w:val="BodyText"/>
      </w:pPr>
      <w:r>
        <w:t>Appendix 3 sets promise against proof. The row that matters most sets the premium promise against the dull lift door and dusty grille (Figs. 1 and 6), rated amber. These are small things, and at a £300 rate they are costly, because Zeithaml (1988) implies the guest paying more expects more. Using Kano’s logic, these are must-be failures, which explains why they can outweigh the delight delivered by Arado.</w:t>
      </w:r>
      <w:r/>
    </w:p>
    <w:p w14:paraId="60028DED" w14:textId="4F67DA44" w:rsidR="00DB1E35" w:rsidRDefault="00000000">
      <w:pPr>
        <w:pStyle w:val="BodyText"/>
      </w:pPr>
      <w:r>
        <w:t>Zomerdijk and Voss (2010) treat the journey as a chain of touchpoints, and the weakest one shapes the memory, so one dull lift door can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under-delivers on consistency. That is encouraging for management, because condition failures respond to routine checklist control, not capital spend. The findings therefore describe the upkeep of a largely successful repositioning, not a case for rethinking it.</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5, 6 and 7 show the faults, Kano et al. (1984) rank must-be failures above missing delight, and Turley and Milliman (2000) show that the setting shapes judgement. Measure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5 contrasts with Figs. 2 and 3,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Figs. 4 and 8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The priority order, by impact against effort, is R2 and R1 first as the cheapest and most visible, R4 next, and R3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under-delivers on condition and consistency, which matters more at a rate near £300. These findings rest on one hosted visit, photographic and document evidence and a small number of self-selected guest reviews. The hotel should first fix breakfast continuity and its must-be basics,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1-9)</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374D5389" w14:textId="77777777" w:rsidR="00DB1E35" w:rsidRDefault="00000000">
      <w:pPr>
        <w:pStyle w:val="CaptionedFigure"/>
      </w:pPr>
      <w:r>
        <w:rPr>
          <w:noProof/>
        </w:rPr>
        <w:drawing>
          <wp:inline distT="0" distB="0" distL="0" distR="0" wp14:anchorId="54173AAC" wp14:editId="1A32BE3D">
            <wp:extent cx="5067300" cy="1591976"/>
            <wp:effectExtent l="0" t="0" r="0" b="0"/>
            <wp:docPr id="35" name="Picture" descr="Figure 3. Spanish wines (left) and cava on ice, including Codorníu organic and Flama d’Or (right)."/>
            <wp:cNvGraphicFramePr/>
            <a:graphic xmlns:a="http://schemas.openxmlformats.org/drawingml/2006/main">
              <a:graphicData uri="http://schemas.openxmlformats.org/drawingml/2006/picture">
                <pic:pic xmlns:pic="http://schemas.openxmlformats.org/drawingml/2006/picture">
                  <pic:nvPicPr>
                    <pic:cNvPr id="36" name="Picture" descr="img/fig3.jpg"/>
                    <pic:cNvPicPr>
                      <a:picLocks noChangeAspect="1" noChangeArrowheads="1"/>
                    </pic:cNvPicPr>
                  </pic:nvPicPr>
                  <pic:blipFill>
                    <a:blip r:embed="rId9"/>
                    <a:stretch>
                      <a:fillRect/>
                    </a:stretch>
                  </pic:blipFill>
                  <pic:spPr bwMode="auto">
                    <a:xfrm>
                      <a:off x="0" y="0"/>
                      <a:ext cx="5067300" cy="1591976"/>
                    </a:xfrm>
                    <a:prstGeom prst="rect">
                      <a:avLst/>
                    </a:prstGeom>
                    <a:noFill/>
                    <a:ln w="9525">
                      <a:noFill/>
                      <a:headEnd/>
                      <a:tailEnd/>
                    </a:ln>
                  </pic:spPr>
                </pic:pic>
              </a:graphicData>
            </a:graphic>
          </wp:inline>
        </w:drawing>
      </w:r>
    </w:p>
    <w:p w14:paraId="2C8A755A" w14:textId="77777777" w:rsidR="00DB1E35" w:rsidRDefault="00000000">
      <w:pPr>
        <w:pStyle w:val="ImageCaption"/>
      </w:pPr>
      <w:r>
        <w:t>Figure 3. Spanish wines (left) and cava on ice, including Codorníu organic and Flama d’Or (right).</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4.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5. In-room tea and coffee tray with Nescafé sachets on a marked marble top.</w:t>
      </w:r>
    </w:p>
    <w:p w14:paraId="1D4DD279" w14:textId="77777777" w:rsidR="00DB1E35" w:rsidRDefault="00000000">
      <w:pPr>
        <w:pStyle w:val="CaptionedFigure"/>
      </w:pPr>
      <w:r>
        <w:rPr>
          <w:noProof/>
        </w:rPr>
        <w:lastRenderedPageBreak/>
        <w:drawing>
          <wp:inline distT="0" distB="0" distL="0" distR="0" wp14:anchorId="18306DD8" wp14:editId="14F2A4CE">
            <wp:extent cx="4267200" cy="2615793"/>
            <wp:effectExtent l="0" t="0" r="0" b="0"/>
            <wp:docPr id="44" name="Picture" descr="Figure 6. Gym ceiling: air-conditioning grille beside cornice detail."/>
            <wp:cNvGraphicFramePr/>
            <a:graphic xmlns:a="http://schemas.openxmlformats.org/drawingml/2006/main">
              <a:graphicData uri="http://schemas.openxmlformats.org/drawingml/2006/picture">
                <pic:pic xmlns:pic="http://schemas.openxmlformats.org/drawingml/2006/picture">
                  <pic:nvPicPr>
                    <pic:cNvPr id="45" name="Picture" descr="img/fig6.jpg"/>
                    <pic:cNvPicPr>
                      <a:picLocks noChangeAspect="1" noChangeArrowheads="1"/>
                    </pic:cNvPicPr>
                  </pic:nvPicPr>
                  <pic:blipFill>
                    <a:blip r:embed="rId12"/>
                    <a:stretch>
                      <a:fillRect/>
                    </a:stretch>
                  </pic:blipFill>
                  <pic:spPr bwMode="auto">
                    <a:xfrm>
                      <a:off x="0" y="0"/>
                      <a:ext cx="4267200" cy="2615793"/>
                    </a:xfrm>
                    <a:prstGeom prst="rect">
                      <a:avLst/>
                    </a:prstGeom>
                    <a:noFill/>
                    <a:ln w="9525">
                      <a:noFill/>
                      <a:headEnd/>
                      <a:tailEnd/>
                    </a:ln>
                  </pic:spPr>
                </pic:pic>
              </a:graphicData>
            </a:graphic>
          </wp:inline>
        </w:drawing>
      </w:r>
    </w:p>
    <w:p w14:paraId="4D9037C9" w14:textId="77777777" w:rsidR="00DB1E35" w:rsidRDefault="00000000">
      <w:pPr>
        <w:pStyle w:val="ImageCaption"/>
      </w:pPr>
      <w:r>
        <w:t>Figure 6. Gym ceiling: air-conditioning grille beside cornice detail.</w:t>
      </w:r>
    </w:p>
    <w:p w14:paraId="30B8ECF7" w14:textId="77777777" w:rsidR="00DB1E35" w:rsidRDefault="00000000">
      <w:pPr>
        <w:pStyle w:val="CaptionedFigure"/>
      </w:pPr>
      <w:r>
        <w:rPr>
          <w:noProof/>
        </w:rPr>
        <w:drawing>
          <wp:inline distT="0" distB="0" distL="0" distR="0" wp14:anchorId="3BA92231" wp14:editId="629183D8">
            <wp:extent cx="2667000" cy="2880360"/>
            <wp:effectExtent l="0" t="0" r="0" b="0"/>
            <wp:docPr id="47" name="Picture" descr="Figure 7. Corridor with open service door and laundry cart (cropped)."/>
            <wp:cNvGraphicFramePr/>
            <a:graphic xmlns:a="http://schemas.openxmlformats.org/drawingml/2006/main">
              <a:graphicData uri="http://schemas.openxmlformats.org/drawingml/2006/picture">
                <pic:pic xmlns:pic="http://schemas.openxmlformats.org/drawingml/2006/picture">
                  <pic:nvPicPr>
                    <pic:cNvPr id="48" name="Picture" descr="img/fig7.jpg"/>
                    <pic:cNvPicPr>
                      <a:picLocks noChangeAspect="1" noChangeArrowheads="1"/>
                    </pic:cNvPicPr>
                  </pic:nvPicPr>
                  <pic:blipFill>
                    <a:blip r:embed="rId13"/>
                    <a:stretch>
                      <a:fillRect/>
                    </a:stretch>
                  </pic:blipFill>
                  <pic:spPr bwMode="auto">
                    <a:xfrm>
                      <a:off x="0" y="0"/>
                      <a:ext cx="2667000" cy="2880360"/>
                    </a:xfrm>
                    <a:prstGeom prst="rect">
                      <a:avLst/>
                    </a:prstGeom>
                    <a:noFill/>
                    <a:ln w="9525">
                      <a:noFill/>
                      <a:headEnd/>
                      <a:tailEnd/>
                    </a:ln>
                  </pic:spPr>
                </pic:pic>
              </a:graphicData>
            </a:graphic>
          </wp:inline>
        </w:drawing>
      </w:r>
    </w:p>
    <w:p w14:paraId="41679C7E" w14:textId="77777777" w:rsidR="00DB1E35" w:rsidRDefault="00000000">
      <w:pPr>
        <w:pStyle w:val="ImageCaption"/>
      </w:pPr>
      <w:r>
        <w:t>Figure 7. Corridor with open service door and laundry cart (cropped).</w:t>
      </w:r>
    </w:p>
    <w:p w14:paraId="3EEB62AB" w14:textId="77777777" w:rsidR="00DB1E35" w:rsidRDefault="00000000">
      <w:pPr>
        <w:pStyle w:val="CaptionedFigure"/>
      </w:pPr>
      <w:r>
        <w:rPr>
          <w:noProof/>
        </w:rPr>
        <w:lastRenderedPageBreak/>
        <w:drawing>
          <wp:inline distT="0" distB="0" distL="0" distR="0" wp14:anchorId="037BF1B4" wp14:editId="44F44003">
            <wp:extent cx="2400300" cy="3198399"/>
            <wp:effectExtent l="0" t="0" r="0" b="0"/>
            <wp:docPr id="50" name="Picture" descr="Figure 8. ’35 Bar: walnut cladding and red velvet seating."/>
            <wp:cNvGraphicFramePr/>
            <a:graphic xmlns:a="http://schemas.openxmlformats.org/drawingml/2006/main">
              <a:graphicData uri="http://schemas.openxmlformats.org/drawingml/2006/picture">
                <pic:pic xmlns:pic="http://schemas.openxmlformats.org/drawingml/2006/picture">
                  <pic:nvPicPr>
                    <pic:cNvPr id="51" name="Picture" descr="img/fig8.jpg"/>
                    <pic:cNvPicPr>
                      <a:picLocks noChangeAspect="1" noChangeArrowheads="1"/>
                    </pic:cNvPicPr>
                  </pic:nvPicPr>
                  <pic:blipFill>
                    <a:blip r:embed="rId14"/>
                    <a:stretch>
                      <a:fillRect/>
                    </a:stretch>
                  </pic:blipFill>
                  <pic:spPr bwMode="auto">
                    <a:xfrm>
                      <a:off x="0" y="0"/>
                      <a:ext cx="2400300" cy="3198399"/>
                    </a:xfrm>
                    <a:prstGeom prst="rect">
                      <a:avLst/>
                    </a:prstGeom>
                    <a:noFill/>
                    <a:ln w="9525">
                      <a:noFill/>
                      <a:headEnd/>
                      <a:tailEnd/>
                    </a:ln>
                  </pic:spPr>
                </pic:pic>
              </a:graphicData>
            </a:graphic>
          </wp:inline>
        </w:drawing>
      </w:r>
    </w:p>
    <w:p w14:paraId="67350C3E" w14:textId="77777777" w:rsidR="00DB1E35" w:rsidRDefault="00000000">
      <w:pPr>
        <w:pStyle w:val="ImageCaption"/>
      </w:pPr>
      <w:r>
        <w:t>Figure 8. ’35 Bar: walnut cladding and red velvet seating.</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9.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lastRenderedPageBreak/>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1AB31D73" w14:textId="77777777">
        <w:tc>
          <w:tcPr>
            <w:tcW w:w="0" w:type="auto"/>
          </w:tcPr>
          <w:p w14:paraId="0F86AABB" w14:textId="77777777" w:rsidR="00DB1E35" w:rsidRDefault="00000000">
            <w:pPr>
              <w:pStyle w:val="Compact"/>
            </w:pPr>
            <w:r>
              <w:t>3</w:t>
            </w:r>
          </w:p>
        </w:tc>
        <w:tc>
          <w:tcPr>
            <w:tcW w:w="0" w:type="auto"/>
          </w:tcPr>
          <w:p w14:paraId="3C508779" w14:textId="77777777" w:rsidR="00DB1E35" w:rsidRDefault="00000000">
            <w:pPr>
              <w:pStyle w:val="Compact"/>
            </w:pPr>
            <w:r>
              <w:t>Spanish wines and cava on ice (Codorníu organic, Flama d’Or)</w:t>
            </w:r>
          </w:p>
        </w:tc>
        <w:tc>
          <w:tcPr>
            <w:tcW w:w="0" w:type="auto"/>
          </w:tcPr>
          <w:p w14:paraId="786A07FE" w14:textId="77777777" w:rsidR="00DB1E35" w:rsidRDefault="00000000">
            <w:pPr>
              <w:pStyle w:val="Compact"/>
            </w:pPr>
            <w:r>
              <w:t>Attractive</w:t>
            </w:r>
          </w:p>
        </w:tc>
        <w:tc>
          <w:tcPr>
            <w:tcW w:w="0" w:type="auto"/>
          </w:tcPr>
          <w:p w14:paraId="16C18FB7" w14:textId="77777777" w:rsidR="00DB1E35" w:rsidRDefault="00000000">
            <w:pPr>
              <w:pStyle w:val="Compact"/>
            </w:pPr>
            <w:r>
              <w:t>Strength: Spanish provenance, one organic product</w:t>
            </w:r>
          </w:p>
        </w:tc>
      </w:tr>
      <w:tr w:rsidR="00DB1E35" w14:paraId="468304B9" w14:textId="77777777">
        <w:tc>
          <w:tcPr>
            <w:tcW w:w="0" w:type="auto"/>
          </w:tcPr>
          <w:p w14:paraId="647D8091" w14:textId="77777777" w:rsidR="00DB1E35" w:rsidRDefault="00000000">
            <w:pPr>
              <w:pStyle w:val="Compact"/>
            </w:pPr>
            <w:r>
              <w:t>4</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5</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5DDFE24A" w14:textId="77777777">
        <w:tc>
          <w:tcPr>
            <w:tcW w:w="0" w:type="auto"/>
          </w:tcPr>
          <w:p w14:paraId="0A1AE82F" w14:textId="77777777" w:rsidR="00DB1E35" w:rsidRDefault="00000000">
            <w:pPr>
              <w:pStyle w:val="Compact"/>
            </w:pPr>
            <w:r>
              <w:t>6</w:t>
            </w:r>
          </w:p>
        </w:tc>
        <w:tc>
          <w:tcPr>
            <w:tcW w:w="0" w:type="auto"/>
          </w:tcPr>
          <w:p w14:paraId="4549F9F6" w14:textId="77777777" w:rsidR="00DB1E35" w:rsidRDefault="00000000">
            <w:pPr>
              <w:pStyle w:val="Compact"/>
            </w:pPr>
            <w:r>
              <w:t>Gym: air-conditioning grille beside cornice</w:t>
            </w:r>
          </w:p>
        </w:tc>
        <w:tc>
          <w:tcPr>
            <w:tcW w:w="0" w:type="auto"/>
          </w:tcPr>
          <w:p w14:paraId="4207369F" w14:textId="77777777" w:rsidR="00DB1E35" w:rsidRDefault="00000000">
            <w:pPr>
              <w:pStyle w:val="Compact"/>
            </w:pPr>
            <w:r>
              <w:t>Must-be</w:t>
            </w:r>
          </w:p>
        </w:tc>
        <w:tc>
          <w:tcPr>
            <w:tcW w:w="0" w:type="auto"/>
          </w:tcPr>
          <w:p w14:paraId="29C74CF3" w14:textId="77777777" w:rsidR="00DB1E35" w:rsidRDefault="00000000">
            <w:pPr>
              <w:pStyle w:val="Compact"/>
            </w:pPr>
            <w:r>
              <w:t>Gap: grille looks dusty</w:t>
            </w:r>
          </w:p>
        </w:tc>
      </w:tr>
      <w:tr w:rsidR="00DB1E35" w14:paraId="30BAE0D9" w14:textId="77777777">
        <w:tc>
          <w:tcPr>
            <w:tcW w:w="0" w:type="auto"/>
          </w:tcPr>
          <w:p w14:paraId="70F90CD1" w14:textId="77777777" w:rsidR="00DB1E35" w:rsidRDefault="00000000">
            <w:pPr>
              <w:pStyle w:val="Compact"/>
            </w:pPr>
            <w:r>
              <w:t>7</w:t>
            </w:r>
          </w:p>
        </w:tc>
        <w:tc>
          <w:tcPr>
            <w:tcW w:w="0" w:type="auto"/>
          </w:tcPr>
          <w:p w14:paraId="1D6DA943" w14:textId="77777777" w:rsidR="00DB1E35" w:rsidRDefault="00000000">
            <w:pPr>
              <w:pStyle w:val="Compact"/>
            </w:pPr>
            <w:r>
              <w:t>Corridor: open service door, laundry cart</w:t>
            </w:r>
          </w:p>
        </w:tc>
        <w:tc>
          <w:tcPr>
            <w:tcW w:w="0" w:type="auto"/>
          </w:tcPr>
          <w:p w14:paraId="13032238" w14:textId="77777777" w:rsidR="00DB1E35" w:rsidRDefault="00000000">
            <w:pPr>
              <w:pStyle w:val="Compact"/>
            </w:pPr>
            <w:r>
              <w:t>Must-be</w:t>
            </w:r>
          </w:p>
        </w:tc>
        <w:tc>
          <w:tcPr>
            <w:tcW w:w="0" w:type="auto"/>
          </w:tcPr>
          <w:p w14:paraId="7A447EA1" w14:textId="77777777" w:rsidR="00DB1E35" w:rsidRDefault="00000000">
            <w:pPr>
              <w:pStyle w:val="Compact"/>
            </w:pPr>
            <w:r>
              <w:t>Minor gap: back-of-house visible</w:t>
            </w:r>
          </w:p>
        </w:tc>
      </w:tr>
      <w:tr w:rsidR="00DB1E35" w14:paraId="7093F788" w14:textId="77777777">
        <w:tc>
          <w:tcPr>
            <w:tcW w:w="0" w:type="auto"/>
          </w:tcPr>
          <w:p w14:paraId="0C50B023" w14:textId="77777777" w:rsidR="00DB1E35" w:rsidRDefault="00000000">
            <w:pPr>
              <w:pStyle w:val="Compact"/>
            </w:pPr>
            <w:r>
              <w:t>8</w:t>
            </w:r>
          </w:p>
        </w:tc>
        <w:tc>
          <w:tcPr>
            <w:tcW w:w="0" w:type="auto"/>
          </w:tcPr>
          <w:p w14:paraId="0E81F740" w14:textId="77777777" w:rsidR="00DB1E35" w:rsidRDefault="00000000">
            <w:pPr>
              <w:pStyle w:val="Compact"/>
            </w:pPr>
            <w:r>
              <w:t>’35 Bar: walnut cladding, red velvet seating</w:t>
            </w:r>
          </w:p>
        </w:tc>
        <w:tc>
          <w:tcPr>
            <w:tcW w:w="0" w:type="auto"/>
          </w:tcPr>
          <w:p w14:paraId="2AF6FF22" w14:textId="77777777" w:rsidR="00DB1E35" w:rsidRDefault="00000000">
            <w:pPr>
              <w:pStyle w:val="Compact"/>
            </w:pPr>
            <w:r>
              <w:t>Attractive</w:t>
            </w:r>
          </w:p>
        </w:tc>
        <w:tc>
          <w:tcPr>
            <w:tcW w:w="0" w:type="auto"/>
          </w:tcPr>
          <w:p w14:paraId="60A68D9F" w14:textId="77777777" w:rsidR="00DB1E35" w:rsidRDefault="00000000">
            <w:pPr>
              <w:pStyle w:val="Compact"/>
            </w:pPr>
            <w:r>
              <w:t>Strength; usage unknown</w:t>
            </w:r>
          </w:p>
        </w:tc>
      </w:tr>
      <w:tr w:rsidR="00DB1E35" w14:paraId="62DB0452" w14:textId="77777777">
        <w:tc>
          <w:tcPr>
            <w:tcW w:w="0" w:type="auto"/>
          </w:tcPr>
          <w:p w14:paraId="778C1663" w14:textId="77777777" w:rsidR="00DB1E35" w:rsidRDefault="00000000">
            <w:pPr>
              <w:pStyle w:val="Compact"/>
            </w:pPr>
            <w:r>
              <w:t>9</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5, 6</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3, 5</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Figs. 1, 6</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4;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9</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18</Pages>
  <Words>4823</Words>
  <Characters>27494</Characters>
  <Application>Microsoft Office Word</Application>
  <DocSecurity>0</DocSecurity>
  <Lines>229</Lines>
  <Paragraphs>64</Paragraphs>
  <ScaleCrop>false</ScaleCrop>
  <Company/>
  <LinksUpToDate>false</LinksUpToDate>
  <CharactersWithSpaces>32253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lastModifiedBy>TUf</cp:lastModifiedBy>
  <cp:revision>2</cp:revision>
  <dcterms:created xsi:type="dcterms:W3CDTF">2026-10-08T07:45:00Z</dcterms:created>
  <dcterms:modified xsi:type="dcterms:W3CDTF">2026-10-08T10:25:00Z</dcterms:modified>
</cp:coreProperties>
</file>