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Professional Portfolio: 85+ Blueprint</w:t>
      </w:r>
    </w:p>
    <w:p>
      <w:pPr>
        <w:spacing w:after="100" w:before="0"/>
      </w:pPr>
      <w:r>
        <w:rPr>
          <w:rFonts w:ascii="Arial" w:cs="Arial" w:eastAsia="Arial" w:hAnsi="Arial"/>
          <w:i/>
          <w:iCs/>
          <w:sz w:val="20"/>
          <w:szCs w:val="20"/>
        </w:rPr>
        <w:t xml:space="preserve">Module: Project (Level 6, BSc Health &amp; Care). Blueprint only: no portfolio text is written here. Every sentence of the final submission must be written by you, in your own words.</w:t>
      </w:r>
    </w:p>
    <w:p>
      <w:pPr>
        <w:spacing w:after="160" w:before="0"/>
      </w:pPr>
      <w:r>
        <w:rPr>
          <w:rFonts w:ascii="Arial" w:cs="Arial" w:eastAsia="Arial" w:hAnsi="Arial"/>
          <w:sz w:val="20"/>
          <w:szCs w:val="20"/>
        </w:rPr>
        <w:t xml:space="preserve">How this was built: (1) brief read in full; (2) the five graded outcomes (K1, K2, C1, C2, Academic Skills and Referencing) decoded against the rubric's top band; (3) every task in the brief turned into a marker-proof requirement; (4) planned from the viewpoint of a harsh marker looking for reasons NOT to give 85+.</w:t>
      </w:r>
    </w:p>
    <w:p>
      <w:pPr>
        <w:pStyle w:val="Heading1"/>
        <w:keepNext/>
        <w:spacing w:after="120" w:before="300"/>
      </w:pPr>
      <w:r>
        <w:rPr>
          <w:rFonts w:ascii="Arial" w:cs="Arial" w:eastAsia="Arial" w:hAnsi="Arial"/>
          <w:b/>
          <w:bCs/>
        </w:rPr>
        <w:t xml:space="preserve">1. The reality check on 85+</w:t>
      </w:r>
    </w:p>
    <w:p>
      <w:pPr>
        <w:spacing w:after="100" w:before="0"/>
      </w:pPr>
      <w:r>
        <w:rPr>
          <w:rFonts w:ascii="Arial" w:cs="Arial" w:eastAsia="Arial" w:hAnsi="Arial"/>
          <w:sz w:val="20"/>
          <w:szCs w:val="20"/>
        </w:rPr>
        <w:t xml:space="preserve">The rubric's top band is 80-100%. To reach 85+ overall you must sit in the top band on every criterion, not just on average. Band floors add up to 82.5, so you need to land comfortably inside each top band.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440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Criterion (weight)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Top-band marks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Realistic target</w:t>
            </w:r>
          </w:p>
        </w:tc>
        <w:tc>
          <w:tcPr>
            <w:tcW w:type="dxa" w:w="44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What the rubric says the 80-100% band looks like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 Principles, practices, ethics (20)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16.5-20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18</w:t>
            </w:r>
          </w:p>
        </w:tc>
        <w:tc>
          <w:tcPr>
            <w:tcW w:type="dxa" w:w="44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Outstanding and nuanced understanding with sophisticated conceptual evaluation and insightful application.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K2 Reflective methods, EBP, competencies (20)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16.5-20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18</w:t>
            </w:r>
          </w:p>
        </w:tc>
        <w:tc>
          <w:tcPr>
            <w:tcW w:type="dxa" w:w="44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Outstanding synthesis of reflective frameworks, evidence-based practice and competencies. Reflection original, deep and analytical.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 Critical analysis of strengths, development, learning (25)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20.5-25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22</w:t>
            </w:r>
          </w:p>
        </w:tc>
        <w:tc>
          <w:tcPr>
            <w:tcW w:type="dxa" w:w="44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Outstanding self-analysis demonstrating advanced insight, originality and synthesis of learning.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C2 Critical thinking, evaluate practice, propose solutions (20)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16.5-20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18</w:t>
            </w:r>
          </w:p>
        </w:tc>
        <w:tc>
          <w:tcPr>
            <w:tcW w:type="dxa" w:w="44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Outstanding evaluation with exceptional insight. Solutions highly robust, original and strongly evidenced.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Academic skills, structure, referencing (15)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12.5-15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13.5</w:t>
            </w:r>
          </w:p>
        </w:tc>
        <w:tc>
          <w:tcPr>
            <w:tcW w:type="dxa" w:w="44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Outstanding academic quality. Polished, persuasive writing. Evidence seamlessly integrated. Referencing flawless.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Total (100)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82.5 floor</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about 89</w:t>
            </w:r>
          </w:p>
        </w:tc>
        <w:tc>
          <w:tcPr>
            <w:tcW w:type="dxa" w:w="44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Honest note: 85+ is exceptional. This blueprint maximises your chances but cannot guarantee a mark; the execution is yours.</w:t>
            </w:r>
          </w:p>
        </w:tc>
      </w:tr>
    </w:tbl>
    <w:p>
      <w:pPr>
        <w:spacing w:after="80" w:before="0"/>
      </w:pPr>
      <w:r>
        <w:rPr>
          <w:rFonts w:ascii="Arial" w:cs="Arial" w:eastAsia="Arial" w:hAnsi="Arial"/>
          <w:sz w:val="20"/>
          <w:szCs w:val="20"/>
        </w:rPr>
        <w:t xml:space="preserve"/>
      </w:r>
    </w:p>
    <w:p>
      <w:pPr>
        <w:spacing w:after="100" w:before="0"/>
      </w:pPr>
      <w:r>
        <w:rPr>
          <w:rFonts w:ascii="Arial" w:cs="Arial" w:eastAsia="Arial" w:hAnsi="Arial"/>
          <w:b/>
          <w:bCs/>
          <w:sz w:val="20"/>
          <w:szCs w:val="20"/>
        </w:rPr>
        <w:t xml:space="preserve">Key words a harsh marker is hunting for: nuanced, sophisticated, synthesis, original, insightful, deep, robust, seamlessly integrated, flawless. Your job is to make each one provable on the page, not to claim them.</w:t>
      </w:r>
    </w:p>
    <w:p>
      <w:pPr>
        <w:pStyle w:val="Heading1"/>
        <w:keepNext/>
        <w:spacing w:after="120" w:before="300"/>
      </w:pPr>
      <w:r>
        <w:rPr>
          <w:rFonts w:ascii="Arial" w:cs="Arial" w:eastAsia="Arial" w:hAnsi="Arial"/>
          <w:b/>
          <w:bCs/>
        </w:rPr>
        <w:t xml:space="preserve">2. The brief decoded: everything the brief demands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Brief requirement</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Harsh-marker trap</w:t>
            </w:r>
          </w:p>
        </w:tc>
        <w:tc>
          <w:tcPr>
            <w:tcW w:type="dxa" w:w="33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How the blueprint closes it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One main case only; not a placement report; no data collection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Mixing several experiences; sounding like a placement log</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Mrs Okafor AI care-planning case is the only case. Care home and hospital experience appear only as short, anonymised 'links to practice' inside the analysis.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Option (d): a substantial, clearly defined taught learning activity</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Marker decides the case is a single lecture or too thin</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State module, activity name, what you did and its scale in the first paragraph of Section 2. Confirm eligibility with your tutor now (see Section 9).</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Three headings exactly: Professional Identity; Experience or Case Analysis; Career Development Plan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Altered or missing headings</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Use these three titles word for word as main headings. Sub-headings allowed.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Analyse at least two practice issues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Only two, shallow</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Analyse three in depth (ethics and confidentiality; accountability and judgement; safety and quality), with communication and teamwork woven in as evidence.</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Theory, policy and academic or professional evidence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Policy named but not applied</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Each issue has law/policy, theory and empirical evidence, then an evaluative judgement.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Analysis and evaluation, not description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Anything descriptive</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Strict ceiling on description: 300 words of case description in total. Every other paragraph follows the evaluation pattern in Section 6.</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Explain what you learned and why it matters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Generic 'I learned that...'</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 before/after change in your stance, evidenced, plus a concrete action carried into Section 3.</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Realistic career plan linking past learning, strengths and future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Wish-list with no dates, resources or constraints</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Table with 3/6/12-month actions, resource, success measure, risk and fallback.</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Harvard referencing; reference list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Inconsistent style; missing items</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Single BPP Harvard guide; reference manager or manual audit; every in-text citation cross-checked.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Own words; AI rules; Turnitin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Self-plagiarism from earlier coursework; AI-sounding prose</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Do not paste from past assignments. Reflect on them instead. Write drafts yourself; use AI only for planning as the brief permits.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Format: Arial 12, 1.5 spacing, BPP cover page, file name SRN Project Summative.docx</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Avoidable presentation losses</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Set up the template before writing. Check page 1 cover fields.</w:t>
            </w:r>
          </w:p>
        </w:tc>
      </w:tr>
    </w:tbl>
    <w:p>
      <w:pPr>
        <w:pStyle w:val="Heading1"/>
        <w:keepNext/>
        <w:spacing w:after="120" w:before="300"/>
      </w:pPr>
      <w:r>
        <w:rPr>
          <w:rFonts w:ascii="Arial" w:cs="Arial" w:eastAsia="Arial" w:hAnsi="Arial"/>
          <w:b/>
          <w:bCs/>
        </w:rPr>
        <w:t xml:space="preserve">3. The golden thread (what makes it 'critically, differently thought')</w:t>
      </w:r>
    </w:p>
    <w:p>
      <w:pPr>
        <w:keepNext/>
        <w:spacing w:after="100" w:before="0"/>
      </w:pPr>
      <w:r>
        <w:rPr>
          <w:rFonts w:ascii="Arial" w:cs="Arial" w:eastAsia="Arial" w:hAnsi="Arial"/>
          <w:sz w:val="20"/>
          <w:szCs w:val="20"/>
        </w:rPr>
        <w:t xml:space="preserve">A top-band portfolio is one argument seen three ways, not three separate essays. Proposed thread (adapt it only if it is not true to you):</w:t>
      </w:r>
    </w:p>
    <w:p>
      <w:pPr>
        <w:spacing w:after="100" w:before="0"/>
      </w:pPr>
      <w:r>
        <w:rPr>
          <w:rFonts w:ascii="Arial" w:cs="Arial" w:eastAsia="Arial" w:hAnsi="Arial"/>
          <w:b/>
          <w:bCs/>
          <w:sz w:val="20"/>
          <w:szCs w:val="20"/>
        </w:rPr>
        <w:t xml:space="preserve">Thesis: </w:t>
      </w:r>
      <w:r>
        <w:rPr>
          <w:rFonts w:ascii="Arial" w:cs="Arial" w:eastAsia="Arial" w:hAnsi="Arial"/>
          <w:sz w:val="20"/>
          <w:szCs w:val="20"/>
        </w:rPr>
        <w:t xml:space="preserve">Care is increasingly mediated by systems (law, documentation, and now AI). The professional's core task is to keep judgement, accountability and the person's voice human while using those systems, and my development as a nurse-trained practitioner is a movement from technical competence towards governance-literate judgement.</w:t>
      </w:r>
    </w:p>
    <w:p>
      <w:pPr>
        <w:pStyle w:val="ListParagraph"/>
        <w:numPr>
          <w:ilvl w:val="0"/>
          <w:numId w:val="2"/>
        </w:numPr>
        <w:spacing w:after="60"/>
      </w:pPr>
      <w:r>
        <w:rPr>
          <w:rFonts w:ascii="Arial" w:cs="Arial" w:eastAsia="Arial" w:hAnsi="Arial"/>
          <w:b/>
          <w:bCs/>
          <w:sz w:val="20"/>
          <w:szCs w:val="20"/>
        </w:rPr>
        <w:t xml:space="preserve">Section 1 (Identity): </w:t>
      </w:r>
      <w:r>
        <w:rPr>
          <w:rFonts w:ascii="Arial" w:cs="Arial" w:eastAsia="Arial" w:hAnsi="Arial"/>
          <w:sz w:val="20"/>
          <w:szCs w:val="20"/>
        </w:rPr>
        <w:t xml:space="preserve">shows the origin of the thread: from task competence in Nepal and UK care work to understanding governance, law and leadership through the degree.</w:t>
      </w:r>
    </w:p>
    <w:p>
      <w:pPr>
        <w:pStyle w:val="ListParagraph"/>
        <w:numPr>
          <w:ilvl w:val="0"/>
          <w:numId w:val="2"/>
        </w:numPr>
        <w:spacing w:after="60"/>
      </w:pPr>
      <w:r>
        <w:rPr>
          <w:rFonts w:ascii="Arial" w:cs="Arial" w:eastAsia="Arial" w:hAnsi="Arial"/>
          <w:b/>
          <w:bCs/>
          <w:sz w:val="20"/>
          <w:szCs w:val="20"/>
        </w:rPr>
        <w:t xml:space="preserve">Section 2 (Case): </w:t>
      </w:r>
      <w:r>
        <w:rPr>
          <w:rFonts w:ascii="Arial" w:cs="Arial" w:eastAsia="Arial" w:hAnsi="Arial"/>
          <w:sz w:val="20"/>
          <w:szCs w:val="20"/>
        </w:rPr>
        <w:t xml:space="preserve">tests the thread under pressure: what happens to consent, accountability and safety when AI shapes a care plan.</w:t>
      </w:r>
    </w:p>
    <w:p>
      <w:pPr>
        <w:pStyle w:val="ListParagraph"/>
        <w:numPr>
          <w:ilvl w:val="0"/>
          <w:numId w:val="2"/>
        </w:numPr>
        <w:spacing w:after="60"/>
      </w:pPr>
      <w:r>
        <w:rPr>
          <w:rFonts w:ascii="Arial" w:cs="Arial" w:eastAsia="Arial" w:hAnsi="Arial"/>
          <w:b/>
          <w:bCs/>
          <w:sz w:val="20"/>
          <w:szCs w:val="20"/>
        </w:rPr>
        <w:t xml:space="preserve">Section 3 (Plan): </w:t>
      </w:r>
      <w:r>
        <w:rPr>
          <w:rFonts w:ascii="Arial" w:cs="Arial" w:eastAsia="Arial" w:hAnsi="Arial"/>
          <w:sz w:val="20"/>
          <w:szCs w:val="20"/>
        </w:rPr>
        <w:t xml:space="preserve">operationalises the thread: gaps and actions all aim at governance, leadership and evidence-literate judgement.</w:t>
      </w:r>
    </w:p>
    <w:p>
      <w:pPr>
        <w:spacing w:after="100" w:before="0"/>
      </w:pPr>
      <w:r>
        <w:rPr>
          <w:rFonts w:ascii="Arial" w:cs="Arial" w:eastAsia="Arial" w:hAnsi="Arial"/>
          <w:i/>
          <w:iCs/>
          <w:sz w:val="20"/>
          <w:szCs w:val="20"/>
        </w:rPr>
        <w:t xml:space="preserve">Marker effect: a visible thread signals synthesis (K2, C1) and originality, which are exactly the top-band words.</w:t>
      </w:r>
    </w:p>
    <w:p>
      <w:pPr>
        <w:keepNext/>
        <w:spacing w:after="100" w:before="0"/>
      </w:pPr>
      <w:r>
        <w:rPr>
          <w:rFonts w:ascii="Arial" w:cs="Arial" w:eastAsia="Arial" w:hAnsi="Arial"/>
          <w:b/>
          <w:bCs/>
          <w:sz w:val="20"/>
          <w:szCs w:val="20"/>
        </w:rPr>
        <w:t xml:space="preserve">Three 'different thinking' moves to build the argument around:</w:t>
      </w:r>
    </w:p>
    <w:p>
      <w:pPr>
        <w:pStyle w:val="ListParagraph"/>
        <w:numPr>
          <w:ilvl w:val="0"/>
          <w:numId w:val="2"/>
        </w:numPr>
        <w:spacing w:after="60"/>
      </w:pPr>
      <w:r>
        <w:rPr>
          <w:rFonts w:ascii="Arial" w:cs="Arial" w:eastAsia="Arial" w:hAnsi="Arial"/>
          <w:b/>
          <w:bCs/>
          <w:sz w:val="20"/>
          <w:szCs w:val="20"/>
        </w:rPr>
        <w:t xml:space="preserve">Rebut the cliché. </w:t>
      </w:r>
      <w:r>
        <w:rPr>
          <w:rFonts w:ascii="Arial" w:cs="Arial" w:eastAsia="Arial" w:hAnsi="Arial"/>
          <w:sz w:val="20"/>
          <w:szCs w:val="20"/>
        </w:rPr>
        <w:t xml:space="preserve">'Technology should support, not replace, human care' is what every student will write. Push beyond it: the risk is not replacement but quiet anchoring, where defaults and suggested plans reshape what staff notice and ask. Argue this with automation-bias evidence.</w:t>
      </w:r>
    </w:p>
    <w:p>
      <w:pPr>
        <w:pStyle w:val="ListParagraph"/>
        <w:numPr>
          <w:ilvl w:val="0"/>
          <w:numId w:val="2"/>
        </w:numPr>
        <w:spacing w:after="60"/>
      </w:pPr>
      <w:r>
        <w:rPr>
          <w:rFonts w:ascii="Arial" w:cs="Arial" w:eastAsia="Arial" w:hAnsi="Arial"/>
          <w:b/>
          <w:bCs/>
          <w:sz w:val="20"/>
          <w:szCs w:val="20"/>
        </w:rPr>
        <w:t xml:space="preserve">Consent is not the whole story. </w:t>
      </w:r>
      <w:r>
        <w:rPr>
          <w:rFonts w:ascii="Arial" w:cs="Arial" w:eastAsia="Arial" w:hAnsi="Arial"/>
          <w:sz w:val="20"/>
          <w:szCs w:val="20"/>
        </w:rPr>
        <w:t xml:space="preserve">A strong, nuance-rich point: for direct care the lawful basis for processing health data under UK GDPR is usually not consent, so 'consent' to the data use and consent to the care are different things, and the common-law duty of confidentiality and the Caldicott principles still apply. Many students conflate these; a harsh marker rewards getting it right.</w:t>
      </w:r>
    </w:p>
    <w:p>
      <w:pPr>
        <w:pStyle w:val="ListParagraph"/>
        <w:numPr>
          <w:ilvl w:val="0"/>
          <w:numId w:val="2"/>
        </w:numPr>
        <w:spacing w:after="60"/>
      </w:pPr>
      <w:r>
        <w:rPr>
          <w:rFonts w:ascii="Arial" w:cs="Arial" w:eastAsia="Arial" w:hAnsi="Arial"/>
          <w:b/>
          <w:bCs/>
          <w:sz w:val="20"/>
          <w:szCs w:val="20"/>
        </w:rPr>
        <w:t xml:space="preserve">Identity tension as critical self-analysis. </w:t>
      </w:r>
      <w:r>
        <w:rPr>
          <w:rFonts w:ascii="Arial" w:cs="Arial" w:eastAsia="Arial" w:hAnsi="Arial"/>
          <w:sz w:val="20"/>
          <w:szCs w:val="20"/>
        </w:rPr>
        <w:t xml:space="preserve">You trained as a nurse (PCL diploma) yet work in UK care roles. Analysing that transition honestly (skills recognition, role boundaries, what you can and cannot do) shows advanced self-insight (C1) if done with evidence and without self-pity. Only include it if you are comfortable.</w:t>
      </w:r>
    </w:p>
    <w:p>
      <w:pPr>
        <w:pStyle w:val="Heading1"/>
        <w:keepNext/>
        <w:spacing w:after="120" w:before="300"/>
      </w:pPr>
      <w:r>
        <w:rPr>
          <w:rFonts w:ascii="Arial" w:cs="Arial" w:eastAsia="Arial" w:hAnsi="Arial"/>
          <w:b/>
          <w:bCs/>
        </w:rPr>
        <w:t xml:space="preserve">4. Master word allocation (total target 4,900-4,950; leave about 50-100 words buffer)</w:t>
      </w:r>
    </w:p>
    <w:p>
      <w:pPr>
        <w:spacing w:after="100" w:before="0"/>
      </w:pPr>
      <w:r>
        <w:rPr>
          <w:rFonts w:ascii="Arial" w:cs="Arial" w:eastAsia="Arial" w:hAnsi="Arial"/>
          <w:i/>
          <w:iCs/>
          <w:sz w:val="20"/>
          <w:szCs w:val="20"/>
        </w:rPr>
        <w:t xml:space="preserve">Check BPP's rule on whether headings, in-text citations and tables count and on the permitted tolerance. Plan so you are safe either way: never exceed 5,000 on the strictest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1100"/>
        <w:gridCol w:w="33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Ref</w:t>
            </w:r>
          </w:p>
        </w:tc>
        <w:tc>
          <w:tcPr>
            <w:tcW w:type="dxa" w:w="4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Component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Words</w:t>
            </w:r>
          </w:p>
        </w:tc>
        <w:tc>
          <w:tcPr>
            <w:tcW w:type="dxa" w:w="33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Primary marks served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PROFESSIONAL IDENTITY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1.1</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Positioning and thesis hook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 K2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Learning across the degree (3 modules, deep not broad) + synthesis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480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 K2, C1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1.3</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Values, attitudes and standards tested in practice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250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 C1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1.4</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Identity synthesis: the kind of professional I am becoming</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EXPERIENCE OR CASE ANALYSIS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3,000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2.1</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Case introduction, eligibility and rationale (the only description)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2.2</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Analytical approach: justify and critique Gibbs; roadmap</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2.3</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Issue 1: Ethics, confidentiality and consent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700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 C2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2.4</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Issue 2: Professional accountability and judgement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700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 C2, K2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2.5</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Issue 3: Safety and quality of care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600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K1, C2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2.6</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Cross-issue synthesis and original, evidenced solutions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250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2.7</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Reflective conclusion: what changed, why it matters, action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250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 K2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CAREER DEVELOPMENT PLAN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3.1</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Direction and rationale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3.2</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Competency audit: strengths with evidence against a framework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 K2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3.3</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Gap analysis: prioritised and critical</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C1, C2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3.4</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Action plan: 3, 6, 12 months (table)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250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K2, C2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3.5</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Risks, contingencies, monitoring; link back to thesis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Sub-total</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5,000</w:t>
            </w:r>
          </w:p>
        </w:tc>
        <w:tc>
          <w:tcPr>
            <w:tcW w:type="dxa" w:w="3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Stay at or under</w:t>
            </w:r>
          </w:p>
        </w:tc>
      </w:tr>
    </w:tbl>
    <w:p>
      <w:pPr>
        <w:pStyle w:val="Heading1"/>
        <w:keepNext/>
        <w:spacing w:after="120" w:before="300"/>
      </w:pPr>
      <w:r>
        <w:rPr>
          <w:rFonts w:ascii="Arial" w:cs="Arial" w:eastAsia="Arial" w:hAnsi="Arial"/>
          <w:b/>
          <w:bCs/>
        </w:rPr>
        <w:t xml:space="preserve">5. Section-by-section blueprint</w:t>
      </w:r>
    </w:p>
    <w:p>
      <w:pPr>
        <w:spacing w:after="100" w:before="0"/>
      </w:pPr>
      <w:r>
        <w:rPr>
          <w:rFonts w:ascii="Arial" w:cs="Arial" w:eastAsia="Arial" w:hAnsi="Arial"/>
          <w:i/>
          <w:iCs/>
          <w:sz w:val="20"/>
          <w:szCs w:val="20"/>
        </w:rPr>
        <w:t xml:space="preserve">Notation: [CASE DETAIL] = information I still need from your Mrs Okafor materials. [VERIFY] = source details to confirm from the original before citing. Cite only what you have actually read.</w:t>
      </w:r>
    </w:p>
    <w:p>
      <w:pPr>
        <w:pStyle w:val="Heading2"/>
        <w:keepNext/>
        <w:spacing w:after="100" w:before="200"/>
      </w:pPr>
      <w:r>
        <w:rPr>
          <w:rFonts w:ascii="Arial" w:cs="Arial" w:eastAsia="Arial" w:hAnsi="Arial"/>
          <w:b/>
          <w:bCs/>
        </w:rPr>
        <w:t xml:space="preserve">SECTION 1: PROFESSIONAL IDENTITY (1,000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000"/>
        <w:gridCol w:w="2500"/>
        <w:gridCol w:w="28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Para</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Words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Purpose and content</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Critical move (what lifts the mark)</w:t>
            </w:r>
          </w:p>
        </w:tc>
        <w:tc>
          <w:tcPr>
            <w:tcW w:type="dxa" w:w="28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Evidence to find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State who you are becoming in one precise sentence (the thesis). Briefly place yourself: nursing diploma, hospital experience, UK care work, degree.</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Argue, do not narrate. Signal the thread: judgement and accountability within systems.</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One identity or professional-socialisation source (e.g. Benner novice-to-expert [VERIFY]).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1.2a</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Module 1: Health Law, Policy and Governance. What concept changed your thinking (accountability, safeguarding, duty of care)? Show before/after.</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Name one idea you first misunderstood or underestimated; say what evidence changed your mind.</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 module reading, plus the Care Act 2014 or Regulated Activities Regulations 2014.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1.2b</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Module 2: Leadership and Management. Decision-making, teamwork, speaking up.</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Link to a real care home moment (anonymised). Evaluate a leadership theory's limits in care settings.</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 leadership text from the reading list (e.g. compassionate leadership: West [VERIFY]); psychological safety (Edmondson 1999 [VERIFY]).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Module 3: Integrated Care or Global Health. Choose the one that most shaped the case or your Nepal ambitions.</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Connect to equity and Nepal critically: avoid a sweeping UK-versus-Nepal comparison; use data.</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WHO/Lancet-type global health source; one Nepal policy source [VERIFY].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Synthesis sentence: how the three modules interlock.</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Shows synthesis (K2).</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None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1.3a</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130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Values (dignity, compassion, accountability): define one in a professional-standards sense, then show it tested (resident refuses care or is confused).</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Show the tension between choice and safety; reference the Mental Capacity Act principles. Not 'values are important' but 'here is what the value cost me and how I resolved it'.</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MCA 2005; CQC fundamental standards (dignity, consent); Skills for Care Code of Conduct / Care Certificate [VERIFY].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1.3b</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Reflective evaluation of your own response: what you did well, what you got wrong, what you would change.</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Honest weakness with evidence earns C1 marks more than polished self-praise.</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One reflective-practice source (Gibbs 1988; Schon 1983) [VERIFY].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Identity synthesis: the professional you are becoming (e.g. governance-literate, relational, evidence-aware practitioner).</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Name the tension (nurse-trained, working at care-assistant level) and what it taught you. Link forward to the case.</w:t>
            </w:r>
          </w:p>
        </w:tc>
        <w:tc>
          <w:tcPr>
            <w:tcW w:type="dxa" w:w="28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Optional: Ibarra or professional-identity source [VERIFY].</w:t>
            </w:r>
          </w:p>
        </w:tc>
      </w:tr>
    </w:tbl>
    <w:p>
      <w:pPr>
        <w:spacing w:after="80" w:before="0"/>
      </w:pPr>
      <w:r>
        <w:rPr>
          <w:rFonts w:ascii="Arial" w:cs="Arial" w:eastAsia="Arial" w:hAnsi="Arial"/>
          <w:sz w:val="20"/>
          <w:szCs w:val="20"/>
        </w:rPr>
        <w:t xml:space="preserve"/>
      </w:r>
    </w:p>
    <w:p>
      <w:pPr>
        <w:spacing w:after="100" w:before="0"/>
      </w:pPr>
      <w:r>
        <w:rPr>
          <w:rFonts w:ascii="Arial" w:cs="Arial" w:eastAsia="Arial" w:hAnsi="Arial"/>
          <w:b/>
          <w:bCs/>
          <w:sz w:val="20"/>
          <w:szCs w:val="20"/>
        </w:rPr>
        <w:t xml:space="preserve">Section 1 anti-patterns: listing all five modules; a CV in prose; 'I am passionate about'; no sources; a life story.</w:t>
      </w:r>
    </w:p>
    <w:p>
      <w:pPr>
        <w:pStyle w:val="Heading2"/>
        <w:keepNext/>
        <w:spacing w:after="100" w:before="200"/>
      </w:pPr>
      <w:r>
        <w:rPr>
          <w:rFonts w:ascii="Arial" w:cs="Arial" w:eastAsia="Arial" w:hAnsi="Arial"/>
          <w:b/>
          <w:bCs/>
        </w:rPr>
        <w:t xml:space="preserve">SECTION 2: EXPERIENCE OR CASE ANALYSIS (3,000 words)</w:t>
      </w:r>
    </w:p>
    <w:p>
      <w:pPr>
        <w:keepNext/>
        <w:spacing w:after="100" w:before="0"/>
      </w:pPr>
      <w:r>
        <w:rPr>
          <w:rFonts w:ascii="Arial" w:cs="Arial" w:eastAsia="Arial" w:hAnsi="Arial"/>
          <w:b/>
          <w:bCs/>
          <w:sz w:val="20"/>
          <w:szCs w:val="20"/>
        </w:rPr>
        <w:t xml:space="preserve">2.1 Case introduction (300 words)</w:t>
      </w:r>
    </w:p>
    <w:p>
      <w:pPr>
        <w:pStyle w:val="ListParagraph"/>
        <w:numPr>
          <w:ilvl w:val="0"/>
          <w:numId w:val="2"/>
        </w:numPr>
        <w:spacing w:after="60"/>
      </w:pPr>
      <w:r>
        <w:rPr>
          <w:rFonts w:ascii="Arial" w:cs="Arial" w:eastAsia="Arial" w:hAnsi="Arial"/>
          <w:sz w:val="20"/>
          <w:szCs w:val="20"/>
        </w:rPr>
        <w:t xml:space="preserve">Module, learning activity, scale and your role in it (this proves option (d) eligibility).</w:t>
      </w:r>
    </w:p>
    <w:p>
      <w:pPr>
        <w:pStyle w:val="ListParagraph"/>
        <w:numPr>
          <w:ilvl w:val="0"/>
          <w:numId w:val="2"/>
        </w:numPr>
        <w:spacing w:after="60"/>
      </w:pPr>
      <w:r>
        <w:rPr>
          <w:rFonts w:ascii="Arial" w:cs="Arial" w:eastAsia="Arial" w:hAnsi="Arial"/>
          <w:sz w:val="20"/>
          <w:szCs w:val="20"/>
        </w:rPr>
        <w:t xml:space="preserve">Mrs Okafor: need, context, what the AI-supported care-planning tool did [CASE DETAIL]. Maximum 150 words of pure description.</w:t>
      </w:r>
    </w:p>
    <w:p>
      <w:pPr>
        <w:pStyle w:val="ListParagraph"/>
        <w:numPr>
          <w:ilvl w:val="0"/>
          <w:numId w:val="2"/>
        </w:numPr>
        <w:spacing w:after="60"/>
      </w:pPr>
      <w:r>
        <w:rPr>
          <w:rFonts w:ascii="Arial" w:cs="Arial" w:eastAsia="Arial" w:hAnsi="Arial"/>
          <w:sz w:val="20"/>
          <w:szCs w:val="20"/>
        </w:rPr>
        <w:t xml:space="preserve">Why this case matters for health and social care: scale of AI adoption in care, regulatory gap, vulnerability of people with changing needs (1-2 policy or evidence citations).</w:t>
      </w:r>
    </w:p>
    <w:p>
      <w:pPr>
        <w:pStyle w:val="ListParagraph"/>
        <w:numPr>
          <w:ilvl w:val="0"/>
          <w:numId w:val="2"/>
        </w:numPr>
        <w:spacing w:after="60"/>
      </w:pPr>
      <w:r>
        <w:rPr>
          <w:rFonts w:ascii="Arial" w:cs="Arial" w:eastAsia="Arial" w:hAnsi="Arial"/>
          <w:sz w:val="20"/>
          <w:szCs w:val="20"/>
        </w:rPr>
        <w:t xml:space="preserve">Close with your central argument in one sentence.</w:t>
      </w:r>
    </w:p>
    <w:p>
      <w:pPr>
        <w:keepNext/>
        <w:spacing w:after="100" w:before="100"/>
      </w:pPr>
      <w:r>
        <w:rPr>
          <w:rFonts w:ascii="Arial" w:cs="Arial" w:eastAsia="Arial" w:hAnsi="Arial"/>
          <w:b/>
          <w:bCs/>
          <w:sz w:val="20"/>
          <w:szCs w:val="20"/>
        </w:rPr>
        <w:t xml:space="preserve">2.2 Analytical approach (200 words)</w:t>
      </w:r>
    </w:p>
    <w:p>
      <w:pPr>
        <w:pStyle w:val="ListParagraph"/>
        <w:numPr>
          <w:ilvl w:val="0"/>
          <w:numId w:val="2"/>
        </w:numPr>
        <w:spacing w:after="60"/>
      </w:pPr>
      <w:r>
        <w:rPr>
          <w:rFonts w:ascii="Arial" w:cs="Arial" w:eastAsia="Arial" w:hAnsi="Arial"/>
          <w:sz w:val="20"/>
          <w:szCs w:val="20"/>
        </w:rPr>
        <w:t xml:space="preserve">Gibbs used as scaffold (description, feelings, evaluation, analysis, conclusion, action plan) and mapped in one sentence to your sections.</w:t>
      </w:r>
    </w:p>
    <w:p>
      <w:pPr>
        <w:pStyle w:val="ListParagraph"/>
        <w:numPr>
          <w:ilvl w:val="0"/>
          <w:numId w:val="2"/>
        </w:numPr>
        <w:spacing w:after="60"/>
      </w:pPr>
      <w:r>
        <w:rPr>
          <w:rFonts w:ascii="Arial" w:cs="Arial" w:eastAsia="Arial" w:hAnsi="Arial"/>
          <w:sz w:val="20"/>
          <w:szCs w:val="20"/>
        </w:rPr>
        <w:t xml:space="preserve">Critique Gibbs: criticised for being linear and descriptive; you compensate with analytical lenses (relational autonomy, logic of care, systems model of safety) [VERIFY: Finlay 2008; Boud et al.].</w:t>
      </w:r>
    </w:p>
    <w:p>
      <w:pPr>
        <w:pStyle w:val="ListParagraph"/>
        <w:numPr>
          <w:ilvl w:val="0"/>
          <w:numId w:val="2"/>
        </w:numPr>
        <w:spacing w:after="60"/>
      </w:pPr>
      <w:r>
        <w:rPr>
          <w:rFonts w:ascii="Arial" w:cs="Arial" w:eastAsia="Arial" w:hAnsi="Arial"/>
          <w:sz w:val="20"/>
          <w:szCs w:val="20"/>
        </w:rPr>
        <w:t xml:space="preserve">Evidence note: be transparent that AI-in-social-care evidence is thin and often vendor-led or grey literature; say how you weighed it. Markers love methodological honesty.</w:t>
      </w:r>
    </w:p>
    <w:p>
      <w:pPr>
        <w:pStyle w:val="ListParagraph"/>
        <w:numPr>
          <w:ilvl w:val="0"/>
          <w:numId w:val="2"/>
        </w:numPr>
        <w:spacing w:after="60"/>
      </w:pPr>
      <w:r>
        <w:rPr>
          <w:rFonts w:ascii="Arial" w:cs="Arial" w:eastAsia="Arial" w:hAnsi="Arial"/>
          <w:sz w:val="20"/>
          <w:szCs w:val="20"/>
        </w:rPr>
        <w:t xml:space="preserve">Roadmap: three issues and why these three (interlocking argument).</w:t>
      </w:r>
    </w:p>
    <w:p>
      <w:pPr>
        <w:spacing w:after="100" w:before="100"/>
      </w:pPr>
      <w:r>
        <w:rPr>
          <w:rFonts w:ascii="Arial" w:cs="Arial" w:eastAsia="Arial" w:hAnsi="Arial"/>
          <w:i/>
          <w:iCs/>
          <w:sz w:val="20"/>
          <w:szCs w:val="20"/>
        </w:rPr>
        <w:t xml:space="preserve">Issue paragraphs: apply the 5-step pattern in Section 6 to every paragraph.</w:t>
      </w:r>
    </w:p>
    <w:p>
      <w:pPr>
        <w:keepNext/>
        <w:spacing w:after="100" w:before="0"/>
      </w:pPr>
      <w:r>
        <w:rPr>
          <w:rFonts w:ascii="Arial" w:cs="Arial" w:eastAsia="Arial" w:hAnsi="Arial"/>
          <w:b/>
          <w:bCs/>
          <w:sz w:val="20"/>
          <w:szCs w:val="20"/>
        </w:rPr>
        <w:t xml:space="preserve">2.3 Issue 1: Ethics, confidentiality and consent (700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600"/>
        <w:gridCol w:w="47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Para</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Words</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Content</w:t>
            </w:r>
          </w:p>
        </w:tc>
        <w:tc>
          <w:tcPr>
            <w:tcW w:type="dxa" w:w="47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Critical move and sources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Claim: what the ethical problem is in THIS case [CASE DETAIL: which personal data the AI used, who saw it, what was inferred].</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Make a precise claim, not 'confidentiality is important'.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b</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Legal framework dissected: common-law duty of confidentiality; UK GDPR lawful basis (Art 6 and Art 9(2)(h) for direct care); Data Protection Act 2018; Caldicott principles including the duty to share.</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Nuance: consent to care is not the same as consent to processing. Cite ICO guidance, legislation, Caldicott Principles [VERIFY exact wording/edition].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Ethical lens: principlism (Beauchamp and Childress); relational autonomy (Mackenzie and Stoljar); MCA 2005 s1 principles and best interests (s4). What happens when the AI 'infers' preferences versus the person's expressed wishes?</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Compare two lenses and judge which fits the case better and why.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Evaluate: strengths (personalisation, completeness) versus limits (bias, transparency, Art 22 solely automated decisions, Art 13/14 transparency, algorithmic bias e.g. Obermeyer et al. 2019 [VERIFY]).</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Present a genuine counter-argument, then give your reasoned judgement.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Practice link (anonymised) plus 'so what': what a practitioner should do (check the basis, tell the person, record).</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Concrete behaviour, not sentiment.</w:t>
            </w:r>
          </w:p>
        </w:tc>
      </w:tr>
    </w:tbl>
    <w:p>
      <w:pPr>
        <w:keepNext/>
        <w:spacing w:after="100" w:before="140"/>
      </w:pPr>
      <w:r>
        <w:rPr>
          <w:rFonts w:ascii="Arial" w:cs="Arial" w:eastAsia="Arial" w:hAnsi="Arial"/>
          <w:b/>
          <w:bCs/>
          <w:sz w:val="20"/>
          <w:szCs w:val="20"/>
        </w:rPr>
        <w:t xml:space="preserve">2.4 Issue 2: Professional accountability and judgement (700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600"/>
        <w:gridCol w:w="47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Para</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Words</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Content</w:t>
            </w:r>
          </w:p>
        </w:tc>
        <w:tc>
          <w:tcPr>
            <w:tcW w:type="dxa" w:w="47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Critical move and sources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Claim: accountability can become diffused when AI contributes to the plan (practitioner, registered manager, provider, supplier).</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Thesis-level claim.</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b</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170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Accountability architecture: provider duties (Regulated Activities Regulations 2014: person-centred care, consent, safe care, good governance, duty of candour); role-level standards (Skills for Care Code of Conduct; NMC Code 2018 as the benchmark from your nursing background, noting you are not NMC-registered in the UK); case law on judgement and information (e.g. Montgomery v Lanarkshire [2015] [VERIFY citation format]).</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Be precise about which standard actually binds a care assistant; harsh markers punish misapplied registrant standards.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160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Theory: automation bias (Skitka et al. 1999; Goddard et al. 2012 [VERIFY]); Schon's critique of technical rationality; Mol's 'logic of care' versus 'logic of choice'.</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This is where originality lives: apply a sociological/theoretical lens most students will not use.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Evaluate the counter-position: the 'gift of time' argument (Topol 2019 [VERIFY]) versus evidence on documentation burden. Reach a conditional conclusion: AI strengthens judgement only with human-in-the-loop governance (override rights, rationale recorded, audit).</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Conditional, evidenced conclusion beats a 'both sides' summary.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Practice link (anonymised): escalation, reporting changes to seniors, asking when unsure; what that shows about professional boundaries.</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Show judgement exercised, and its limits.</w:t>
            </w:r>
          </w:p>
        </w:tc>
      </w:tr>
    </w:tbl>
    <w:p>
      <w:pPr>
        <w:keepNext/>
        <w:spacing w:after="100" w:before="140"/>
      </w:pPr>
      <w:r>
        <w:rPr>
          <w:rFonts w:ascii="Arial" w:cs="Arial" w:eastAsia="Arial" w:hAnsi="Arial"/>
          <w:b/>
          <w:bCs/>
          <w:sz w:val="20"/>
          <w:szCs w:val="20"/>
        </w:rPr>
        <w:t xml:space="preserve">2.5 Issue 3: Safety and quality of care (600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600"/>
        <w:gridCol w:w="47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Para</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Words</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Content</w:t>
            </w:r>
          </w:p>
        </w:tc>
        <w:tc>
          <w:tcPr>
            <w:tcW w:type="dxa" w:w="47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Critical move and sources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Claim: safety depends on the system around the tool, not on the tool.</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Systems thinking.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b</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Framework: Reason's Swiss cheese model (2000); Francis (2013) and Berwick (2013) on culture; Regulation 12 safe care; clinical risk standards for deploying organisations (e.g. DCB0160 [VERIFY applicability to adult social care]).</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Apply the model to the case: which defences does the AI add, which does it remove?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Latent failures in care homes: data quality, default settings, alert fatigue, staffing and turnover (Skills for Care annual workforce report [VERIFY]), training.</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Contextual realism builds C2 credibility.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Quality: Donabedian structure-process-outcome; outcome measures the person values (e.g. ASCOT [VERIFY]) versus efficiency metrics. Is a complete plan the same as a good plan?</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Challenge what 'quality' means.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80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Practice link and judgement: what you would check before relying on a plan.</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Short and concrete.</w:t>
            </w:r>
          </w:p>
        </w:tc>
      </w:tr>
    </w:tbl>
    <w:p>
      <w:pPr>
        <w:keepNext/>
        <w:spacing w:after="100" w:before="140"/>
      </w:pPr>
      <w:r>
        <w:rPr>
          <w:rFonts w:ascii="Arial" w:cs="Arial" w:eastAsia="Arial" w:hAnsi="Arial"/>
          <w:b/>
          <w:bCs/>
          <w:sz w:val="20"/>
          <w:szCs w:val="20"/>
        </w:rPr>
        <w:t xml:space="preserve">2.6 Cross-issue synthesis and solutions (250 words)</w:t>
      </w:r>
    </w:p>
    <w:p>
      <w:pPr>
        <w:pStyle w:val="ListParagraph"/>
        <w:numPr>
          <w:ilvl w:val="0"/>
          <w:numId w:val="2"/>
        </w:numPr>
        <w:spacing w:after="60"/>
      </w:pPr>
      <w:r>
        <w:rPr>
          <w:rFonts w:ascii="Arial" w:cs="Arial" w:eastAsia="Arial" w:hAnsi="Arial"/>
          <w:sz w:val="20"/>
          <w:szCs w:val="20"/>
        </w:rPr>
        <w:t xml:space="preserve">Argument: the issues interlock. Consent legitimises the data, accountability legitimises the decision, safety systems legitimise the use. Weakness in one undermines the others.</w:t>
      </w:r>
    </w:p>
    <w:p>
      <w:pPr>
        <w:pStyle w:val="ListParagraph"/>
        <w:numPr>
          <w:ilvl w:val="0"/>
          <w:numId w:val="2"/>
        </w:numPr>
        <w:spacing w:after="60"/>
      </w:pPr>
      <w:r>
        <w:rPr>
          <w:rFonts w:ascii="Arial" w:cs="Arial" w:eastAsia="Arial" w:hAnsi="Arial"/>
          <w:sz w:val="20"/>
          <w:szCs w:val="20"/>
        </w:rPr>
        <w:t xml:space="preserve">Propose 3-4 specific, justified, feasible solutions (C2 wants 'robust, original, strongly evidenced'). Candidates: (1) Data Protection Impact Assessment before deployment (UK GDPR Art 35); (2) a 'preference-verification' step: AI-suggested plan elements are checked with the person or advocate and recorded as verified or declined; (3) override-and-rationale logging with periodic audit by the registered manager; (4) staff training on automation bias and lawful basis.</w:t>
      </w:r>
    </w:p>
    <w:p>
      <w:pPr>
        <w:pStyle w:val="ListParagraph"/>
        <w:numPr>
          <w:ilvl w:val="0"/>
          <w:numId w:val="2"/>
        </w:numPr>
        <w:spacing w:after="60"/>
      </w:pPr>
      <w:r>
        <w:rPr>
          <w:rFonts w:ascii="Arial" w:cs="Arial" w:eastAsia="Arial" w:hAnsi="Arial"/>
          <w:sz w:val="20"/>
          <w:szCs w:val="20"/>
        </w:rPr>
        <w:t xml:space="preserve">For each: evidence it works, cost or feasibility in a care home, and one limitation. Rank them.</w:t>
      </w:r>
    </w:p>
    <w:p>
      <w:pPr>
        <w:keepNext/>
        <w:spacing w:after="100" w:before="100"/>
      </w:pPr>
      <w:r>
        <w:rPr>
          <w:rFonts w:ascii="Arial" w:cs="Arial" w:eastAsia="Arial" w:hAnsi="Arial"/>
          <w:b/>
          <w:bCs/>
          <w:sz w:val="20"/>
          <w:szCs w:val="20"/>
        </w:rPr>
        <w:t xml:space="preserve">2.7 Reflective conclusion (250 words)</w:t>
      </w:r>
    </w:p>
    <w:p>
      <w:pPr>
        <w:pStyle w:val="ListParagraph"/>
        <w:numPr>
          <w:ilvl w:val="0"/>
          <w:numId w:val="2"/>
        </w:numPr>
        <w:spacing w:after="60"/>
      </w:pPr>
      <w:r>
        <w:rPr>
          <w:rFonts w:ascii="Arial" w:cs="Arial" w:eastAsia="Arial" w:hAnsi="Arial"/>
          <w:sz w:val="20"/>
          <w:szCs w:val="20"/>
        </w:rPr>
        <w:t xml:space="preserve">Brief feelings (about 40 words, controlled), then the before/after shift in your stance, evidenced.</w:t>
      </w:r>
    </w:p>
    <w:p>
      <w:pPr>
        <w:pStyle w:val="ListParagraph"/>
        <w:numPr>
          <w:ilvl w:val="0"/>
          <w:numId w:val="2"/>
        </w:numPr>
        <w:spacing w:after="60"/>
      </w:pPr>
      <w:r>
        <w:rPr>
          <w:rFonts w:ascii="Arial" w:cs="Arial" w:eastAsia="Arial" w:hAnsi="Arial"/>
          <w:sz w:val="20"/>
          <w:szCs w:val="20"/>
        </w:rPr>
        <w:t xml:space="preserve">Why the learning matters for practice and for your career.</w:t>
      </w:r>
    </w:p>
    <w:p>
      <w:pPr>
        <w:pStyle w:val="ListParagraph"/>
        <w:numPr>
          <w:ilvl w:val="0"/>
          <w:numId w:val="2"/>
        </w:numPr>
        <w:spacing w:after="60"/>
      </w:pPr>
      <w:r>
        <w:rPr>
          <w:rFonts w:ascii="Arial" w:cs="Arial" w:eastAsia="Arial" w:hAnsi="Arial"/>
          <w:sz w:val="20"/>
          <w:szCs w:val="20"/>
        </w:rPr>
        <w:t xml:space="preserve">One concrete action that appears again as an action in Section 3 (continuity).</w:t>
      </w:r>
    </w:p>
    <w:p>
      <w:pPr>
        <w:pStyle w:val="Heading2"/>
        <w:keepNext/>
        <w:spacing w:after="100" w:before="200"/>
      </w:pPr>
      <w:r>
        <w:rPr>
          <w:rFonts w:ascii="Arial" w:cs="Arial" w:eastAsia="Arial" w:hAnsi="Arial"/>
          <w:b/>
          <w:bCs/>
        </w:rPr>
        <w:t xml:space="preserve">SECTION 3: CAREER DEVELOPMENT PLAN (1,000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600"/>
        <w:gridCol w:w="47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Para</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Words</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Content</w:t>
            </w:r>
          </w:p>
        </w:tc>
        <w:tc>
          <w:tcPr>
            <w:tcW w:type="dxa" w:w="47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Critical move and sources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150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Direction: specific role (e.g. senior care assistant or team leader at a named type of provider) then longer-term governance, management or health policy, with Nepal contribution. Rationale tied to the case.</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Replace 'I want to progress' with a named role, setting and why. Justify using labour-market or sector evidence [VERIFY: Skills for Care].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300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Competency audit against a recognised framework (e.g. Care Certificate standards, Skills for Care Code of Conduct, or a leadership framework). 4-5 strengths, each with one piece of evidence and a rating.</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Evidence per competency; self-rate honestly. Use Benner or Dreyfus for level descriptors [VERIFY].</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200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Gaps: 3-4 prioritised (UK governance and safeguarding depth; leadership experience; academic and policy skills; confidence in complex communication). Explain why each matters for the target role.</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Prioritise and justify; critically evaluate your own evidence for each gap.</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250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Action plan table: 3, 6 and 12 months. Action, resource (named course or provider), cost/time, success measure, link to a gap.</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SMART is expected; going further (milestones, evidence of completion) scores higher. Table text counts for words unless BPP says otherwise.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100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Risks and contingency (e.g. work hours, funding, immigration conditions in general terms, job market), monitoring (review at 3 months, mentor or supervisor), closing link to thesis.</w:t>
            </w:r>
          </w:p>
        </w:tc>
        <w:tc>
          <w:tcPr>
            <w:tcW w:type="dxa" w:w="4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 harsh marker rewards realism and risk awareness.</w:t>
            </w:r>
          </w:p>
        </w:tc>
      </w:tr>
    </w:tbl>
    <w:p>
      <w:pPr>
        <w:spacing w:after="100" w:before="100"/>
      </w:pPr>
      <w:r>
        <w:rPr>
          <w:rFonts w:ascii="Arial" w:cs="Arial" w:eastAsia="Arial" w:hAnsi="Arial"/>
          <w:i/>
          <w:iCs/>
          <w:sz w:val="20"/>
          <w:szCs w:val="20"/>
        </w:rPr>
        <w:t xml:space="preserve">Immigration: keep this general (conditions may constrain employment or study choices) and say the plan is designed to comply. Do not discuss specifics unless you need to. Check current rules before writing anything about routes or sponsorship, as they change.</w:t>
      </w:r>
    </w:p>
    <w:p>
      <w:pPr>
        <w:spacing w:after="100" w:before="0"/>
      </w:pPr>
      <w:r>
        <w:rPr>
          <w:rFonts w:ascii="Arial" w:cs="Arial" w:eastAsia="Arial" w:hAnsi="Arial"/>
          <w:i/>
          <w:iCs/>
          <w:sz w:val="20"/>
          <w:szCs w:val="20"/>
        </w:rPr>
        <w:t xml:space="preserve">UK nurse registration: if you plan to pursue NMC registration, check the NMC's current overseas registration requirements before stating any route or timeline.</w:t>
      </w:r>
    </w:p>
    <w:p>
      <w:pPr>
        <w:pStyle w:val="Heading1"/>
        <w:keepNext/>
        <w:spacing w:after="120" w:before="300"/>
      </w:pPr>
      <w:r>
        <w:rPr>
          <w:rFonts w:ascii="Arial" w:cs="Arial" w:eastAsia="Arial" w:hAnsi="Arial"/>
          <w:b/>
          <w:bCs/>
        </w:rPr>
        <w:t xml:space="preserve">6. The paragraph engine (apply to every analytical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30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Step</w:t>
            </w:r>
          </w:p>
        </w:tc>
        <w:tc>
          <w:tcPr>
            <w:tcW w:type="dxa" w:w="4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What to do</w:t>
            </w:r>
          </w:p>
        </w:tc>
        <w:tc>
          <w:tcPr>
            <w:tcW w:type="dxa" w:w="43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Harsh-marker test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 Claim</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One-sentence topic that is arguable.</w:t>
            </w:r>
          </w:p>
        </w:tc>
        <w:tc>
          <w:tcPr>
            <w:tcW w:type="dxa" w:w="4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Could someone reasonably disagree? If not, it is description.</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2 Evidence</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1-2 sources, paraphrased in your own words, with the case or practice detail it applies to.</w:t>
            </w:r>
          </w:p>
        </w:tc>
        <w:tc>
          <w:tcPr>
            <w:tcW w:type="dxa" w:w="4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Is a citation attached to every non-obvious claim?</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3 Analysis</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Explain WHY: mechanism, cause, assumption.</w:t>
            </w:r>
          </w:p>
        </w:tc>
        <w:tc>
          <w:tcPr>
            <w:tcW w:type="dxa" w:w="4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Does it say 'because' or 'which means'?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4 Evaluation</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Strengths, limits, counter-view, quality of the evidence.</w:t>
            </w:r>
          </w:p>
        </w:tc>
        <w:tc>
          <w:tcPr>
            <w:tcW w:type="dxa" w:w="4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Is there at least one real counter-argument and a judgement between views?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5 So what</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Implication for practice, policy, or you.</w:t>
            </w:r>
          </w:p>
        </w:tc>
        <w:tc>
          <w:tcPr>
            <w:tcW w:type="dxa" w:w="43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Would the marker know what to do differently after reading it?</w:t>
            </w:r>
          </w:p>
        </w:tc>
      </w:tr>
    </w:tbl>
    <w:p>
      <w:pPr>
        <w:pStyle w:val="Heading1"/>
        <w:keepNext/>
        <w:spacing w:after="120" w:before="300"/>
      </w:pPr>
      <w:r>
        <w:rPr>
          <w:rFonts w:ascii="Arial" w:cs="Arial" w:eastAsia="Arial" w:hAnsi="Arial"/>
          <w:b/>
          <w:bCs/>
        </w:rPr>
        <w:t xml:space="preserve">7. Harsh-marker lens</w:t>
      </w:r>
    </w:p>
    <w:p>
      <w:pPr>
        <w:pStyle w:val="Heading2"/>
        <w:keepNext/>
        <w:spacing w:after="100" w:before="200"/>
      </w:pPr>
      <w:r>
        <w:rPr>
          <w:rFonts w:ascii="Arial" w:cs="Arial" w:eastAsia="Arial" w:hAnsi="Arial"/>
          <w:b/>
          <w:bCs/>
        </w:rPr>
        <w:t xml:space="preserve">What a harsh marker loves (deliberately include)</w:t>
      </w:r>
    </w:p>
    <w:p>
      <w:pPr>
        <w:pStyle w:val="ListParagraph"/>
        <w:numPr>
          <w:ilvl w:val="0"/>
          <w:numId w:val="2"/>
        </w:numPr>
        <w:spacing w:after="60"/>
      </w:pPr>
      <w:r>
        <w:rPr>
          <w:rFonts w:ascii="Arial" w:cs="Arial" w:eastAsia="Arial" w:hAnsi="Arial"/>
          <w:sz w:val="20"/>
          <w:szCs w:val="20"/>
        </w:rPr>
        <w:t xml:space="preserve">A single arguable thesis carried through all three sections.</w:t>
      </w:r>
    </w:p>
    <w:p>
      <w:pPr>
        <w:pStyle w:val="ListParagraph"/>
        <w:numPr>
          <w:ilvl w:val="0"/>
          <w:numId w:val="2"/>
        </w:numPr>
        <w:spacing w:after="60"/>
      </w:pPr>
      <w:r>
        <w:rPr>
          <w:rFonts w:ascii="Arial" w:cs="Arial" w:eastAsia="Arial" w:hAnsi="Arial"/>
          <w:sz w:val="20"/>
          <w:szCs w:val="20"/>
        </w:rPr>
        <w:t xml:space="preserve">Precise law and policy applied to the case, not listed (lawful basis versus consent; which standard binds which role).</w:t>
      </w:r>
    </w:p>
    <w:p>
      <w:pPr>
        <w:pStyle w:val="ListParagraph"/>
        <w:numPr>
          <w:ilvl w:val="0"/>
          <w:numId w:val="2"/>
        </w:numPr>
        <w:spacing w:after="60"/>
      </w:pPr>
      <w:r>
        <w:rPr>
          <w:rFonts w:ascii="Arial" w:cs="Arial" w:eastAsia="Arial" w:hAnsi="Arial"/>
          <w:sz w:val="20"/>
          <w:szCs w:val="20"/>
        </w:rPr>
        <w:t xml:space="preserve">At least one counter-argument per issue, followed by your reasoned judgement.</w:t>
      </w:r>
    </w:p>
    <w:p>
      <w:pPr>
        <w:pStyle w:val="ListParagraph"/>
        <w:numPr>
          <w:ilvl w:val="0"/>
          <w:numId w:val="2"/>
        </w:numPr>
        <w:spacing w:after="60"/>
      </w:pPr>
      <w:r>
        <w:rPr>
          <w:rFonts w:ascii="Arial" w:cs="Arial" w:eastAsia="Arial" w:hAnsi="Arial"/>
          <w:sz w:val="20"/>
          <w:szCs w:val="20"/>
        </w:rPr>
        <w:t xml:space="preserve">Transparency about the quality and limits of the evidence base.</w:t>
      </w:r>
    </w:p>
    <w:p>
      <w:pPr>
        <w:pStyle w:val="ListParagraph"/>
        <w:numPr>
          <w:ilvl w:val="0"/>
          <w:numId w:val="2"/>
        </w:numPr>
        <w:spacing w:after="60"/>
      </w:pPr>
      <w:r>
        <w:rPr>
          <w:rFonts w:ascii="Arial" w:cs="Arial" w:eastAsia="Arial" w:hAnsi="Arial"/>
          <w:sz w:val="20"/>
          <w:szCs w:val="20"/>
        </w:rPr>
        <w:t xml:space="preserve">Concrete, anonymised practice examples that test theory.</w:t>
      </w:r>
    </w:p>
    <w:p>
      <w:pPr>
        <w:pStyle w:val="ListParagraph"/>
        <w:numPr>
          <w:ilvl w:val="0"/>
          <w:numId w:val="2"/>
        </w:numPr>
        <w:spacing w:after="60"/>
      </w:pPr>
      <w:r>
        <w:rPr>
          <w:rFonts w:ascii="Arial" w:cs="Arial" w:eastAsia="Arial" w:hAnsi="Arial"/>
          <w:sz w:val="20"/>
          <w:szCs w:val="20"/>
        </w:rPr>
        <w:t xml:space="preserve">Honest, specific self-critique (what you got wrong, what changed).</w:t>
      </w:r>
    </w:p>
    <w:p>
      <w:pPr>
        <w:pStyle w:val="ListParagraph"/>
        <w:numPr>
          <w:ilvl w:val="0"/>
          <w:numId w:val="2"/>
        </w:numPr>
        <w:spacing w:after="60"/>
      </w:pPr>
      <w:r>
        <w:rPr>
          <w:rFonts w:ascii="Arial" w:cs="Arial" w:eastAsia="Arial" w:hAnsi="Arial"/>
          <w:sz w:val="20"/>
          <w:szCs w:val="20"/>
        </w:rPr>
        <w:t xml:space="preserve">Original but evidenced solutions, ranked, with feasibility and limitations.</w:t>
      </w:r>
    </w:p>
    <w:p>
      <w:pPr>
        <w:pStyle w:val="ListParagraph"/>
        <w:numPr>
          <w:ilvl w:val="0"/>
          <w:numId w:val="2"/>
        </w:numPr>
        <w:spacing w:after="60"/>
      </w:pPr>
      <w:r>
        <w:rPr>
          <w:rFonts w:ascii="Arial" w:cs="Arial" w:eastAsia="Arial" w:hAnsi="Arial"/>
          <w:sz w:val="20"/>
          <w:szCs w:val="20"/>
        </w:rPr>
        <w:t xml:space="preserve">A realistic plan with named resources, measures, risks and fallbacks.</w:t>
      </w:r>
    </w:p>
    <w:p>
      <w:pPr>
        <w:pStyle w:val="ListParagraph"/>
        <w:numPr>
          <w:ilvl w:val="0"/>
          <w:numId w:val="2"/>
        </w:numPr>
        <w:spacing w:after="60"/>
      </w:pPr>
      <w:r>
        <w:rPr>
          <w:rFonts w:ascii="Arial" w:cs="Arial" w:eastAsia="Arial" w:hAnsi="Arial"/>
          <w:sz w:val="20"/>
          <w:szCs w:val="20"/>
        </w:rPr>
        <w:t xml:space="preserve">Evidence integrated into sentences (paraphrase plus analysis), flawless Harvard, and signposting that keeps the argument easy to follow.</w:t>
      </w:r>
    </w:p>
    <w:p>
      <w:pPr>
        <w:pStyle w:val="Heading2"/>
        <w:keepNext/>
        <w:spacing w:after="100" w:before="200"/>
      </w:pPr>
      <w:r>
        <w:rPr>
          <w:rFonts w:ascii="Arial" w:cs="Arial" w:eastAsia="Arial" w:hAnsi="Arial"/>
          <w:b/>
          <w:bCs/>
        </w:rPr>
        <w:t xml:space="preserve">What a harsh marker punishes (remove all of it)</w:t>
      </w:r>
    </w:p>
    <w:p>
      <w:pPr>
        <w:pStyle w:val="ListParagraph"/>
        <w:numPr>
          <w:ilvl w:val="0"/>
          <w:numId w:val="2"/>
        </w:numPr>
        <w:spacing w:after="60"/>
      </w:pPr>
      <w:r>
        <w:rPr>
          <w:rFonts w:ascii="Arial" w:cs="Arial" w:eastAsia="Arial" w:hAnsi="Arial"/>
          <w:sz w:val="20"/>
          <w:szCs w:val="20"/>
        </w:rPr>
        <w:t xml:space="preserve">Narrative and description beyond about 300 words in total.</w:t>
      </w:r>
    </w:p>
    <w:p>
      <w:pPr>
        <w:pStyle w:val="ListParagraph"/>
        <w:numPr>
          <w:ilvl w:val="0"/>
          <w:numId w:val="2"/>
        </w:numPr>
        <w:spacing w:after="60"/>
      </w:pPr>
      <w:r>
        <w:rPr>
          <w:rFonts w:ascii="Arial" w:cs="Arial" w:eastAsia="Arial" w:hAnsi="Arial"/>
          <w:sz w:val="20"/>
          <w:szCs w:val="20"/>
        </w:rPr>
        <w:t xml:space="preserve">Generic claims: 'technology should support, not replace' with nothing behind it; 'communication is important'.</w:t>
      </w:r>
    </w:p>
    <w:p>
      <w:pPr>
        <w:pStyle w:val="ListParagraph"/>
        <w:numPr>
          <w:ilvl w:val="0"/>
          <w:numId w:val="2"/>
        </w:numPr>
        <w:spacing w:after="60"/>
      </w:pPr>
      <w:r>
        <w:rPr>
          <w:rFonts w:ascii="Arial" w:cs="Arial" w:eastAsia="Arial" w:hAnsi="Arial"/>
          <w:sz w:val="20"/>
          <w:szCs w:val="20"/>
        </w:rPr>
        <w:t xml:space="preserve">Unsupported assertions, and sources that are listed but not used.</w:t>
      </w:r>
    </w:p>
    <w:p>
      <w:pPr>
        <w:pStyle w:val="ListParagraph"/>
        <w:numPr>
          <w:ilvl w:val="0"/>
          <w:numId w:val="2"/>
        </w:numPr>
        <w:spacing w:after="60"/>
      </w:pPr>
      <w:r>
        <w:rPr>
          <w:rFonts w:ascii="Arial" w:cs="Arial" w:eastAsia="Arial" w:hAnsi="Arial"/>
          <w:sz w:val="20"/>
          <w:szCs w:val="20"/>
        </w:rPr>
        <w:t xml:space="preserve">Over-quoting; long quotations; text that echoes lecture slides or your earlier coursework (self-plagiarism and Turnitin risk).</w:t>
      </w:r>
    </w:p>
    <w:p>
      <w:pPr>
        <w:pStyle w:val="ListParagraph"/>
        <w:numPr>
          <w:ilvl w:val="0"/>
          <w:numId w:val="2"/>
        </w:numPr>
        <w:spacing w:after="60"/>
      </w:pPr>
      <w:r>
        <w:rPr>
          <w:rFonts w:ascii="Arial" w:cs="Arial" w:eastAsia="Arial" w:hAnsi="Arial"/>
          <w:sz w:val="20"/>
          <w:szCs w:val="20"/>
        </w:rPr>
        <w:t xml:space="preserve">Bullet lists in the main text instead of argument (tables only in the action plan).</w:t>
      </w:r>
    </w:p>
    <w:p>
      <w:pPr>
        <w:pStyle w:val="ListParagraph"/>
        <w:numPr>
          <w:ilvl w:val="0"/>
          <w:numId w:val="2"/>
        </w:numPr>
        <w:spacing w:after="60"/>
      </w:pPr>
      <w:r>
        <w:rPr>
          <w:rFonts w:ascii="Arial" w:cs="Arial" w:eastAsia="Arial" w:hAnsi="Arial"/>
          <w:sz w:val="20"/>
          <w:szCs w:val="20"/>
        </w:rPr>
        <w:t xml:space="preserve">Sweeping UK-versus-Nepal generalisations, or national stereotypes.</w:t>
      </w:r>
    </w:p>
    <w:p>
      <w:pPr>
        <w:pStyle w:val="ListParagraph"/>
        <w:numPr>
          <w:ilvl w:val="0"/>
          <w:numId w:val="2"/>
        </w:numPr>
        <w:spacing w:after="60"/>
      </w:pPr>
      <w:r>
        <w:rPr>
          <w:rFonts w:ascii="Arial" w:cs="Arial" w:eastAsia="Arial" w:hAnsi="Arial"/>
          <w:sz w:val="20"/>
          <w:szCs w:val="20"/>
        </w:rPr>
        <w:t xml:space="preserve">Misapplied standards (e.g. treating a care assistant as bound by NMC registrant rules) or wrong legal terms.</w:t>
      </w:r>
    </w:p>
    <w:p>
      <w:pPr>
        <w:pStyle w:val="ListParagraph"/>
        <w:numPr>
          <w:ilvl w:val="0"/>
          <w:numId w:val="2"/>
        </w:numPr>
        <w:spacing w:after="60"/>
      </w:pPr>
      <w:r>
        <w:rPr>
          <w:rFonts w:ascii="Arial" w:cs="Arial" w:eastAsia="Arial" w:hAnsi="Arial"/>
          <w:sz w:val="20"/>
          <w:szCs w:val="20"/>
        </w:rPr>
        <w:t xml:space="preserve">Identifiable people or workplaces: anonymise care home residents, colleagues and employers.</w:t>
      </w:r>
    </w:p>
    <w:p>
      <w:pPr>
        <w:pStyle w:val="ListParagraph"/>
        <w:numPr>
          <w:ilvl w:val="0"/>
          <w:numId w:val="2"/>
        </w:numPr>
        <w:spacing w:after="60"/>
      </w:pPr>
      <w:r>
        <w:rPr>
          <w:rFonts w:ascii="Arial" w:cs="Arial" w:eastAsia="Arial" w:hAnsi="Arial"/>
          <w:sz w:val="20"/>
          <w:szCs w:val="20"/>
        </w:rPr>
        <w:t xml:space="preserve">Unrealistic career promises, undated actions, or 'I will improve my confidence' with no mechanism.</w:t>
      </w:r>
    </w:p>
    <w:p>
      <w:pPr>
        <w:pStyle w:val="ListParagraph"/>
        <w:numPr>
          <w:ilvl w:val="0"/>
          <w:numId w:val="2"/>
        </w:numPr>
        <w:spacing w:after="60"/>
      </w:pPr>
      <w:r>
        <w:rPr>
          <w:rFonts w:ascii="Arial" w:cs="Arial" w:eastAsia="Arial" w:hAnsi="Arial"/>
          <w:sz w:val="20"/>
          <w:szCs w:val="20"/>
        </w:rPr>
        <w:t xml:space="preserve">Wasted words: long introductions, repeated conclusions, headings that duplicate content.</w:t>
      </w:r>
    </w:p>
    <w:p>
      <w:pPr>
        <w:pStyle w:val="ListParagraph"/>
        <w:numPr>
          <w:ilvl w:val="0"/>
          <w:numId w:val="2"/>
        </w:numPr>
        <w:spacing w:after="60"/>
      </w:pPr>
      <w:r>
        <w:rPr>
          <w:rFonts w:ascii="Arial" w:cs="Arial" w:eastAsia="Arial" w:hAnsi="Arial"/>
          <w:sz w:val="20"/>
          <w:szCs w:val="20"/>
        </w:rPr>
        <w:t xml:space="preserve">AI-sounding prose: formulaic openers, over-polished abstractions with no specifics. Write in your own voice.</w:t>
      </w:r>
    </w:p>
    <w:p>
      <w:pPr>
        <w:pStyle w:val="Heading1"/>
        <w:keepNext/>
        <w:spacing w:after="120" w:before="300"/>
      </w:pPr>
      <w:r>
        <w:rPr>
          <w:rFonts w:ascii="Arial" w:cs="Arial" w:eastAsia="Arial" w:hAnsi="Arial"/>
          <w:b/>
          <w:bCs/>
        </w:rPr>
        <w:t xml:space="preserve">8. Evidence bank to research (read before citing)</w:t>
      </w:r>
    </w:p>
    <w:p>
      <w:pPr>
        <w:spacing w:after="100" w:before="0"/>
      </w:pPr>
      <w:r>
        <w:rPr>
          <w:rFonts w:ascii="Arial" w:cs="Arial" w:eastAsia="Arial" w:hAnsi="Arial"/>
          <w:i/>
          <w:iCs/>
          <w:sz w:val="20"/>
          <w:szCs w:val="20"/>
        </w:rPr>
        <w:t xml:space="preserve">These are leads, not references. Confirm authors, years, editions and access, and cite only what you have actually read. Prefer the sources in your module reading lists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Theme</w:t>
            </w:r>
          </w:p>
        </w:tc>
        <w:tc>
          <w:tcPr>
            <w:tcW w:type="dxa" w:w="77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Leads to check [VERIFY]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Reflection and identity</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Gibbs (1988) Learning by Doing; Schon (1983) The Reflective Practitioner; Benner (1984) From Novice to Expert; Finlay (2008) on reflective practice; Boud, Keogh and Walker.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Ethics and autonomy</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Beauchamp and Childress, Principles of Biomedical Ethics; Mackenzie and Stoljar (2000) Relational Autonomy; Mol (2008) The Logic of Care; Kitwood (1997) Dementia Reconsidered.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Law and policy</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Care Act 2014; Mental Capacity Act 2005; Health and Social Care Act 2008 (Regulated Activities) Regulations 2014 (Regs 9-12, 17, 20); UK GDPR and Data Protection Act 2018; ICO guidance on AI and data protection; Caldicott Principles (UK Caldicott Guardian Council); CQC fundamental standards.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Professional standards</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Skills for Care Code of Conduct and Care Certificate; NMC Code (2018) as a benchmark from your nursing background.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AI, bias and judgement</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Skitka et al. (1999) automation bias; Goddard, Roudsari and Wyatt (2012) automation bias review; Obermeyer et al. (2019) algorithmic bias; Topol Review (2019) NHS digital future; NHS AI guidance.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Safety and quality</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Reason (2000) human error models; Francis Report (2013); Berwick (2013) A Promise to Learn; Donabedian (1988); ASCOT toolkit; Skills for Care workforce reports.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Leadership</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West et al. on compassionate leadership; Edmondson (1999) psychological safety; a leadership text from your module reading list.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Career planning</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Skills for Care leadership and management guidance; Benner or Dreyfus for competency levels; SMART objectives (Doran 1981).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Nepal context</w:t>
            </w:r>
          </w:p>
        </w:tc>
        <w:tc>
          <w:tcPr>
            <w:tcW w:type="dxa" w:w="77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Constitution of Nepal 2015 (right to health); Public Health Service Act 2018; WHO Nepal country data. Use sparingly and accurately.</w:t>
            </w:r>
          </w:p>
        </w:tc>
      </w:tr>
    </w:tbl>
    <w:p>
      <w:pPr>
        <w:spacing w:after="100" w:before="100"/>
      </w:pPr>
      <w:r>
        <w:rPr>
          <w:rFonts w:ascii="Arial" w:cs="Arial" w:eastAsia="Arial" w:hAnsi="Arial"/>
          <w:sz w:val="20"/>
          <w:szCs w:val="20"/>
        </w:rPr>
        <w:t xml:space="preserve">Target: about 20-28 sources in total. Roughly: Section 1 (5-6), Section 2 (13-16), Section 3 (4-6). Mostly peer-reviewed or authoritative (legislation, regulators, official reports). Keep grey literature to a minimum and label its limits.</w:t>
      </w:r>
    </w:p>
    <w:p>
      <w:pPr>
        <w:pStyle w:val="Heading1"/>
        <w:keepNext/>
        <w:spacing w:after="120" w:before="300"/>
      </w:pPr>
      <w:r>
        <w:rPr>
          <w:rFonts w:ascii="Arial" w:cs="Arial" w:eastAsia="Arial" w:hAnsi="Arial"/>
          <w:b/>
          <w:bCs/>
        </w:rPr>
        <w:t xml:space="preserve">9. What I still need from you (so the blueprint can become paragraph-level)</w:t>
      </w:r>
    </w:p>
    <w:p>
      <w:pPr>
        <w:pStyle w:val="ListParagraph"/>
        <w:numPr>
          <w:ilvl w:val="0"/>
          <w:numId w:val="2"/>
        </w:numPr>
        <w:spacing w:after="60"/>
      </w:pPr>
      <w:r>
        <w:rPr>
          <w:rFonts w:ascii="Arial" w:cs="Arial" w:eastAsia="Arial" w:hAnsi="Arial"/>
          <w:sz w:val="20"/>
          <w:szCs w:val="20"/>
        </w:rPr>
        <w:t xml:space="preserve">Mrs Okafor case materials: the module, the activity brief, the case text, and any tutor feedback [CASE DETAIL].</w:t>
      </w:r>
    </w:p>
    <w:p>
      <w:pPr>
        <w:pStyle w:val="ListParagraph"/>
        <w:numPr>
          <w:ilvl w:val="0"/>
          <w:numId w:val="2"/>
        </w:numPr>
        <w:spacing w:after="60"/>
      </w:pPr>
      <w:r>
        <w:rPr>
          <w:rFonts w:ascii="Arial" w:cs="Arial" w:eastAsia="Arial" w:hAnsi="Arial"/>
          <w:sz w:val="20"/>
          <w:szCs w:val="20"/>
        </w:rPr>
        <w:t xml:space="preserve">Confirm with your tutor that the case qualifies as option (d) and ask if they would prefer option (b).</w:t>
      </w:r>
    </w:p>
    <w:p>
      <w:pPr>
        <w:pStyle w:val="ListParagraph"/>
        <w:numPr>
          <w:ilvl w:val="0"/>
          <w:numId w:val="2"/>
        </w:numPr>
        <w:spacing w:after="60"/>
      </w:pPr>
      <w:r>
        <w:rPr>
          <w:rFonts w:ascii="Arial" w:cs="Arial" w:eastAsia="Arial" w:hAnsi="Arial"/>
          <w:sz w:val="20"/>
          <w:szCs w:val="20"/>
        </w:rPr>
        <w:t xml:space="preserve">Two anonymised practice moments: one for values (resident refusing care or confused) and one for escalation or teamwork.</w:t>
      </w:r>
    </w:p>
    <w:p>
      <w:pPr>
        <w:pStyle w:val="ListParagraph"/>
        <w:numPr>
          <w:ilvl w:val="0"/>
          <w:numId w:val="2"/>
        </w:numPr>
        <w:spacing w:after="60"/>
      </w:pPr>
      <w:r>
        <w:rPr>
          <w:rFonts w:ascii="Arial" w:cs="Arial" w:eastAsia="Arial" w:hAnsi="Arial"/>
          <w:sz w:val="20"/>
          <w:szCs w:val="20"/>
        </w:rPr>
        <w:t xml:space="preserve">Your module reading lists and the BPP Harvard guide.</w:t>
      </w:r>
    </w:p>
    <w:p>
      <w:pPr>
        <w:pStyle w:val="ListParagraph"/>
        <w:numPr>
          <w:ilvl w:val="0"/>
          <w:numId w:val="2"/>
        </w:numPr>
        <w:spacing w:after="60"/>
      </w:pPr>
      <w:r>
        <w:rPr>
          <w:rFonts w:ascii="Arial" w:cs="Arial" w:eastAsia="Arial" w:hAnsi="Arial"/>
          <w:sz w:val="20"/>
          <w:szCs w:val="20"/>
        </w:rPr>
        <w:t xml:space="preserve">The summative deadline, your SRN, tutor name.</w:t>
      </w:r>
    </w:p>
    <w:p>
      <w:pPr>
        <w:pStyle w:val="ListParagraph"/>
        <w:numPr>
          <w:ilvl w:val="0"/>
          <w:numId w:val="2"/>
        </w:numPr>
        <w:spacing w:after="60"/>
      </w:pPr>
      <w:r>
        <w:rPr>
          <w:rFonts w:ascii="Arial" w:cs="Arial" w:eastAsia="Arial" w:hAnsi="Arial"/>
          <w:sz w:val="20"/>
          <w:szCs w:val="20"/>
        </w:rPr>
        <w:t xml:space="preserve">A decision on whether to include the nurse-to-care-assistant identity tension in Section 1 and 3.</w:t>
      </w:r>
    </w:p>
    <w:p>
      <w:pPr>
        <w:pStyle w:val="ListParagraph"/>
        <w:numPr>
          <w:ilvl w:val="0"/>
          <w:numId w:val="2"/>
        </w:numPr>
        <w:spacing w:after="60"/>
      </w:pPr>
      <w:r>
        <w:rPr>
          <w:rFonts w:ascii="Arial" w:cs="Arial" w:eastAsia="Arial" w:hAnsi="Arial"/>
          <w:sz w:val="20"/>
          <w:szCs w:val="20"/>
        </w:rPr>
        <w:t xml:space="preserve">Target role and the one course or training you realistically plan to take.</w:t>
      </w:r>
    </w:p>
    <w:p>
      <w:pPr>
        <w:pStyle w:val="Heading1"/>
        <w:keepNext/>
        <w:spacing w:after="120" w:before="300"/>
      </w:pPr>
      <w:r>
        <w:rPr>
          <w:rFonts w:ascii="Arial" w:cs="Arial" w:eastAsia="Arial" w:hAnsi="Arial"/>
          <w:b/>
          <w:bCs/>
        </w:rPr>
        <w:t xml:space="preserve">10. Pre-submission audit (harsh-marker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Done</w:t>
            </w:r>
          </w:p>
        </w:tc>
        <w:tc>
          <w:tcPr>
            <w:tcW w:type="dxa" w:w="920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Arial" w:cs="Arial" w:eastAsia="Arial" w:hAnsi="Arial"/>
                <w:b/>
                <w:bCs/>
                <w:sz w:val="18"/>
                <w:szCs w:val="18"/>
              </w:rPr>
              <w:t xml:space="preserve">Check</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Three main headings exactly as in the brief; sub-headings clear.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Word count within 5,000 on the strictest count; section targets met.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One thesis visible in the introduction, each section, and the conclusion.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At least three issues analysed; each has law/policy, theory, evidence, counter-argument, judgement and practice link.</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Description limited to about 300 words in total.</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Every claim sourced; every citation in the reference list and vice versa; Harvard consistent.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No quotations over about 30 words (ideally none); paraphrase with analysis.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All people and workplaces anonymised; no copied coursework text.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Solutions are specific, ranked, evidenced and feasible; limitations stated.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Career plan has named roles/resources, dates, measures, risks and a fallback.</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Arial 12, 1.5 spacing, BPP cover page completed, file named SRN Project Summative.docx.</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 ]</w:t>
            </w:r>
          </w:p>
        </w:tc>
        <w:tc>
          <w:tcPr>
            <w:tcW w:type="dxa" w:w="920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8"/>
                <w:szCs w:val="18"/>
              </w:rPr>
              <w:t xml:space="preserve">Turnitin similarity checked; final read-aloud for clarity and your own voice.</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2026-10-14T08:36:05.237Z</dcterms:created>
  <dcterms:modified xsi:type="dcterms:W3CDTF">2026-10-14T08:36:05.245Z</dcterms:modified>
</cp:coreProperties>
</file>

<file path=docProps/custom.xml><?xml version="1.0" encoding="utf-8"?>
<Properties xmlns="http://schemas.openxmlformats.org/officeDocument/2006/custom-properties" xmlns:vt="http://schemas.openxmlformats.org/officeDocument/2006/docPropsVTypes"/>
</file>