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 A: Professional Portfolio (submission text)</w:t>
      </w:r>
    </w:p>
    <w:p>
      <w:r>
        <w:rPr>
          <w:rFonts w:ascii="Arial" w:hAnsi="Arial"/>
          <w:sz w:val="24"/>
        </w:rPr>
        <w:t>Name: Apsara Sunuwar</w:t>
      </w:r>
    </w:p>
    <w:p>
      <w:r>
        <w:rPr>
          <w:rFonts w:ascii="Arial" w:hAnsi="Arial"/>
          <w:sz w:val="24"/>
        </w:rPr>
        <w:t>Role: [YOU SUPPLY: programme / role]</w:t>
      </w:r>
    </w:p>
    <w:p>
      <w:r>
        <w:rPr>
          <w:rFonts w:ascii="Arial" w:hAnsi="Arial"/>
          <w:sz w:val="24"/>
        </w:rPr>
        <w:t>Date: [YOU SUPPLY: submission date]</w:t>
      </w:r>
    </w:p>
    <w:p>
      <w:r>
        <w:rPr>
          <w:rFonts w:ascii="Arial" w:hAnsi="Arial"/>
          <w:sz w:val="24"/>
        </w:rPr>
        <w:t>Title: Building the conditions for independent judgement: identity, an AI-supported placement case, and a career plan</w:t>
      </w:r>
    </w:p>
    <w:p>
      <w:r>
        <w:t>Note: submit Part A only. Delete Part B (the report) and all [YOU SUPPLY] notes first.</w:t>
      </w:r>
    </w:p>
    <w:p>
      <w:pPr>
        <w:pStyle w:val="Heading1"/>
      </w:pPr>
      <w:r>
        <w:t>1. Professional Identity</w:t>
      </w:r>
    </w:p>
    <w:p>
      <w:pPr>
        <w:pStyle w:val="Heading2"/>
      </w:pPr>
      <w:r>
        <w:t>1.1 Position and orientation</w:t>
      </w:r>
    </w:p>
    <w:p>
      <w:r>
        <w:rPr>
          <w:rFonts w:ascii="Arial" w:hAnsi="Arial"/>
          <w:sz w:val="24"/>
        </w:rPr>
        <w:t>I am becoming a practitioner who treats judgement as something a service must protect, not something an individual simply possesses. My route runs from a PCL nursing diploma in Nepal (2023) and hospital practice at BP Smriti, through care-home work in the United Kingdom (UK), to my current degree. Each setting taught the same lesson from a different direction: the quality of care follows the conditions in which people are allowed to think, question and speak. By independent judgement I mean a decision I can explain, defend and revise, not a decision made alone.</w:t>
      </w:r>
    </w:p>
    <w:p>
      <w:r>
        <w:rPr>
          <w:rFonts w:ascii="Arial" w:hAnsi="Arial"/>
          <w:sz w:val="24"/>
        </w:rPr>
        <w:t>This portfolio tests that claim. Section 1 traces where it comes from. Section 2 examines it through one placement episode in which an AI-supported imaging tool's flag appeared inconsistent and I could not say exactly why. Section 3 sets out a career plan built from what that analysis showed I still need to develop.</w:t>
      </w:r>
    </w:p>
    <w:p>
      <w:pPr>
        <w:pStyle w:val="Heading2"/>
      </w:pPr>
      <w:r>
        <w:t>1.2 Learning that changed my thinking</w:t>
      </w:r>
    </w:p>
    <w:p>
      <w:r>
        <w:rPr>
          <w:rFonts w:ascii="Arial" w:hAnsi="Arial"/>
          <w:b/>
          <w:sz w:val="24"/>
        </w:rPr>
        <w:t>Health and access are structurally produced.</w:t>
      </w:r>
      <w:r>
        <w:rPr>
          <w:rFonts w:ascii="Arial" w:hAnsi="Arial"/>
          <w:sz w:val="24"/>
        </w:rPr>
        <w:t xml:space="preserve"> I once believed unequal access to care was mainly a shortage of staff and equipment. Dahlgren and Whitehead's (1991) layered model, the World Health Organization Commission on Social Determinants of Health (2008) and Marmot et al. (2020) argue instead that income, housing and power shape who reaches care. This reframed what I had seen of rural access in Nepal, although the model explains care-home inequalities less well, where staffing patterns and supervision appear to matter as much as social position. I now ask what in the system produces a difference before attributing it to individuals, because a barrier I read as a person's choice, such as a missed appointment, may be one the service built. [YOU SUPPLY: one decision or piece of feedback showing this change, 20 words.]</w:t>
      </w:r>
    </w:p>
    <w:p>
      <w:r>
        <w:rPr>
          <w:rFonts w:ascii="Arial" w:hAnsi="Arial"/>
          <w:b/>
          <w:sz w:val="24"/>
        </w:rPr>
        <w:t>Accountability is individual and systemic.</w:t>
      </w:r>
      <w:r>
        <w:rPr>
          <w:rFonts w:ascii="Arial" w:hAnsi="Arial"/>
          <w:sz w:val="24"/>
        </w:rPr>
        <w:t xml:space="preserve"> I used to equate accountability with following procedure and answering for my own errors. Francis (2013) and Berwick (2013) showed that serious failures grew from cultures and systems, and Reason (2000) contrasts person and system approaches. Yet the Mental Capacity Act 2005 (s.1) still places personal duties on practitioners, such as presuming capacity, so systems thinking cannot dissolve individual responsibility. I therefore ask why a rule exists and where it fails, then follow it or challenge it through the proper route. This avoids two errors: blaming individuals for failures that systems made likely, and excusing individuals by pointing to systems. [YOU SUPPLY: one example from your work, 20 words.]</w:t>
      </w:r>
    </w:p>
    <w:p>
      <w:r>
        <w:rPr>
          <w:rFonts w:ascii="Arial" w:hAnsi="Arial"/>
          <w:b/>
          <w:sz w:val="24"/>
        </w:rPr>
        <w:t>Care is delivered by teams and systems.</w:t>
      </w:r>
      <w:r>
        <w:rPr>
          <w:rFonts w:ascii="Arial" w:hAnsi="Arial"/>
          <w:sz w:val="24"/>
        </w:rPr>
        <w:t xml:space="preserve"> I thought good care came from being a good carer. Nancarrow et al. (2013) identify team conditions, such as clear roles and communication, that no individual can supply alone, and West (2021) argues that compassionate leadership sustains them. The evidence is largely descriptive and hospital-based (Reeves et al., 2017), so transfer to social care is uncertain. My practice has shifted towards shaping how handovers and reporting work, not only performing my own tasks well. Influence over how a team works does not wait for a title; it begins with how I hand over, report and respond when a colleague raises a doubt. [YOU SUPPLY: one example or supervisor comment, 20 words.]</w:t>
      </w:r>
    </w:p>
    <w:p>
      <w:pPr>
        <w:pStyle w:val="Heading2"/>
      </w:pPr>
      <w:r>
        <w:t>1.3 Values, attitudes and standards</w:t>
      </w:r>
    </w:p>
    <w:p>
      <w:r>
        <w:rPr>
          <w:rFonts w:ascii="Arial" w:hAnsi="Arial"/>
          <w:sz w:val="24"/>
        </w:rPr>
        <w:t>Dignity and choice often conflict with safety. I hold all three, so the useful question is how they are weighed. [YOU SUPPLY: one anonymised care-home incident, two sentences, my own learning only, no identifiable detail.]</w:t>
      </w:r>
    </w:p>
    <w:p>
      <w:r>
        <w:rPr>
          <w:rFonts w:ascii="Arial" w:hAnsi="Arial"/>
          <w:sz w:val="24"/>
        </w:rPr>
        <w:t>The Mental Capacity Act 2005 (ss.1, 4) offers a structure: capacity is presumed, an unwise decision does not show incapacity, and decisions for a person lacking capacity follow their best interests. The Care Act 2014 (s.1) makes wellbeing the guiding principle, while Regulations 10 and 12 of the Health and Social Care Act 2008 (Regulated Activities) Regulations 2014 (regs. 10, 12) require dignity and safe care together. Beauchamp and Childress (2019) supply the vocabulary, but principles do not rank themselves, and the Skills for Care (2013) Code of Conduct states what workers must do without telling them how to weigh a conflict.</w:t>
      </w:r>
    </w:p>
    <w:p>
      <w:r>
        <w:rPr>
          <w:rFonts w:ascii="Arial" w:hAnsi="Arial"/>
          <w:sz w:val="24"/>
        </w:rPr>
        <w:t>Nepal and the UK show different costs. UK documentation and safeguarding systems create traceability and protection, but can consume time and, where fear of blame dominates, encourage defensive practice (Berwick, 2013). In the Nepali hospital settings I knew, resource limits meant that judgement and relationships carried more of the load, and protection depended more on individual conscience (Ministry of Health and Population, 2023). Neither is superior; each protects different things. Both generalisations come from limited settings, so I hold them as questions to test, not as findings about either country.</w:t>
      </w:r>
    </w:p>
    <w:p>
      <w:r>
        <w:rPr>
          <w:rFonts w:ascii="Arial" w:hAnsi="Arial"/>
          <w:sz w:val="24"/>
        </w:rPr>
        <w:t>The standard I now hold myself to: when dignity and safety conflict, I record my reasoning and the person's own view, and consult a senior colleague before restricting a choice.</w:t>
      </w:r>
    </w:p>
    <w:p>
      <w:pPr>
        <w:pStyle w:val="Heading2"/>
      </w:pPr>
      <w:r>
        <w:t>1.4 Reflective method and competency documentation</w:t>
      </w:r>
    </w:p>
    <w:p>
      <w:r>
        <w:rPr>
          <w:rFonts w:ascii="Arial" w:hAnsi="Arial"/>
          <w:sz w:val="24"/>
        </w:rPr>
        <w:t>Gibbs (1988) is structured and accessible, but is criticised as descriptive and weak on critique (Finlay, 2008). Schön (1983) captures reflection-in-action, which is hard to evidence in writing (Finlay, 2008). Rolfe et al. (2001) are simple but can stay shallow. I use Gibbs as a spine and compensate by pairing each stage with evidence and an explicit judgement, borrowing Schön for moments of intuition (2.2). Evidence-based practice has similar limits: Sackett et al. (1996) rely on a hierarchy of evidence that Greenhalgh et al. (2014) argue fits poorly with complex, person-centred care, so I grade each source by what it can show. I map my competencies to the Care Certificate standards (Skills for Care, Health Education England and Skills for Health, 2015) and the Healthcare Leadership Model (NHS Leadership Academy, 2013), remembering that a record of attendance is not competence (3.2).</w:t>
      </w:r>
    </w:p>
    <w:p>
      <w:pPr>
        <w:pStyle w:val="Heading2"/>
      </w:pPr>
      <w:r>
        <w:t>1.5 Synthesis and bridge</w:t>
      </w:r>
    </w:p>
    <w:p>
      <w:r>
        <w:rPr>
          <w:rFonts w:ascii="Arial" w:hAnsi="Arial"/>
          <w:sz w:val="24"/>
        </w:rPr>
        <w:t>I now claim that I act as a practitioner who notices, questions and escalates, and who records the reasoning so that others can learn from it. That claim can be tested against three observable behaviours: what I did when unsure, what I recorded, and whether I learned what happened next. The case in Section 2 asks whether, under uncertainty and with limited status, I did so, and where my practice fell short.</w:t>
      </w:r>
    </w:p>
    <w:p>
      <w:pPr>
        <w:pStyle w:val="Heading1"/>
      </w:pPr>
      <w:r>
        <w:t>2. Experience or Case Analysis</w:t>
      </w:r>
    </w:p>
    <w:p>
      <w:pPr>
        <w:pStyle w:val="Heading2"/>
      </w:pPr>
      <w:r>
        <w:t>2.1 Case introduction, relevance and analytical approach</w:t>
      </w:r>
    </w:p>
    <w:p>
      <w:r>
        <w:rPr>
          <w:rFonts w:ascii="Arial" w:hAnsi="Arial"/>
          <w:sz w:val="24"/>
        </w:rPr>
        <w:t>This portfolio reflects on one episode from a formal, several-week college placement on an NHS hospital inpatient ward. The duration and defined task make it substantial, and it is a reflection on my own learning, not data collection. My task was to support documentation using the output of an AI-supported imaging tool. One flag appeared inconsistent, although I was unable to say exactly why. I told my supervisor, saw no clear follow-up, and do not know the outcome. Details are altered and anonymised, and my college contact and the placement provider gave written permission.</w:t>
      </w:r>
    </w:p>
    <w:p>
      <w:r>
        <w:rPr>
          <w:rFonts w:ascii="Arial" w:hAnsi="Arial"/>
          <w:sz w:val="24"/>
        </w:rPr>
        <w:t>AI in diagnostics is live NHS policy. NHSX (2019) set out how to adopt it safely, and the Department of Health and Social Care (2025) anticipates wider use. Yet no statute regulates healthcare AI as such: software with a medical purpose is regulated as a medical device (Medical Devices Regulations 2002; Medicines and Healthcare products Regulatory Agency [MHRA], 2023), while safe local use falls to clinical safety standards and provider governance (NHS England, 2018). Whether this combination protects patients adequately is contestable. The case matters because it sits where policy ambition meets the least experienced person on the ward.</w:t>
      </w:r>
    </w:p>
    <w:p>
      <w:r>
        <w:rPr>
          <w:rFonts w:ascii="Arial" w:hAnsi="Arial"/>
          <w:sz w:val="24"/>
        </w:rPr>
        <w:t>I analyse three issues that follow an uncertain output from tool to record to person: accuracy, safety and accountability (2.2); communication, escalation and speaking up (2.3); and records integrity, transparency and confidentiality (2.4). The lenses are a systems view of safety (Reason, 2000), the automation bias literature, psychological safety (Edmondson, 1999) and, for my own judgement, tacit knowledge (Polanyi, 1966). I use Gibbs (1988) as a spine, offsetting its descriptive tendency as explained in 1.4. The reflection has limits that I treat as part of the analysis. I discuss the law of England, separate binding law from guidance, and offer legal statements as my reading of the cited sources, not advice. I grade sources by what they can show: statute and regulations bind, guidance advises, and studies vary in setting and design. I describe only what I personally saw and did, I do not claim the tool was wrong or non-compliant, and I do not evaluate the service or colleagues.</w:t>
      </w:r>
    </w:p>
    <w:p>
      <w:pPr>
        <w:pStyle w:val="Heading2"/>
      </w:pPr>
      <w:r>
        <w:t>2.2 Issue 1: Accuracy, safety and accountability</w:t>
      </w:r>
    </w:p>
    <w:p>
      <w:r>
        <w:rPr>
          <w:rFonts w:ascii="Arial" w:hAnsi="Arial"/>
          <w:b/>
          <w:sz w:val="24"/>
        </w:rPr>
        <w:t>What I did.</w:t>
      </w:r>
      <w:r>
        <w:rPr>
          <w:rFonts w:ascii="Arial" w:hAnsi="Arial"/>
          <w:sz w:val="24"/>
        </w:rPr>
        <w:t xml:space="preserve"> I used the tool's output to help complete documentation. A flag appeared inconsistent; I could not say why, only that it seemed off. I knew what the tool displayed. I did not know how it had been validated, what population it reflected, or whether the ward had checked it locally. I told my supervisor. [YOU SUPPLY: one sentence on what you did with the documentation entry.]</w:t>
      </w:r>
    </w:p>
    <w:p>
      <w:r>
        <w:rPr>
          <w:rFonts w:ascii="Arial" w:hAnsi="Arial"/>
          <w:b/>
          <w:sz w:val="24"/>
        </w:rPr>
        <w:t>The case for the tool.</w:t>
      </w:r>
      <w:r>
        <w:rPr>
          <w:rFonts w:ascii="Arial" w:hAnsi="Arial"/>
          <w:sz w:val="24"/>
        </w:rPr>
        <w:t xml:space="preserve"> A fair account starts with what such tools offer: consistent attention to every image, flags that busy clinicians might otherwise miss, and time released for patient contact (Topol, 2019). I do not dispute this. My point is narrower: benefit depends on how output is used, because an over-trusted assistive tool adds a route to error while appearing to remove one.</w:t>
      </w:r>
    </w:p>
    <w:p>
      <w:r>
        <w:rPr>
          <w:rFonts w:ascii="Arial" w:hAnsi="Arial"/>
          <w:b/>
          <w:sz w:val="24"/>
        </w:rPr>
        <w:t>Why uncertain output is hazardous.</w:t>
      </w:r>
      <w:r>
        <w:rPr>
          <w:rFonts w:ascii="Arial" w:hAnsi="Arial"/>
          <w:sz w:val="24"/>
        </w:rPr>
        <w:t xml:space="preserve"> Three mechanisms matter. First, automation bias: people over-rely on automated advice, missing errors the tool misses and following errors it makes (Parasuraman and Manzey, 2010). Goddard et al. (2012) reviewed evidence that clinicians can follow incorrect advice, with mixed evidence on mitigations such as training. In mammography, Dratsch et al. (2023) found that incorrect AI suggestions lowered reader accuracy, especially for less experienced readers. Second, anchoring: an early value shapes later judgement (Tversky and Kahneman, 1974), and a flag displayed first is such a value. Third, performance does not travel automatically. Seyyed-Kalantari et al. (2021) found that chest radiograph algorithms underdiagnosed some under-served groups, so published accuracy may not describe a particular ward. These studies concern radiology readers or retrospective datasets, not students documenting on a ward, so they support caution, not prediction. In my situation the relevant risk was error propagation: a flag copied into a record may later be read as a clinician's finding. Anchoring meant a flag could shape what I wrote even if I doubted it, and automation bias meant that a student, deferring to both the tool and the hierarchy, may be the person least likely to question it.</w:t>
      </w:r>
    </w:p>
    <w:p>
      <w:r>
        <w:rPr>
          <w:rFonts w:ascii="Arial" w:hAnsi="Arial"/>
          <w:b/>
          <w:sz w:val="24"/>
        </w:rPr>
        <w:t>"Just a feeling".</w:t>
      </w:r>
      <w:r>
        <w:rPr>
          <w:rFonts w:ascii="Arial" w:hAnsi="Arial"/>
          <w:sz w:val="24"/>
        </w:rPr>
        <w:t xml:space="preserve"> I could not explain my unease. Polanyi (1966) argued that we know more than we can tell, Benner (1984) links such perceptual sensitivity to expertise, which a novice has little of, and Schön (1983) describes its in-the-moment form as reflection-in-action. A fair objection is that intuition is also where bias hides (Tversky and Kahneman, 1974), so a feeling cannot count as evidence against a tool. I accept this, and it is the point: intuition is a legitimate safety signal but unreliable evidence, so it justifies a check, not a conclusion. Saying the flag "appeared inconsistent", not that it was wrong, is therefore a matter of accuracy about what I knew.</w:t>
      </w:r>
    </w:p>
    <w:p>
      <w:r>
        <w:rPr>
          <w:rFonts w:ascii="Arial" w:hAnsi="Arial"/>
          <w:b/>
          <w:sz w:val="24"/>
        </w:rPr>
        <w:t>What the framework requires.</w:t>
      </w:r>
      <w:r>
        <w:rPr>
          <w:rFonts w:ascii="Arial" w:hAnsi="Arial"/>
          <w:sz w:val="24"/>
        </w:rPr>
        <w:t xml:space="preserve"> Diagnostic software is normally regulated as a medical device under the Medical Devices Regulations 2002 (as amended), with guidance from the MHRA (2023). The clinical safety standards DCB0129 (manufacturers) and DCB0160 (deploying organisations) require clinical risk management (NHS England, 2018). Providers must deliver safe care and treatment and operate good governance under Regulations 12 and 17 of the Health and Social Care Act 2008 (Regulated Activities) Regulations 2014. I do not know how the tool or the ward met these requirements and do not suggest they were unmet. My critical point is structural: this regime approves a product and requires local risk management, but safe use still depends on staff who understand the tool's limits, and nothing I know of requires that a placement student is told them. Regulation sits upstream of the moment I met the tool; the moment itself was governed by local practice.</w:t>
      </w:r>
    </w:p>
    <w:p>
      <w:r>
        <w:rPr>
          <w:rFonts w:ascii="Arial" w:hAnsi="Arial"/>
          <w:b/>
          <w:sz w:val="24"/>
        </w:rPr>
        <w:t>Accountability.</w:t>
      </w:r>
      <w:r>
        <w:rPr>
          <w:rFonts w:ascii="Arial" w:hAnsi="Arial"/>
          <w:sz w:val="24"/>
        </w:rPr>
        <w:t xml:space="preserve"> Decisions on care remain with registered professionals, whose regulators expect independent judgement (Health and Care Professions Council, 2016; Nursing and Midwifery Council, 2018). Matthias (2004) describes a "responsibility gap" where learning systems behave in ways nobody fully controls; on a ward the gap is practical, because a usually accurate tool invites deference. As a student I was not the reporting clinician and could not verify an image. "Never accept AI output unchecked" was my first conclusion, but it overstates what I could do. Checking should be proportionate and done by the right person: mine was to notice, question, escalate and avoid recording uncertain output as fact; a registered clinician's extends to independent verification. Asking a question was within a student's remit, because a question claims no authority and leaves the decision with the person who holds it. Employers carry duties too: Regulation 17 places governance responsibilities on providers, and the duty of candour (Regulation 20) operates at organisational level (Health and Social Care Act 2008 (Regulated Activities) Regulations 2014). Individual accountability without system support would be unfair and unsafe.</w:t>
      </w:r>
    </w:p>
    <w:p>
      <w:r>
        <w:rPr>
          <w:rFonts w:ascii="Arial" w:hAnsi="Arial"/>
          <w:b/>
          <w:sz w:val="24"/>
        </w:rPr>
        <w:t>So what.</w:t>
      </w:r>
      <w:r>
        <w:rPr>
          <w:rFonts w:ascii="Arial" w:hAnsi="Arial"/>
          <w:sz w:val="24"/>
        </w:rPr>
        <w:t xml:space="preserve"> Two implications go forward. A route for concerns that returns an outcome, and a convention marking AI-derived entries as unverified until confirmed. Both depend on induction that tells students what the tool cannot do.</w:t>
      </w:r>
    </w:p>
    <w:p>
      <w:pPr>
        <w:pStyle w:val="Heading2"/>
      </w:pPr>
      <w:r>
        <w:t>2.3 Issue 2: Communication, escalation and speaking up</w:t>
      </w:r>
    </w:p>
    <w:p>
      <w:r>
        <w:rPr>
          <w:rFonts w:ascii="Arial" w:hAnsi="Arial"/>
          <w:b/>
          <w:sz w:val="24"/>
        </w:rPr>
        <w:t>What I did, and what it took.</w:t>
      </w:r>
      <w:r>
        <w:rPr>
          <w:rFonts w:ascii="Arial" w:hAnsi="Arial"/>
          <w:sz w:val="24"/>
        </w:rPr>
        <w:t xml:space="preserve"> I told my supervisor. [YOU SUPPLY: when (same shift or later) and roughly what you said.] This was appropriate: I could not verify the output, and the person able to decide was someone I could reach. Speaking up as a student is harder than the policy suggests. Francis (2015) found that NHS staff often felt unable to raise concerns, and the NHS Constitution (Department of Health and Social Care, 2023) affirms a right to do so. Power gradients and uncertainty work against a junior with only a feeling to report (Francis, 2015). Edmondson (1999) defines psychological safety as a shared belief that interpersonal risk-taking is safe, and argues that it enables learning in teams. In hierarchical settings this belief is fragile: a student who is wrong risks embarrassment, and one who is right risks appearing to challenge a senior colleague's reliance on the tool. [YOU SUPPLY: one sentence on what made you feel able to speak.]</w:t>
      </w:r>
    </w:p>
    <w:p>
      <w:r>
        <w:rPr>
          <w:rFonts w:ascii="Arial" w:hAnsi="Arial"/>
          <w:b/>
          <w:sz w:val="24"/>
        </w:rPr>
        <w:t>What a good message holds.</w:t>
      </w:r>
      <w:r>
        <w:rPr>
          <w:rFonts w:ascii="Arial" w:hAnsi="Arial"/>
          <w:sz w:val="24"/>
        </w:rPr>
        <w:t xml:space="preserve"> SBAR gives structure: situation, background, assessment, recommendation (Haig et al., 2006). Applied here, it would have turned a feeling into a message: the flag appeared inconsistent; I was completing documentation; I could not say why; please check. A systematic review found the evidence for SBAR to be mostly low-quality studies of hospital settings (Müller et al., 2018), so I treat it as a useful prompt, not proof of safer care. Nancarrow et al. (2013) describe good interdisciplinary teamwork through clear roles, communication and mutual respect, and Reeves et al. (2017) found the evidence on interprofessional collaboration limited and varied. Transfer from those studies to a student querying an AI output is my inference, not a finding.</w:t>
      </w:r>
    </w:p>
    <w:p>
      <w:r>
        <w:rPr>
          <w:rFonts w:ascii="Arial" w:hAnsi="Arial"/>
          <w:b/>
          <w:sz w:val="24"/>
        </w:rPr>
        <w:t>Who sets the norm.</w:t>
      </w:r>
      <w:r>
        <w:rPr>
          <w:rFonts w:ascii="Arial" w:hAnsi="Arial"/>
          <w:sz w:val="24"/>
        </w:rPr>
        <w:t xml:space="preserve"> Whether a student's doubt is welcomed is decided by those with authority. West (2021) describes compassionate leadership as attending to, understanding and helping colleagues; applied here, supervisors would signal in advance that querying an AI output is expected, not merely tolerated. The Healthcare Leadership Model (NHS Leadership Academy, 2013) treats such behaviours as relevant at every level. In the sources I read, leadership writing is largely normative and offers little evidence of effect on specific safety outcomes, so I treat it as a design principle, not a demonstrated remedy. For me it implies a future responsibility: to say at induction that questioning the tool is part of the job.</w:t>
      </w:r>
    </w:p>
    <w:p>
      <w:r>
        <w:rPr>
          <w:rFonts w:ascii="Arial" w:hAnsi="Arial"/>
          <w:b/>
          <w:sz w:val="24"/>
        </w:rPr>
        <w:t>No visible follow-up.</w:t>
      </w:r>
      <w:r>
        <w:rPr>
          <w:rFonts w:ascii="Arial" w:hAnsi="Arial"/>
          <w:sz w:val="24"/>
        </w:rPr>
        <w:t xml:space="preserve"> I do not know what happened. Staff may have checked and found nothing amiss, dealt with it without telling a student, or not pursued it; I cannot distinguish these, and confidentiality may legitimately limit what students are told. The absence of visible follow-up is not evidence of inaction. Its effect on the person who spoke up is the same, though. Berwick (2013) argues that a safe system learns from concerns, and Reason (2000) places organisational learning at the centre of safety. A concern with no visible outcome teaches that raising concerns achieves nothing, discouraging the next one and wasting the information; Francis (2015) reported that staff who spoke up often saw no action. A closed loop would acknowledge the concern, say who looked at it, and share whatever outcome can be shared without identifying anyone.</w:t>
      </w:r>
    </w:p>
    <w:p>
      <w:r>
        <w:rPr>
          <w:rFonts w:ascii="Arial" w:hAnsi="Arial"/>
          <w:b/>
          <w:sz w:val="24"/>
        </w:rPr>
        <w:t>Candid evaluation.</w:t>
      </w:r>
      <w:r>
        <w:rPr>
          <w:rFonts w:ascii="Arial" w:hAnsi="Arial"/>
          <w:sz w:val="24"/>
        </w:rPr>
        <w:t xml:space="preserve"> I escalated under uncertainty, within my remit, without claiming knowledge I lacked. I could have done more. I did not ask how the tool was validated or when it should not be used. I did not ask afterwards what had been found. [YOU SUPPLY: confirm whether you wrote anything down; if not, say so plainly.] A short concern note, stating what I saw, why I was uncertain, whom I told and when, would have created a contemporaneous record and a basis for follow-up. Communication and safety interact: weak escalation lets automation bias persist unchallenged, and a culture in which concerns vanish makes the next student less likely to raise one.</w:t>
      </w:r>
    </w:p>
    <w:p>
      <w:pPr>
        <w:pStyle w:val="Heading2"/>
      </w:pPr>
      <w:r>
        <w:t>2.4 Issue 3: Records integrity, transparency and confidentiality</w:t>
      </w:r>
    </w:p>
    <w:p>
      <w:r>
        <w:rPr>
          <w:rFonts w:ascii="Arial" w:hAnsi="Arial"/>
          <w:b/>
          <w:sz w:val="24"/>
        </w:rPr>
        <w:t>Accuracy.</w:t>
      </w:r>
      <w:r>
        <w:rPr>
          <w:rFonts w:ascii="Arial" w:hAnsi="Arial"/>
          <w:sz w:val="24"/>
        </w:rPr>
        <w:t xml:space="preserve"> UK GDPR Article 5(1)(d), applied through the Data Protection Act 2018, requires personal data to be accurate and, where necessary, kept up to date. Regulation 17(2)(c) requires accurate, complete and contemporaneous records (Health and Social Care Act 2008 (Regulated Activities) Regulations 2014). An AI flag recorded without qualification asserts something the service may not have verified, and later clinicians may read it as established. On my reading, this raises a question under the accuracy principle that depends on how an entry is worded and verified, which I cannot assess for the ward. The NHS Records Management Code of Practice (NHS England, 2023) governs retention and handling, not how to word a record of uncertain AI output.</w:t>
      </w:r>
    </w:p>
    <w:p>
      <w:r>
        <w:rPr>
          <w:rFonts w:ascii="Arial" w:hAnsi="Arial"/>
          <w:sz w:val="24"/>
        </w:rPr>
        <w:t>Error propagation has a particular mechanism in records. Once an entry exists, later readers treat it as the product of professional judgement, because that is why records are trusted, and its AI origin may not be visible to them. Reason's (2000) systems view locates the hazard in the pathway, where one uncertain output can pass through several hands without anyone owning its accuracy, not in any one person.</w:t>
      </w:r>
    </w:p>
    <w:p>
      <w:r>
        <w:rPr>
          <w:rFonts w:ascii="Arial" w:hAnsi="Arial"/>
          <w:b/>
          <w:sz w:val="24"/>
        </w:rPr>
        <w:t>Transparency and confidentiality.</w:t>
      </w:r>
      <w:r>
        <w:rPr>
          <w:rFonts w:ascii="Arial" w:hAnsi="Arial"/>
          <w:sz w:val="24"/>
        </w:rPr>
        <w:t xml:space="preserve"> For direct care, the lawful basis under UK GDPR is usually public task (Article 6(1)(e)) with Article 9(2)(h) for health data, not consent (Information Commissioner's Office, no date). Telling a patient that AI supports their imaging is therefore a transparency duty (UK GDPR, Articles 12 to 14), not a request for permission, which differs conceptually from consent to treatment. The common-law duty of confidentiality and the Caldicott Principles, including that people should be informed about how their information is used (National Data Guardian, 2020), point the same way. Article 22 concerns decisions based solely on automated processing, and reforms in the Data (Use and Access) Act 2025 reshaped it, so the current text needs checking; where a clinician reviews the output, it is unlikely to be engaged on my reading. I do not know whether patients on the ward were told about the tool and will not guess.</w:t>
      </w:r>
    </w:p>
    <w:p>
      <w:r>
        <w:rPr>
          <w:rFonts w:ascii="Arial" w:hAnsi="Arial"/>
          <w:b/>
          <w:sz w:val="24"/>
        </w:rPr>
        <w:t>Evaluation.</w:t>
      </w:r>
      <w:r>
        <w:rPr>
          <w:rFonts w:ascii="Arial" w:hAnsi="Arial"/>
          <w:sz w:val="24"/>
        </w:rPr>
        <w:t xml:space="preserve"> The principles are clear, but practical instruction does not reach the person writing the entry. Legislation and codes address controllers and registered professionals, and I am not aware of guidance telling a student how to word an AI-derived entry or record a concern without identifiers. Transparency can also become a notice that exists without being understood; its adequacy is better judged by patient understanding than by compliance. Meaningful transparency would explain, in plain language and at a time a patient can use it, that software supports the reading of images, that a clinician reviews the output, and whom to ask. I know of no evidence on whether notices of this kind change what patients understand in this setting, so I treat adequacy as an open question. A counter-position holds that labelling AI-derived entries would clutter records and slow clinicians. That cost is real, and S2 addresses it by limiting the label to entries that influence decisions and lifting it on confirmation. The same discipline applies to this portfolio: it contains no record content, no identifiers and no product details, which is itself a confidentiality decision.</w:t>
      </w:r>
    </w:p>
    <w:p>
      <w:pPr>
        <w:pStyle w:val="Heading2"/>
      </w:pPr>
      <w:r>
        <w:t>2.5 Integrated evaluation and solutions</w:t>
      </w:r>
    </w:p>
    <w:p>
      <w:r>
        <w:rPr>
          <w:rFonts w:ascii="Arial" w:hAnsi="Arial"/>
          <w:b/>
          <w:sz w:val="24"/>
        </w:rPr>
        <w:t>Verdict.</w:t>
      </w:r>
      <w:r>
        <w:rPr>
          <w:rFonts w:ascii="Arial" w:hAnsi="Arial"/>
          <w:sz w:val="24"/>
        </w:rPr>
        <w:t xml:space="preserve"> Three tensions run through the issues: efficiency against verification; transparency against data minimisation, since a concern note must say enough to be useful without identifying anyone; and individual against system accountability. The verdict is conditional because the evidence neither shows these tools to be unsafe nor shows safeguards to be unnecessary; benefit and harm are both plausible, and the difference lies in local conditions. My verdict is a conditional endorsement: AI-supported imaging output is defensible in documentation only where entries are marked as unverified until confirmed, concerns return an outcome, and staff and students are told the tool's limits.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4"/>
              </w:rPr>
              <w:t>Solution</w:t>
            </w:r>
          </w:p>
        </w:tc>
        <w:tc>
          <w:tcPr>
            <w:tcW w:type="dxa" w:w="2160"/>
          </w:tcPr>
          <w:p>
            <w:r>
              <w:rPr>
                <w:rFonts w:ascii="Arial" w:hAnsi="Arial"/>
                <w:b/>
                <w:sz w:val="24"/>
              </w:rPr>
              <w:t>Evidence</w:t>
            </w:r>
          </w:p>
        </w:tc>
        <w:tc>
          <w:tcPr>
            <w:tcW w:type="dxa" w:w="2160"/>
          </w:tcPr>
          <w:p>
            <w:r>
              <w:rPr>
                <w:rFonts w:ascii="Arial" w:hAnsi="Arial"/>
                <w:b/>
                <w:sz w:val="24"/>
              </w:rPr>
              <w:t>Feasibility</w:t>
            </w:r>
          </w:p>
        </w:tc>
        <w:tc>
          <w:tcPr>
            <w:tcW w:type="dxa" w:w="2160"/>
          </w:tcPr>
          <w:p>
            <w:r>
              <w:rPr>
                <w:rFonts w:ascii="Arial" w:hAnsi="Arial"/>
                <w:b/>
                <w:sz w:val="24"/>
              </w:rPr>
              <w:t>Limits</w:t>
            </w:r>
          </w:p>
        </w:tc>
      </w:tr>
      <w:tr>
        <w:tc>
          <w:tcPr>
            <w:tcW w:type="dxa" w:w="2160"/>
          </w:tcPr>
          <w:p>
            <w:r>
              <w:rPr>
                <w:rFonts w:ascii="Arial" w:hAnsi="Arial"/>
                <w:sz w:val="24"/>
              </w:rPr>
              <w:t>S1 Concern-and-closure routine: a short note (what I saw, why uncertain, whom I told, when) and a named feedback route</w:t>
            </w:r>
          </w:p>
        </w:tc>
        <w:tc>
          <w:tcPr>
            <w:tcW w:type="dxa" w:w="2160"/>
          </w:tcPr>
          <w:p>
            <w:r>
              <w:rPr>
                <w:rFonts w:ascii="Arial" w:hAnsi="Arial"/>
                <w:sz w:val="24"/>
              </w:rPr>
              <w:t>Berwick (2013); Francis (2015); Edmondson (1999)</w:t>
            </w:r>
          </w:p>
        </w:tc>
        <w:tc>
          <w:tcPr>
            <w:tcW w:type="dxa" w:w="2160"/>
          </w:tcPr>
          <w:p>
            <w:r>
              <w:rPr>
                <w:rFonts w:ascii="Arial" w:hAnsi="Arial"/>
                <w:sz w:val="24"/>
              </w:rPr>
              <w:t>High: low-cost process change</w:t>
            </w:r>
          </w:p>
        </w:tc>
        <w:tc>
          <w:tcPr>
            <w:tcW w:type="dxa" w:w="2160"/>
          </w:tcPr>
          <w:p>
            <w:r>
              <w:rPr>
                <w:rFonts w:ascii="Arial" w:hAnsi="Arial"/>
                <w:sz w:val="24"/>
              </w:rPr>
              <w:t>Could become ritual; confidentiality limits feedback; workload</w:t>
            </w:r>
          </w:p>
        </w:tc>
      </w:tr>
      <w:tr>
        <w:tc>
          <w:tcPr>
            <w:tcW w:type="dxa" w:w="2160"/>
          </w:tcPr>
          <w:p>
            <w:r>
              <w:rPr>
                <w:rFonts w:ascii="Arial" w:hAnsi="Arial"/>
                <w:sz w:val="24"/>
              </w:rPr>
              <w:t>S2 "AI-suggested, unverified" label until a registered clinician confirms</w:t>
            </w:r>
          </w:p>
        </w:tc>
        <w:tc>
          <w:tcPr>
            <w:tcW w:type="dxa" w:w="2160"/>
          </w:tcPr>
          <w:p>
            <w:r>
              <w:rPr>
                <w:rFonts w:ascii="Arial" w:hAnsi="Arial"/>
                <w:sz w:val="24"/>
              </w:rPr>
              <w:t>Parasuraman and Manzey (2010); UK GDPR Art. 5(1)(d)</w:t>
            </w:r>
          </w:p>
        </w:tc>
        <w:tc>
          <w:tcPr>
            <w:tcW w:type="dxa" w:w="2160"/>
          </w:tcPr>
          <w:p>
            <w:r>
              <w:rPr>
                <w:rFonts w:ascii="Arial" w:hAnsi="Arial"/>
                <w:sz w:val="24"/>
              </w:rPr>
              <w:t>Medium: needs local policy</w:t>
            </w:r>
          </w:p>
        </w:tc>
        <w:tc>
          <w:tcPr>
            <w:tcW w:type="dxa" w:w="2160"/>
          </w:tcPr>
          <w:p>
            <w:r>
              <w:rPr>
                <w:rFonts w:ascii="Arial" w:hAnsi="Arial"/>
                <w:sz w:val="24"/>
              </w:rPr>
              <w:t>Clutter and label fatigue</w:t>
            </w:r>
          </w:p>
        </w:tc>
      </w:tr>
      <w:tr>
        <w:tc>
          <w:tcPr>
            <w:tcW w:type="dxa" w:w="2160"/>
          </w:tcPr>
          <w:p>
            <w:r>
              <w:rPr>
                <w:rFonts w:ascii="Arial" w:hAnsi="Arial"/>
                <w:sz w:val="24"/>
              </w:rPr>
              <w:t>S3 Induction on AI tools for all staff and students</w:t>
            </w:r>
          </w:p>
        </w:tc>
        <w:tc>
          <w:tcPr>
            <w:tcW w:type="dxa" w:w="2160"/>
          </w:tcPr>
          <w:p>
            <w:r>
              <w:rPr>
                <w:rFonts w:ascii="Arial" w:hAnsi="Arial"/>
                <w:sz w:val="24"/>
              </w:rPr>
              <w:t>Goddard et al. (2012); NHS England (2018)</w:t>
            </w:r>
          </w:p>
        </w:tc>
        <w:tc>
          <w:tcPr>
            <w:tcW w:type="dxa" w:w="2160"/>
          </w:tcPr>
          <w:p>
            <w:r>
              <w:rPr>
                <w:rFonts w:ascii="Arial" w:hAnsi="Arial"/>
                <w:sz w:val="24"/>
              </w:rPr>
              <w:t>Medium</w:t>
            </w:r>
          </w:p>
        </w:tc>
        <w:tc>
          <w:tcPr>
            <w:tcW w:type="dxa" w:w="2160"/>
          </w:tcPr>
          <w:p>
            <w:r>
              <w:rPr>
                <w:rFonts w:ascii="Arial" w:hAnsi="Arial"/>
                <w:sz w:val="24"/>
              </w:rPr>
              <w:t>Training decays; effect uncertain</w:t>
            </w:r>
          </w:p>
        </w:tc>
      </w:tr>
    </w:tbl>
    <w:p>
      <w:r>
        <w:rPr>
          <w:rFonts w:ascii="Arial" w:hAnsi="Arial"/>
          <w:sz w:val="24"/>
        </w:rPr>
        <w:t>I rank S1 first. It is cheap, directly repairs the broken feedback loop, and is my original proposal, offered for a service like the one I worked in, not as criticism of it. As a small test it could run on one ward for eight weeks as a plan-do-study-act cycle (Langley et al., 2009), measuring the share of concerns acknowledged within a set period and staff and student confidence to speak up, with a review point at the end. S1's main weakness is that it can be completed without being used, and counting notes written would reward volume, so the pilot should also ask staff whether a concern changed what happened next. S3 follows because induction supports the other two; it should include what to do when a tool seems wrong, since training that explains only benefits could increase deference. S2 comes last because it needs governance agreement, and its benefit rests on my inference from the automation bias literature, not on direct evidence.</w:t>
      </w:r>
    </w:p>
    <w:p>
      <w:r>
        <w:rPr>
          <w:rFonts w:ascii="Arial" w:hAnsi="Arial"/>
          <w:b/>
          <w:sz w:val="24"/>
        </w:rPr>
        <w:t>Limitations.</w:t>
      </w:r>
      <w:r>
        <w:rPr>
          <w:rFonts w:ascii="Arial" w:hAnsi="Arial"/>
          <w:sz w:val="24"/>
        </w:rPr>
        <w:t xml:space="preserve"> This is one episode, written from memory, without empirical data. I do not know the outcome, and my knowledge of the tool is limited to what I saw. The findings are analytic and not generalisable.</w:t>
      </w:r>
    </w:p>
    <w:p>
      <w:pPr>
        <w:pStyle w:val="Heading2"/>
      </w:pPr>
      <w:r>
        <w:t>2.6 Learning, Gibbs action and conclusion</w:t>
      </w:r>
    </w:p>
    <w:p>
      <w:r>
        <w:rPr>
          <w:rFonts w:ascii="Arial" w:hAnsi="Arial"/>
          <w:sz w:val="24"/>
        </w:rPr>
        <w:t>My feelings at the time were [YOU SUPPLY: one honest sentence]. Analysis changed my conclusion. Before the placement I assumed that [YOU SUPPLY: your real prior assumption about AI tools, for example that a tool adds a second look]. The evidence changed that: a second look is independent only if the human forms a view first; otherwise the flag anchors them (Tversky and Kahneman, 1974; Parasuraman and Manzey, 2010). I also believed that verifying meant checking the output. I now see it as noticing, questioning and escalating in proportion to my role.</w:t>
      </w:r>
    </w:p>
    <w:p>
      <w:r>
        <w:rPr>
          <w:rFonts w:ascii="Arial" w:hAnsi="Arial"/>
          <w:sz w:val="24"/>
        </w:rPr>
        <w:t>My action plan is behavioural. When asked to record AI-derived information, I will label it as AI-suggested and awaiting clinician confirmation, consistent with the accuracy principle and Regulation 17. When uncertain, I will tell my supervisor within the same shift using SBAR, and write a concern note without identifiers, as local policy allows. At the start of any placement using AI tools, I will ask how the tool was validated and when it should not be used. A week after raising a concern, I will ask whether it has been closed, accepting that I may not be told the outcome.</w:t>
      </w:r>
    </w:p>
    <w:p>
      <w:r>
        <w:rPr>
          <w:rFonts w:ascii="Arial" w:hAnsi="Arial"/>
          <w:sz w:val="24"/>
        </w:rPr>
        <w:t>These behaviours help only if the people around me can sustain them. That requires knowledge of governance, quality improvement and leadership, which shapes Section 3. The learning also has limits: one episode cannot show how I would act in a different team, or when my doubt is stronger and the person who can decide is harder to reach. I will test the plan through supervisor feedback in my next role.</w:t>
      </w:r>
    </w:p>
    <w:p>
      <w:pPr>
        <w:pStyle w:val="Heading1"/>
      </w:pPr>
      <w:r>
        <w:t>3. Career Development Plan</w:t>
      </w:r>
    </w:p>
    <w:p>
      <w:pPr>
        <w:pStyle w:val="Heading2"/>
      </w:pPr>
      <w:r>
        <w:t>3.1 Destination and options appraisal</w:t>
      </w:r>
    </w:p>
    <w:p>
      <w:r>
        <w:rPr>
          <w:rFonts w:ascii="Arial" w:hAnsi="Arial"/>
          <w:sz w:val="24"/>
        </w:rPr>
        <w:t>Within 12 months I aim to become a senior care assistant or team leader in the UK, within two to three years to take a quality or management step, and in the long term to contribute to services in Nepal. [CONFIRM that this is your goal.]</w:t>
      </w:r>
    </w:p>
    <w:p>
      <w:r>
        <w:rPr>
          <w:rFonts w:ascii="Arial" w:hAnsi="Arial"/>
          <w:sz w:val="24"/>
        </w:rPr>
        <w:t>I appraised four options against fit with the Section 2 analysis, entry requirements, time and cost, and feasibility under visa rules. (i) Senior care assistant or team leader fits my existing experience and sits where handovers, induction and concern routes are set. (ii) Deputy or registered manager, through the Level 5 Diploma in Leadership and Management for Adult Care (Skills for Care, no date), has high fit but expects supervisory experience I lack. (iii) Postgraduate study in health management or policy would address the governance gap but costs more time and money. (iv) Nursing registration is attractive, but I must check Nursing and Midwifery Council (NMC) overseas requirements against my PCL qualification (Nursing and Midwifery Council, no date) and do not assume eligibility. I choose (i) because it is the earliest point at which I can apply S1 and S3 at team level. S2 needs organisational governance, so it belongs to later steps. The other options are deferred, not dismissed.</w:t>
      </w:r>
    </w:p>
    <w:p>
      <w:r>
        <w:rPr>
          <w:rFonts w:ascii="Arial" w:hAnsi="Arial"/>
          <w:sz w:val="24"/>
        </w:rPr>
        <w:t>To present this identity to employers I will use a CV, supervisor references and a short professional profile. "Personal branding" language can reward self-presentation over practice, so I will evidence practice, such as feedback and a completed improvement cycle, not adjectives.</w:t>
      </w:r>
    </w:p>
    <w:p>
      <w:pPr>
        <w:pStyle w:val="Heading2"/>
      </w:pPr>
      <w:r>
        <w:t>3.2 Evidence-based competency audit</w:t>
      </w:r>
    </w:p>
    <w:p>
      <w:r>
        <w:rPr>
          <w:rFonts w:ascii="Arial" w:hAnsi="Arial"/>
          <w:sz w:val="24"/>
        </w:rPr>
        <w:t>I map myself against the Care Certificate standards (Skills for Care, Health Education England and Skills for Health, 2015) and the Healthcare Leadership Model (NHS Leadership Academy, 2013). Self-assessment is unreliable, particularly for weaker performers (Davis et al., 2006), so I will test it with supervisor feedback, a 360-degree review (a tool within the Healthcare Leadership Model) and tutor feedback. Attendance records show exposure, not competence.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24"/>
              </w:rPr>
            </w:r>
          </w:p>
        </w:tc>
        <w:tc>
          <w:tcPr>
            <w:tcW w:type="dxa" w:w="2880"/>
          </w:tcPr>
          <w:p>
            <w:r>
              <w:rPr>
                <w:rFonts w:ascii="Arial" w:hAnsi="Arial"/>
                <w:b/>
                <w:sz w:val="24"/>
              </w:rPr>
              <w:t>Evidence</w:t>
            </w:r>
          </w:p>
        </w:tc>
        <w:tc>
          <w:tcPr>
            <w:tcW w:type="dxa" w:w="2880"/>
          </w:tcPr>
          <w:p>
            <w:r>
              <w:rPr>
                <w:rFonts w:ascii="Arial" w:hAnsi="Arial"/>
                <w:b/>
                <w:sz w:val="24"/>
              </w:rPr>
              <w:t>Why it matters or transfers</w:t>
            </w:r>
          </w:p>
        </w:tc>
      </w:tr>
      <w:tr>
        <w:tc>
          <w:tcPr>
            <w:tcW w:type="dxa" w:w="2880"/>
          </w:tcPr>
          <w:p>
            <w:r>
              <w:rPr>
                <w:rFonts w:ascii="Arial" w:hAnsi="Arial"/>
                <w:b/>
                <w:sz w:val="24"/>
              </w:rPr>
              <w:t>Strength:</w:t>
            </w:r>
            <w:r>
              <w:rPr>
                <w:rFonts w:ascii="Arial" w:hAnsi="Arial"/>
                <w:sz w:val="24"/>
              </w:rPr>
              <w:t xml:space="preserve"> reporting changes in condition</w:t>
            </w:r>
          </w:p>
        </w:tc>
        <w:tc>
          <w:tcPr>
            <w:tcW w:type="dxa" w:w="2880"/>
          </w:tcPr>
          <w:p>
            <w:r>
              <w:rPr>
                <w:rFonts w:ascii="Arial" w:hAnsi="Arial"/>
                <w:sz w:val="24"/>
              </w:rPr>
              <w:t>Care-home practice [YOU SUPPLY: example]; escalation in Section 2</w:t>
            </w:r>
          </w:p>
        </w:tc>
        <w:tc>
          <w:tcPr>
            <w:tcW w:type="dxa" w:w="2880"/>
          </w:tcPr>
          <w:p>
            <w:r>
              <w:rPr>
                <w:rFonts w:ascii="Arial" w:hAnsi="Arial"/>
                <w:sz w:val="24"/>
              </w:rPr>
              <w:t>Basis for leading handover</w:t>
            </w:r>
          </w:p>
        </w:tc>
      </w:tr>
      <w:tr>
        <w:tc>
          <w:tcPr>
            <w:tcW w:type="dxa" w:w="2880"/>
          </w:tcPr>
          <w:p>
            <w:r>
              <w:rPr>
                <w:rFonts w:ascii="Arial" w:hAnsi="Arial"/>
                <w:b/>
                <w:sz w:val="24"/>
              </w:rPr>
              <w:t>Strength:</w:t>
            </w:r>
            <w:r>
              <w:rPr>
                <w:rFonts w:ascii="Arial" w:hAnsi="Arial"/>
                <w:sz w:val="24"/>
              </w:rPr>
              <w:t xml:space="preserve"> person-centred, culturally aware care</w:t>
            </w:r>
          </w:p>
        </w:tc>
        <w:tc>
          <w:tcPr>
            <w:tcW w:type="dxa" w:w="2880"/>
          </w:tcPr>
          <w:p>
            <w:r>
              <w:rPr>
                <w:rFonts w:ascii="Arial" w:hAnsi="Arial"/>
                <w:sz w:val="24"/>
              </w:rPr>
              <w:t>Nepal and UK practice [YOU SUPPLY: example]</w:t>
            </w:r>
          </w:p>
        </w:tc>
        <w:tc>
          <w:tcPr>
            <w:tcW w:type="dxa" w:w="2880"/>
          </w:tcPr>
          <w:p>
            <w:r>
              <w:rPr>
                <w:rFonts w:ascii="Arial" w:hAnsi="Arial"/>
                <w:sz w:val="24"/>
              </w:rPr>
              <w:t>Supports inclusive team leadership</w:t>
            </w:r>
          </w:p>
        </w:tc>
      </w:tr>
      <w:tr>
        <w:tc>
          <w:tcPr>
            <w:tcW w:type="dxa" w:w="2880"/>
          </w:tcPr>
          <w:p>
            <w:r>
              <w:rPr>
                <w:rFonts w:ascii="Arial" w:hAnsi="Arial"/>
                <w:b/>
                <w:sz w:val="24"/>
              </w:rPr>
              <w:t>Strength:</w:t>
            </w:r>
            <w:r>
              <w:rPr>
                <w:rFonts w:ascii="Arial" w:hAnsi="Arial"/>
                <w:sz w:val="24"/>
              </w:rPr>
              <w:t xml:space="preserve"> managing work and study</w:t>
            </w:r>
          </w:p>
        </w:tc>
        <w:tc>
          <w:tcPr>
            <w:tcW w:type="dxa" w:w="2880"/>
          </w:tcPr>
          <w:p>
            <w:r>
              <w:rPr>
                <w:rFonts w:ascii="Arial" w:hAnsi="Arial"/>
                <w:sz w:val="24"/>
              </w:rPr>
              <w:t>[YOU SUPPLY: hours and results]</w:t>
            </w:r>
          </w:p>
        </w:tc>
        <w:tc>
          <w:tcPr>
            <w:tcW w:type="dxa" w:w="2880"/>
          </w:tcPr>
          <w:p>
            <w:r>
              <w:rPr>
                <w:rFonts w:ascii="Arial" w:hAnsi="Arial"/>
                <w:sz w:val="24"/>
              </w:rPr>
              <w:t>Shows reliability under load</w:t>
            </w:r>
          </w:p>
        </w:tc>
      </w:tr>
      <w:tr>
        <w:tc>
          <w:tcPr>
            <w:tcW w:type="dxa" w:w="2880"/>
          </w:tcPr>
          <w:p>
            <w:r>
              <w:rPr>
                <w:rFonts w:ascii="Arial" w:hAnsi="Arial"/>
                <w:b/>
                <w:sz w:val="24"/>
              </w:rPr>
              <w:t>Gap (high):</w:t>
            </w:r>
            <w:r>
              <w:rPr>
                <w:rFonts w:ascii="Arial" w:hAnsi="Arial"/>
                <w:sz w:val="24"/>
              </w:rPr>
              <w:t xml:space="preserve"> UK adult safeguarding procedures in depth</w:t>
            </w:r>
          </w:p>
        </w:tc>
        <w:tc>
          <w:tcPr>
            <w:tcW w:type="dxa" w:w="2880"/>
          </w:tcPr>
          <w:p>
            <w:r>
              <w:rPr>
                <w:rFonts w:ascii="Arial" w:hAnsi="Arial"/>
                <w:sz w:val="24"/>
              </w:rPr>
              <w:t>[YOU SUPPLY: training level held]</w:t>
            </w:r>
          </w:p>
        </w:tc>
        <w:tc>
          <w:tcPr>
            <w:tcW w:type="dxa" w:w="2880"/>
          </w:tcPr>
          <w:p>
            <w:r>
              <w:rPr>
                <w:rFonts w:ascii="Arial" w:hAnsi="Arial"/>
                <w:sz w:val="24"/>
              </w:rPr>
              <w:t>Team leaders receive and act on concerns</w:t>
            </w:r>
          </w:p>
        </w:tc>
      </w:tr>
      <w:tr>
        <w:tc>
          <w:tcPr>
            <w:tcW w:type="dxa" w:w="2880"/>
          </w:tcPr>
          <w:p>
            <w:r>
              <w:rPr>
                <w:rFonts w:ascii="Arial" w:hAnsi="Arial"/>
                <w:b/>
                <w:sz w:val="24"/>
              </w:rPr>
              <w:t>Gap (high):</w:t>
            </w:r>
            <w:r>
              <w:rPr>
                <w:rFonts w:ascii="Arial" w:hAnsi="Arial"/>
                <w:sz w:val="24"/>
              </w:rPr>
              <w:t xml:space="preserve"> quality-improvement methods</w:t>
            </w:r>
          </w:p>
        </w:tc>
        <w:tc>
          <w:tcPr>
            <w:tcW w:type="dxa" w:w="2880"/>
          </w:tcPr>
          <w:p>
            <w:r>
              <w:rPr>
                <w:rFonts w:ascii="Arial" w:hAnsi="Arial"/>
                <w:sz w:val="24"/>
              </w:rPr>
              <w:t>No improvement project led yet</w:t>
            </w:r>
          </w:p>
        </w:tc>
        <w:tc>
          <w:tcPr>
            <w:tcW w:type="dxa" w:w="2880"/>
          </w:tcPr>
          <w:p>
            <w:r>
              <w:rPr>
                <w:rFonts w:ascii="Arial" w:hAnsi="Arial"/>
                <w:sz w:val="24"/>
              </w:rPr>
              <w:t>Needed to deliver S1</w:t>
            </w:r>
          </w:p>
        </w:tc>
      </w:tr>
      <w:tr>
        <w:tc>
          <w:tcPr>
            <w:tcW w:type="dxa" w:w="2880"/>
          </w:tcPr>
          <w:p>
            <w:r>
              <w:rPr>
                <w:rFonts w:ascii="Arial" w:hAnsi="Arial"/>
                <w:b/>
                <w:sz w:val="24"/>
              </w:rPr>
              <w:t>Gap (medium):</w:t>
            </w:r>
            <w:r>
              <w:rPr>
                <w:rFonts w:ascii="Arial" w:hAnsi="Arial"/>
                <w:sz w:val="24"/>
              </w:rPr>
              <w:t xml:space="preserve"> supervising others</w:t>
            </w:r>
          </w:p>
        </w:tc>
        <w:tc>
          <w:tcPr>
            <w:tcW w:type="dxa" w:w="2880"/>
          </w:tcPr>
          <w:p>
            <w:r>
              <w:rPr>
                <w:rFonts w:ascii="Arial" w:hAnsi="Arial"/>
                <w:sz w:val="24"/>
              </w:rPr>
              <w:t>Limited experience</w:t>
            </w:r>
          </w:p>
        </w:tc>
        <w:tc>
          <w:tcPr>
            <w:tcW w:type="dxa" w:w="2880"/>
          </w:tcPr>
          <w:p>
            <w:r>
              <w:rPr>
                <w:rFonts w:ascii="Arial" w:hAnsi="Arial"/>
                <w:sz w:val="24"/>
              </w:rPr>
              <w:t>Core of the target role</w:t>
            </w:r>
          </w:p>
        </w:tc>
      </w:tr>
      <w:tr>
        <w:tc>
          <w:tcPr>
            <w:tcW w:type="dxa" w:w="2880"/>
          </w:tcPr>
          <w:p>
            <w:r>
              <w:rPr>
                <w:rFonts w:ascii="Arial" w:hAnsi="Arial"/>
                <w:b/>
                <w:sz w:val="24"/>
              </w:rPr>
              <w:t>Gap (medium):</w:t>
            </w:r>
            <w:r>
              <w:rPr>
                <w:rFonts w:ascii="Arial" w:hAnsi="Arial"/>
                <w:sz w:val="24"/>
              </w:rPr>
              <w:t xml:space="preserve"> evaluating digital and AI tools</w:t>
            </w:r>
          </w:p>
        </w:tc>
        <w:tc>
          <w:tcPr>
            <w:tcW w:type="dxa" w:w="2880"/>
          </w:tcPr>
          <w:p>
            <w:r>
              <w:rPr>
                <w:rFonts w:ascii="Arial" w:hAnsi="Arial"/>
                <w:sz w:val="24"/>
              </w:rPr>
              <w:t>Section 2 shows I can question, not appraise validation</w:t>
            </w:r>
          </w:p>
        </w:tc>
        <w:tc>
          <w:tcPr>
            <w:tcW w:type="dxa" w:w="2880"/>
          </w:tcPr>
          <w:p>
            <w:r>
              <w:rPr>
                <w:rFonts w:ascii="Arial" w:hAnsi="Arial"/>
                <w:sz w:val="24"/>
              </w:rPr>
              <w:t>Prepares me for S2 and S3</w:t>
            </w:r>
          </w:p>
        </w:tc>
      </w:tr>
      <w:tr>
        <w:tc>
          <w:tcPr>
            <w:tcW w:type="dxa" w:w="2880"/>
          </w:tcPr>
          <w:p>
            <w:r>
              <w:rPr>
                <w:rFonts w:ascii="Arial" w:hAnsi="Arial"/>
                <w:b/>
                <w:sz w:val="24"/>
              </w:rPr>
              <w:t>Gap (medium):</w:t>
            </w:r>
            <w:r>
              <w:rPr>
                <w:rFonts w:ascii="Arial" w:hAnsi="Arial"/>
                <w:sz w:val="24"/>
              </w:rPr>
              <w:t xml:space="preserve"> difficult conversations</w:t>
            </w:r>
          </w:p>
        </w:tc>
        <w:tc>
          <w:tcPr>
            <w:tcW w:type="dxa" w:w="2880"/>
          </w:tcPr>
          <w:p>
            <w:r>
              <w:rPr>
                <w:rFonts w:ascii="Arial" w:hAnsi="Arial"/>
                <w:sz w:val="24"/>
              </w:rPr>
              <w:t>[YOU SUPPLY: evidence]</w:t>
            </w:r>
          </w:p>
        </w:tc>
        <w:tc>
          <w:tcPr>
            <w:tcW w:type="dxa" w:w="2880"/>
          </w:tcPr>
          <w:p>
            <w:r>
              <w:rPr>
                <w:rFonts w:ascii="Arial" w:hAnsi="Arial"/>
                <w:sz w:val="24"/>
              </w:rPr>
              <w:t>Needed for disclosures and conflict</w:t>
            </w:r>
          </w:p>
        </w:tc>
      </w:tr>
    </w:tbl>
    <w:p>
      <w:r>
        <w:rPr>
          <w:rFonts w:ascii="Arial" w:hAnsi="Arial"/>
          <w:sz w:val="24"/>
        </w:rPr>
        <w:t>Three points follow. A strength is credible only where I can cite a dated episode, so unevidenced claims stay provisional. I rank gaps by what the target role demands in its first year: safeguarding and improvement skills are used within months, whereas evaluating digital tools matters most once I influence procurement or policy. Finally, the frameworks have limits. The Care Certificate sets a floor for support workers and the Healthcare Leadership Model (NHS Leadership Academy, 2013) describes leadership behaviours; to my knowledge neither covers appraising AI tools, so I treat that gap against a self-set standard.</w:t>
      </w:r>
    </w:p>
    <w:p>
      <w:pPr>
        <w:pStyle w:val="Heading2"/>
      </w:pPr>
      <w:r>
        <w:t>3.3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4"/>
              </w:rPr>
              <w:t>Timeframe</w:t>
            </w:r>
          </w:p>
        </w:tc>
        <w:tc>
          <w:tcPr>
            <w:tcW w:type="dxa" w:w="2160"/>
          </w:tcPr>
          <w:p>
            <w:r>
              <w:rPr>
                <w:rFonts w:ascii="Arial" w:hAnsi="Arial"/>
                <w:b/>
                <w:sz w:val="24"/>
              </w:rPr>
              <w:t>SMART goal and action</w:t>
            </w:r>
          </w:p>
        </w:tc>
        <w:tc>
          <w:tcPr>
            <w:tcW w:type="dxa" w:w="2160"/>
          </w:tcPr>
          <w:p>
            <w:r>
              <w:rPr>
                <w:rFonts w:ascii="Arial" w:hAnsi="Arial"/>
                <w:b/>
                <w:sz w:val="24"/>
              </w:rPr>
              <w:t>Evidence of success</w:t>
            </w:r>
          </w:p>
        </w:tc>
        <w:tc>
          <w:tcPr>
            <w:tcW w:type="dxa" w:w="2160"/>
          </w:tcPr>
          <w:p>
            <w:r>
              <w:rPr>
                <w:rFonts w:ascii="Arial" w:hAnsi="Arial"/>
                <w:b/>
                <w:sz w:val="24"/>
              </w:rPr>
              <w:t>Gap</w:t>
            </w:r>
          </w:p>
        </w:tc>
      </w:tr>
      <w:tr>
        <w:tc>
          <w:tcPr>
            <w:tcW w:type="dxa" w:w="2160"/>
          </w:tcPr>
          <w:p>
            <w:r>
              <w:rPr>
                <w:rFonts w:ascii="Arial" w:hAnsi="Arial"/>
                <w:sz w:val="24"/>
              </w:rPr>
              <w:t>0 to 3 months</w:t>
            </w:r>
          </w:p>
        </w:tc>
        <w:tc>
          <w:tcPr>
            <w:tcW w:type="dxa" w:w="2160"/>
          </w:tcPr>
          <w:p>
            <w:r>
              <w:rPr>
                <w:rFonts w:ascii="Arial" w:hAnsi="Arial"/>
                <w:sz w:val="24"/>
              </w:rPr>
              <w:t>Obtain written supervisor feedback on communication and escalation; complete an accredited adult safeguarding update; shortlist three target employers</w:t>
            </w:r>
          </w:p>
        </w:tc>
        <w:tc>
          <w:tcPr>
            <w:tcW w:type="dxa" w:w="2160"/>
          </w:tcPr>
          <w:p>
            <w:r>
              <w:rPr>
                <w:rFonts w:ascii="Arial" w:hAnsi="Arial"/>
                <w:sz w:val="24"/>
              </w:rPr>
              <w:t>Feedback document; certificate; shortlist</w:t>
            </w:r>
          </w:p>
        </w:tc>
        <w:tc>
          <w:tcPr>
            <w:tcW w:type="dxa" w:w="2160"/>
          </w:tcPr>
          <w:p>
            <w:r>
              <w:rPr>
                <w:rFonts w:ascii="Arial" w:hAnsi="Arial"/>
                <w:sz w:val="24"/>
              </w:rPr>
              <w:t>Safeguarding; difficult conversations</w:t>
            </w:r>
          </w:p>
        </w:tc>
      </w:tr>
      <w:tr>
        <w:tc>
          <w:tcPr>
            <w:tcW w:type="dxa" w:w="2160"/>
          </w:tcPr>
          <w:p>
            <w:r>
              <w:rPr>
                <w:rFonts w:ascii="Arial" w:hAnsi="Arial"/>
                <w:sz w:val="24"/>
              </w:rPr>
              <w:t>3 to 6 months</w:t>
            </w:r>
          </w:p>
        </w:tc>
        <w:tc>
          <w:tcPr>
            <w:tcW w:type="dxa" w:w="2160"/>
          </w:tcPr>
          <w:p>
            <w:r>
              <w:rPr>
                <w:rFonts w:ascii="Arial" w:hAnsi="Arial"/>
                <w:sz w:val="24"/>
              </w:rPr>
              <w:t>Apply to named roles; begin a quality-improvement short course; secure a mentor; lead one small handover or documentation change as a plan-do-study-act cycle (Langley et al., 2009) with one measure</w:t>
            </w:r>
          </w:p>
        </w:tc>
        <w:tc>
          <w:tcPr>
            <w:tcW w:type="dxa" w:w="2160"/>
          </w:tcPr>
          <w:p>
            <w:r>
              <w:rPr>
                <w:rFonts w:ascii="Arial" w:hAnsi="Arial"/>
                <w:sz w:val="24"/>
              </w:rPr>
              <w:t>Applications; course record; cycle record</w:t>
            </w:r>
          </w:p>
        </w:tc>
        <w:tc>
          <w:tcPr>
            <w:tcW w:type="dxa" w:w="2160"/>
          </w:tcPr>
          <w:p>
            <w:r>
              <w:rPr>
                <w:rFonts w:ascii="Arial" w:hAnsi="Arial"/>
                <w:sz w:val="24"/>
              </w:rPr>
              <w:t>Quality improvement; supervising</w:t>
            </w:r>
          </w:p>
        </w:tc>
      </w:tr>
      <w:tr>
        <w:tc>
          <w:tcPr>
            <w:tcW w:type="dxa" w:w="2160"/>
          </w:tcPr>
          <w:p>
            <w:r>
              <w:rPr>
                <w:rFonts w:ascii="Arial" w:hAnsi="Arial"/>
                <w:sz w:val="24"/>
              </w:rPr>
              <w:t>6 to 12 months</w:t>
            </w:r>
          </w:p>
        </w:tc>
        <w:tc>
          <w:tcPr>
            <w:tcW w:type="dxa" w:w="2160"/>
          </w:tcPr>
          <w:p>
            <w:r>
              <w:rPr>
                <w:rFonts w:ascii="Arial" w:hAnsi="Arial"/>
                <w:sz w:val="24"/>
              </w:rPr>
              <w:t>Secure a senior or team-leader post; enrol on a Level 3 or 5 adult-care leadership qualification; build an improvement evidence file; review the plan with my mentor</w:t>
            </w:r>
          </w:p>
        </w:tc>
        <w:tc>
          <w:tcPr>
            <w:tcW w:type="dxa" w:w="2160"/>
          </w:tcPr>
          <w:p>
            <w:r>
              <w:rPr>
                <w:rFonts w:ascii="Arial" w:hAnsi="Arial"/>
                <w:sz w:val="24"/>
              </w:rPr>
              <w:t>Offer; enrolment; file</w:t>
            </w:r>
          </w:p>
        </w:tc>
        <w:tc>
          <w:tcPr>
            <w:tcW w:type="dxa" w:w="2160"/>
          </w:tcPr>
          <w:p>
            <w:r>
              <w:rPr>
                <w:rFonts w:ascii="Arial" w:hAnsi="Arial"/>
                <w:sz w:val="24"/>
              </w:rPr>
              <w:t>Supervising; leadership</w:t>
            </w:r>
          </w:p>
        </w:tc>
      </w:tr>
      <w:tr>
        <w:tc>
          <w:tcPr>
            <w:tcW w:type="dxa" w:w="2160"/>
          </w:tcPr>
          <w:p>
            <w:r>
              <w:rPr>
                <w:rFonts w:ascii="Arial" w:hAnsi="Arial"/>
                <w:sz w:val="24"/>
              </w:rPr>
              <w:t>12 to 36 months</w:t>
            </w:r>
          </w:p>
        </w:tc>
        <w:tc>
          <w:tcPr>
            <w:tcW w:type="dxa" w:w="2160"/>
          </w:tcPr>
          <w:p>
            <w:r>
              <w:rPr>
                <w:rFonts w:ascii="Arial" w:hAnsi="Arial"/>
                <w:sz w:val="24"/>
              </w:rPr>
              <w:t>Hold a role with decision-making responsibility; evaluate master's and management routes; record contributions relevant to Nepal</w:t>
            </w:r>
          </w:p>
        </w:tc>
        <w:tc>
          <w:tcPr>
            <w:tcW w:type="dxa" w:w="2160"/>
          </w:tcPr>
          <w:p>
            <w:r>
              <w:rPr>
                <w:rFonts w:ascii="Arial" w:hAnsi="Arial"/>
                <w:sz w:val="24"/>
              </w:rPr>
              <w:t>Role description; options paper</w:t>
            </w:r>
          </w:p>
        </w:tc>
        <w:tc>
          <w:tcPr>
            <w:tcW w:type="dxa" w:w="2160"/>
          </w:tcPr>
          <w:p>
            <w:r>
              <w:rPr>
                <w:rFonts w:ascii="Arial" w:hAnsi="Arial"/>
                <w:sz w:val="24"/>
              </w:rPr>
              <w:t>Digital and AI tools; governance</w:t>
            </w:r>
          </w:p>
        </w:tc>
      </w:tr>
    </w:tbl>
    <w:p>
      <w:r>
        <w:rPr>
          <w:rFonts w:ascii="Arial" w:hAnsi="Arial"/>
          <w:sz w:val="24"/>
        </w:rPr>
        <w:t>Three checks keep the plan honest: every action names a gap from 3.2, every goal has evidence someone else can inspect, and each quarterly review asks what I would drop. My first improvement project will be a small trial of the S1 concern-and-closure routine. Each course is linked to a named gap, and I will set real dates once [YOU SUPPLY: graduation date] is fixed.</w:t>
      </w:r>
    </w:p>
    <w:p>
      <w:pPr>
        <w:pStyle w:val="Heading2"/>
      </w:pPr>
      <w:r>
        <w:t>3.4 Risks, contingency, monitoring and long-term aim</w:t>
      </w:r>
    </w:p>
    <w:p>
      <w:r>
        <w:rPr>
          <w:rFonts w:ascii="Arial" w:hAnsi="Arial"/>
          <w:sz w:val="24"/>
        </w:rPr>
        <w:t>The main risks are labour-market competition, cost and workload. Some routes depend on sponsorship, so I will check current Home Office rules (Home Office, no date) at each review, and my contingency is to prioritise routes that do not, such as part-time study alongside work. My view of demand rests on a national workforce report (Skills for Care, 2025), which describes sector-wide patterns and says little about vacancies in any one area, so I will check named employers directly before relying on it.</w:t>
      </w:r>
    </w:p>
    <w:p>
      <w:r>
        <w:rPr>
          <w:rFonts w:ascii="Arial" w:hAnsi="Arial"/>
          <w:sz w:val="24"/>
        </w:rPr>
        <w:t>I will review progress every three months using my competency log, and change course if I hold no relevant interview after six months of applications or if feedback shows the supervisory gap persisting.</w:t>
      </w:r>
    </w:p>
    <w:p>
      <w:r>
        <w:rPr>
          <w:rFonts w:ascii="Arial" w:hAnsi="Arial"/>
          <w:sz w:val="24"/>
        </w:rPr>
        <w:t>My long-term aim in Nepal is staged and evidence-informed. What should transfer is method: quality-improvement cycles, concern-and-closure routines and induction on new tools. What may not is UK statute and the regulator's structure, because Nepal's health-system context and resources differ (Ministry of Health and Population, 2023). I will treat contribution there as knowledge exchange before any larger role.</w:t>
      </w:r>
    </w:p>
    <w:p>
      <w:pPr>
        <w:pStyle w:val="Heading2"/>
      </w:pPr>
      <w:r>
        <w:t>3.5 Closing line</w:t>
      </w:r>
    </w:p>
    <w:p>
      <w:r>
        <w:rPr>
          <w:rFonts w:ascii="Arial" w:hAnsi="Arial"/>
          <w:sz w:val="24"/>
        </w:rPr>
        <w:t>Identity, case and plan describe one commitment: to notice, question and escalate, and, as responsibility grows, to build routines so that others can do the same, and so that a concern, once raised, is followed to an outcome that its author can learn from.</w:t>
      </w:r>
    </w:p>
    <w:p>
      <w:pPr>
        <w:pStyle w:val="Heading1"/>
      </w:pPr>
      <w:r>
        <w:t>References</w:t>
      </w:r>
    </w:p>
    <w:p>
      <w:r>
        <w:rPr>
          <w:rFonts w:ascii="Arial" w:hAnsi="Arial"/>
          <w:sz w:val="24"/>
        </w:rPr>
        <w:t xml:space="preserve">Beauchamp, T.L. and Childress, J.F. (2019) </w:t>
      </w:r>
      <w:r>
        <w:rPr>
          <w:rFonts w:ascii="Arial" w:hAnsi="Arial"/>
          <w:i/>
          <w:sz w:val="24"/>
        </w:rPr>
        <w:t>Principles of biomedical ethics</w:t>
      </w:r>
      <w:r>
        <w:rPr>
          <w:rFonts w:ascii="Arial" w:hAnsi="Arial"/>
          <w:sz w:val="24"/>
        </w:rPr>
        <w:t>. 8th edn. New York: Oxford University Press.</w:t>
      </w:r>
    </w:p>
    <w:p>
      <w:r>
        <w:rPr>
          <w:rFonts w:ascii="Arial" w:hAnsi="Arial"/>
          <w:sz w:val="24"/>
        </w:rPr>
        <w:t xml:space="preserve">Benner, P. (1984) </w:t>
      </w:r>
      <w:r>
        <w:rPr>
          <w:rFonts w:ascii="Arial" w:hAnsi="Arial"/>
          <w:i/>
          <w:sz w:val="24"/>
        </w:rPr>
        <w:t>From novice to expert: excellence and power in clinical nursing practice</w:t>
      </w:r>
      <w:r>
        <w:rPr>
          <w:rFonts w:ascii="Arial" w:hAnsi="Arial"/>
          <w:sz w:val="24"/>
        </w:rPr>
        <w:t>. Menlo Park, CA: Addison-Wesley.</w:t>
      </w:r>
    </w:p>
    <w:p>
      <w:r>
        <w:rPr>
          <w:rFonts w:ascii="Arial" w:hAnsi="Arial"/>
          <w:sz w:val="24"/>
        </w:rPr>
        <w:t xml:space="preserve">Berwick, D. (2013) </w:t>
      </w:r>
      <w:r>
        <w:rPr>
          <w:rFonts w:ascii="Arial" w:hAnsi="Arial"/>
          <w:i/>
          <w:sz w:val="24"/>
        </w:rPr>
        <w:t>A promise to learn – a commitment to act: improving the safety of patients in England</w:t>
      </w:r>
      <w:r>
        <w:rPr>
          <w:rFonts w:ascii="Arial" w:hAnsi="Arial"/>
          <w:sz w:val="24"/>
        </w:rPr>
        <w:t>. London: Department of Health.</w:t>
      </w:r>
    </w:p>
    <w:p>
      <w:r>
        <w:rPr>
          <w:rFonts w:ascii="Arial" w:hAnsi="Arial"/>
          <w:sz w:val="24"/>
        </w:rPr>
        <w:t xml:space="preserve">Care Act 2014. c. 23. Available at: </w:t>
      </w:r>
      <w:hyperlink r:id="rId9">
        <w:r>
          <w:rPr>
            <w:rFonts w:ascii="Arial" w:hAnsi="Arial"/>
            <w:color w:val="0563C1"/>
            <w:u w:val="single"/>
            <w:sz w:val="24"/>
          </w:rPr>
          <w:t>https://www.legislation.gov.uk/ukpga/2014/23</w:t>
        </w:r>
      </w:hyperlink>
      <w:r>
        <w:rPr>
          <w:rFonts w:ascii="Arial" w:hAnsi="Arial"/>
          <w:sz w:val="24"/>
        </w:rPr>
        <w:t xml:space="preserve"> (Accessed: [date]).</w:t>
      </w:r>
    </w:p>
    <w:p>
      <w:r>
        <w:rPr>
          <w:rFonts w:ascii="Arial" w:hAnsi="Arial"/>
          <w:sz w:val="24"/>
        </w:rPr>
        <w:t xml:space="preserve">Dahlgren, G. and Whitehead, M. (1991) </w:t>
      </w:r>
      <w:r>
        <w:rPr>
          <w:rFonts w:ascii="Arial" w:hAnsi="Arial"/>
          <w:i/>
          <w:sz w:val="24"/>
        </w:rPr>
        <w:t>Policies and strategies to promote social equity in health</w:t>
      </w:r>
      <w:r>
        <w:rPr>
          <w:rFonts w:ascii="Arial" w:hAnsi="Arial"/>
          <w:sz w:val="24"/>
        </w:rPr>
        <w:t>. Stockholm: Institute for Futures Studies.</w:t>
      </w:r>
    </w:p>
    <w:p>
      <w:r>
        <w:rPr>
          <w:rFonts w:ascii="Arial" w:hAnsi="Arial"/>
          <w:sz w:val="24"/>
        </w:rPr>
        <w:t xml:space="preserve">Data Protection Act 2018. c. 12. Available at: </w:t>
      </w:r>
      <w:hyperlink r:id="rId10">
        <w:r>
          <w:rPr>
            <w:rFonts w:ascii="Arial" w:hAnsi="Arial"/>
            <w:color w:val="0563C1"/>
            <w:u w:val="single"/>
            <w:sz w:val="24"/>
          </w:rPr>
          <w:t>https://www.legislation.gov.uk/ukpga/2018/12</w:t>
        </w:r>
      </w:hyperlink>
      <w:r>
        <w:rPr>
          <w:rFonts w:ascii="Arial" w:hAnsi="Arial"/>
          <w:sz w:val="24"/>
        </w:rPr>
        <w:t xml:space="preserve"> (Accessed: [date]).</w:t>
      </w:r>
    </w:p>
    <w:p>
      <w:r>
        <w:rPr>
          <w:rFonts w:ascii="Arial" w:hAnsi="Arial"/>
          <w:sz w:val="24"/>
        </w:rPr>
        <w:t xml:space="preserve">Data (Use and Access) Act 2025. Available at: </w:t>
      </w:r>
      <w:hyperlink r:id="rId11">
        <w:r>
          <w:rPr>
            <w:rFonts w:ascii="Arial" w:hAnsi="Arial"/>
            <w:color w:val="0563C1"/>
            <w:u w:val="single"/>
            <w:sz w:val="24"/>
          </w:rPr>
          <w:t>https://www.legislation.gov.uk/ukpga/2025/18</w:t>
        </w:r>
      </w:hyperlink>
      <w:r>
        <w:rPr>
          <w:rFonts w:ascii="Arial" w:hAnsi="Arial"/>
          <w:sz w:val="24"/>
        </w:rPr>
        <w:t xml:space="preserve"> (Accessed: [date]).</w:t>
      </w:r>
    </w:p>
    <w:p>
      <w:r>
        <w:rPr>
          <w:rFonts w:ascii="Arial" w:hAnsi="Arial"/>
          <w:sz w:val="24"/>
        </w:rPr>
        <w:t xml:space="preserve">Davis, D.A., Mazmanian, P.E., Fordis, M., Van Harrison, R., Thorpe, K.E. and Perrier, L. (2006) 'Accuracy of physician self-assessment compared with observed measures of competence: a systematic review', </w:t>
      </w:r>
      <w:r>
        <w:rPr>
          <w:rFonts w:ascii="Arial" w:hAnsi="Arial"/>
          <w:i/>
          <w:sz w:val="24"/>
        </w:rPr>
        <w:t>JAMA</w:t>
      </w:r>
      <w:r>
        <w:rPr>
          <w:rFonts w:ascii="Arial" w:hAnsi="Arial"/>
          <w:sz w:val="24"/>
        </w:rPr>
        <w:t>, 296(9), pp. 1094–1102.</w:t>
      </w:r>
    </w:p>
    <w:p>
      <w:r>
        <w:rPr>
          <w:rFonts w:ascii="Arial" w:hAnsi="Arial"/>
          <w:sz w:val="24"/>
        </w:rPr>
        <w:t xml:space="preserve">Department of Health and Social Care (2023) </w:t>
      </w:r>
      <w:r>
        <w:rPr>
          <w:rFonts w:ascii="Arial" w:hAnsi="Arial"/>
          <w:i/>
          <w:sz w:val="24"/>
        </w:rPr>
        <w:t>The NHS Constitution for England</w:t>
      </w:r>
      <w:r>
        <w:rPr>
          <w:rFonts w:ascii="Arial" w:hAnsi="Arial"/>
          <w:sz w:val="24"/>
        </w:rPr>
        <w:t>. London: DHSC.</w:t>
      </w:r>
    </w:p>
    <w:p>
      <w:r>
        <w:rPr>
          <w:rFonts w:ascii="Arial" w:hAnsi="Arial"/>
          <w:sz w:val="24"/>
        </w:rPr>
        <w:t xml:space="preserve">Department of Health and Social Care (2025) </w:t>
      </w:r>
      <w:r>
        <w:rPr>
          <w:rFonts w:ascii="Arial" w:hAnsi="Arial"/>
          <w:i/>
          <w:sz w:val="24"/>
        </w:rPr>
        <w:t>10 Year Health Plan for England: fit for the future</w:t>
      </w:r>
      <w:r>
        <w:rPr>
          <w:rFonts w:ascii="Arial" w:hAnsi="Arial"/>
          <w:sz w:val="24"/>
        </w:rPr>
        <w:t>. London: DHSC.</w:t>
      </w:r>
    </w:p>
    <w:p>
      <w:r>
        <w:rPr>
          <w:rFonts w:ascii="Arial" w:hAnsi="Arial"/>
          <w:sz w:val="24"/>
        </w:rPr>
        <w:t xml:space="preserve">Dratsch, T., Chen, X., Rezazade Mehrizi, M., Kloeckner, R., Mähringer-Kunz, A., Püsken, M. et al. (2023) 'Automation bias in mammography: the impact of artificial intelligence BI-RADS suggestions on reader performance', </w:t>
      </w:r>
      <w:r>
        <w:rPr>
          <w:rFonts w:ascii="Arial" w:hAnsi="Arial"/>
          <w:i/>
          <w:sz w:val="24"/>
        </w:rPr>
        <w:t>Radiology</w:t>
      </w:r>
      <w:r>
        <w:rPr>
          <w:rFonts w:ascii="Arial" w:hAnsi="Arial"/>
          <w:sz w:val="24"/>
        </w:rPr>
        <w:t>, 307(4), e222176.</w:t>
      </w:r>
    </w:p>
    <w:p>
      <w:r>
        <w:rPr>
          <w:rFonts w:ascii="Arial" w:hAnsi="Arial"/>
          <w:sz w:val="24"/>
        </w:rPr>
        <w:t xml:space="preserve">Edmondson, A. (1999) 'Psychological safety and learning behavior in work teams', </w:t>
      </w:r>
      <w:r>
        <w:rPr>
          <w:rFonts w:ascii="Arial" w:hAnsi="Arial"/>
          <w:i/>
          <w:sz w:val="24"/>
        </w:rPr>
        <w:t>Administrative Science Quarterly</w:t>
      </w:r>
      <w:r>
        <w:rPr>
          <w:rFonts w:ascii="Arial" w:hAnsi="Arial"/>
          <w:sz w:val="24"/>
        </w:rPr>
        <w:t>, 44(2), pp. 350–383.</w:t>
      </w:r>
    </w:p>
    <w:p>
      <w:r>
        <w:rPr>
          <w:rFonts w:ascii="Arial" w:hAnsi="Arial"/>
          <w:sz w:val="24"/>
        </w:rPr>
        <w:t xml:space="preserve">Finlay, L. (2008) </w:t>
      </w:r>
      <w:r>
        <w:rPr>
          <w:rFonts w:ascii="Arial" w:hAnsi="Arial"/>
          <w:i/>
          <w:sz w:val="24"/>
        </w:rPr>
        <w:t>Reflecting on 'reflective practice'</w:t>
      </w:r>
      <w:r>
        <w:rPr>
          <w:rFonts w:ascii="Arial" w:hAnsi="Arial"/>
          <w:sz w:val="24"/>
        </w:rPr>
        <w:t>. PBPL paper 52. Milton Keynes: The Open University.</w:t>
      </w:r>
    </w:p>
    <w:p>
      <w:r>
        <w:rPr>
          <w:rFonts w:ascii="Arial" w:hAnsi="Arial"/>
          <w:sz w:val="24"/>
        </w:rPr>
        <w:t xml:space="preserve">Francis, R. (2013) </w:t>
      </w:r>
      <w:r>
        <w:rPr>
          <w:rFonts w:ascii="Arial" w:hAnsi="Arial"/>
          <w:i/>
          <w:sz w:val="24"/>
        </w:rPr>
        <w:t>Report of the Mid Staffordshire NHS Foundation Trust Public Inquiry</w:t>
      </w:r>
      <w:r>
        <w:rPr>
          <w:rFonts w:ascii="Arial" w:hAnsi="Arial"/>
          <w:sz w:val="24"/>
        </w:rPr>
        <w:t>. London: The Stationery Office.</w:t>
      </w:r>
    </w:p>
    <w:p>
      <w:r>
        <w:rPr>
          <w:rFonts w:ascii="Arial" w:hAnsi="Arial"/>
          <w:sz w:val="24"/>
        </w:rPr>
        <w:t xml:space="preserve">Francis, R. (2015) </w:t>
      </w:r>
      <w:r>
        <w:rPr>
          <w:rFonts w:ascii="Arial" w:hAnsi="Arial"/>
          <w:i/>
          <w:sz w:val="24"/>
        </w:rPr>
        <w:t>Freedom to speak up: an independent review into creating an open and honest reporting culture in the NHS</w:t>
      </w:r>
      <w:r>
        <w:rPr>
          <w:rFonts w:ascii="Arial" w:hAnsi="Arial"/>
          <w:sz w:val="24"/>
        </w:rPr>
        <w:t>. London: Freedom to Speak Up.</w:t>
      </w:r>
    </w:p>
    <w:p>
      <w:r>
        <w:rPr>
          <w:rFonts w:ascii="Arial" w:hAnsi="Arial"/>
          <w:sz w:val="24"/>
        </w:rPr>
        <w:t xml:space="preserve">Gibbs, G. (1988) </w:t>
      </w:r>
      <w:r>
        <w:rPr>
          <w:rFonts w:ascii="Arial" w:hAnsi="Arial"/>
          <w:i/>
          <w:sz w:val="24"/>
        </w:rPr>
        <w:t>Learning by doing: a guide to teaching and learning methods</w:t>
      </w:r>
      <w:r>
        <w:rPr>
          <w:rFonts w:ascii="Arial" w:hAnsi="Arial"/>
          <w:sz w:val="24"/>
        </w:rPr>
        <w:t>. Oxford: Further Education Unit.</w:t>
      </w:r>
    </w:p>
    <w:p>
      <w:r>
        <w:rPr>
          <w:rFonts w:ascii="Arial" w:hAnsi="Arial"/>
          <w:sz w:val="24"/>
        </w:rPr>
        <w:t xml:space="preserve">Goddard, K., Roudsari, A. and Wyatt, J.C. (2012) 'Automation bias: a systematic review of frequency, effect mediators, and mitigators', </w:t>
      </w:r>
      <w:r>
        <w:rPr>
          <w:rFonts w:ascii="Arial" w:hAnsi="Arial"/>
          <w:i/>
          <w:sz w:val="24"/>
        </w:rPr>
        <w:t>Journal of the American Medical Informatics Association</w:t>
      </w:r>
      <w:r>
        <w:rPr>
          <w:rFonts w:ascii="Arial" w:hAnsi="Arial"/>
          <w:sz w:val="24"/>
        </w:rPr>
        <w:t>, 19(1), pp. 121–127.</w:t>
      </w:r>
    </w:p>
    <w:p>
      <w:r>
        <w:rPr>
          <w:rFonts w:ascii="Arial" w:hAnsi="Arial"/>
          <w:sz w:val="24"/>
        </w:rPr>
        <w:t xml:space="preserve">Greenhalgh, T., Howick, J. and Maskrey, N. (2014) 'Evidence based medicine: a movement in crisis?', </w:t>
      </w:r>
      <w:r>
        <w:rPr>
          <w:rFonts w:ascii="Arial" w:hAnsi="Arial"/>
          <w:i/>
          <w:sz w:val="24"/>
        </w:rPr>
        <w:t>BMJ</w:t>
      </w:r>
      <w:r>
        <w:rPr>
          <w:rFonts w:ascii="Arial" w:hAnsi="Arial"/>
          <w:sz w:val="24"/>
        </w:rPr>
        <w:t>, 348, g3725.</w:t>
      </w:r>
    </w:p>
    <w:p>
      <w:r>
        <w:rPr>
          <w:rFonts w:ascii="Arial" w:hAnsi="Arial"/>
          <w:sz w:val="24"/>
        </w:rPr>
        <w:t xml:space="preserve">Haig, K.M., Sutton, S. and Whittington, J. (2006) 'SBAR: a shared mental model for improving communication between clinicians', </w:t>
      </w:r>
      <w:r>
        <w:rPr>
          <w:rFonts w:ascii="Arial" w:hAnsi="Arial"/>
          <w:i/>
          <w:sz w:val="24"/>
        </w:rPr>
        <w:t>Joint Commission Journal on Quality and Patient Safety</w:t>
      </w:r>
      <w:r>
        <w:rPr>
          <w:rFonts w:ascii="Arial" w:hAnsi="Arial"/>
          <w:sz w:val="24"/>
        </w:rPr>
        <w:t>, 32(3), pp. 167–175.</w:t>
      </w:r>
    </w:p>
    <w:p>
      <w:r>
        <w:rPr>
          <w:rFonts w:ascii="Arial" w:hAnsi="Arial"/>
          <w:sz w:val="24"/>
        </w:rPr>
        <w:t xml:space="preserve">Health and Care Professions Council (2016) </w:t>
      </w:r>
      <w:r>
        <w:rPr>
          <w:rFonts w:ascii="Arial" w:hAnsi="Arial"/>
          <w:i/>
          <w:sz w:val="24"/>
        </w:rPr>
        <w:t>Standards of conduct, performance and ethics</w:t>
      </w:r>
      <w:r>
        <w:rPr>
          <w:rFonts w:ascii="Arial" w:hAnsi="Arial"/>
          <w:sz w:val="24"/>
        </w:rPr>
        <w:t>. London: HCPC.</w:t>
      </w:r>
    </w:p>
    <w:p>
      <w:r>
        <w:rPr>
          <w:rFonts w:ascii="Arial" w:hAnsi="Arial"/>
          <w:sz w:val="24"/>
        </w:rPr>
        <w:t xml:space="preserve">Health and Social Care Act 2008 (Regulated Activities) Regulations 2014. SI 2014/2936. Available at: </w:t>
      </w:r>
      <w:hyperlink r:id="rId12">
        <w:r>
          <w:rPr>
            <w:rFonts w:ascii="Arial" w:hAnsi="Arial"/>
            <w:color w:val="0563C1"/>
            <w:u w:val="single"/>
            <w:sz w:val="24"/>
          </w:rPr>
          <w:t>https://www.legislation.gov.uk/uksi/2014/2936</w:t>
        </w:r>
      </w:hyperlink>
      <w:r>
        <w:rPr>
          <w:rFonts w:ascii="Arial" w:hAnsi="Arial"/>
          <w:sz w:val="24"/>
        </w:rPr>
        <w:t xml:space="preserve"> (Accessed: [date]).</w:t>
      </w:r>
    </w:p>
    <w:p>
      <w:r>
        <w:rPr>
          <w:rFonts w:ascii="Arial" w:hAnsi="Arial"/>
          <w:sz w:val="24"/>
        </w:rPr>
        <w:t xml:space="preserve">Home Office (no date) </w:t>
      </w:r>
      <w:r>
        <w:rPr>
          <w:rFonts w:ascii="Arial" w:hAnsi="Arial"/>
          <w:i/>
          <w:sz w:val="24"/>
        </w:rPr>
        <w:t>Graduate visa</w:t>
      </w:r>
      <w:r>
        <w:rPr>
          <w:rFonts w:ascii="Arial" w:hAnsi="Arial"/>
          <w:sz w:val="24"/>
        </w:rPr>
        <w:t xml:space="preserve">. Available at: </w:t>
      </w:r>
      <w:hyperlink r:id="rId13">
        <w:r>
          <w:rPr>
            <w:rFonts w:ascii="Arial" w:hAnsi="Arial"/>
            <w:color w:val="0563C1"/>
            <w:u w:val="single"/>
            <w:sz w:val="24"/>
          </w:rPr>
          <w:t>https://www.gov.uk/graduate-visa</w:t>
        </w:r>
      </w:hyperlink>
      <w:r>
        <w:rPr>
          <w:rFonts w:ascii="Arial" w:hAnsi="Arial"/>
          <w:sz w:val="24"/>
        </w:rPr>
        <w:t xml:space="preserve"> (Accessed: [date]).</w:t>
      </w:r>
    </w:p>
    <w:p>
      <w:r>
        <w:rPr>
          <w:rFonts w:ascii="Arial" w:hAnsi="Arial"/>
          <w:sz w:val="24"/>
        </w:rPr>
        <w:t xml:space="preserve">Information Commissioner's Office (no date) </w:t>
      </w:r>
      <w:r>
        <w:rPr>
          <w:rFonts w:ascii="Arial" w:hAnsi="Arial"/>
          <w:i/>
          <w:sz w:val="24"/>
        </w:rPr>
        <w:t>Guide to the UK GDPR: lawful basis for processing</w:t>
      </w:r>
      <w:r>
        <w:rPr>
          <w:rFonts w:ascii="Arial" w:hAnsi="Arial"/>
          <w:sz w:val="24"/>
        </w:rPr>
        <w:t xml:space="preserve">. Available at: </w:t>
      </w:r>
      <w:hyperlink r:id="rId14">
        <w:r>
          <w:rPr>
            <w:rFonts w:ascii="Arial" w:hAnsi="Arial"/>
            <w:color w:val="0563C1"/>
            <w:u w:val="single"/>
            <w:sz w:val="24"/>
          </w:rPr>
          <w:t>https://ico.org.uk</w:t>
        </w:r>
      </w:hyperlink>
      <w:r>
        <w:rPr>
          <w:rFonts w:ascii="Arial" w:hAnsi="Arial"/>
          <w:sz w:val="24"/>
        </w:rPr>
        <w:t xml:space="preserve"> (Accessed: [date]).</w:t>
      </w:r>
    </w:p>
    <w:p>
      <w:r>
        <w:rPr>
          <w:rFonts w:ascii="Arial" w:hAnsi="Arial"/>
          <w:sz w:val="24"/>
        </w:rPr>
        <w:t xml:space="preserve">Langley, G.J., Moen, R.D., Nolan, K.M., Nolan, T.W., Norman, C.L. and Provost, L.P. (2009) </w:t>
      </w:r>
      <w:r>
        <w:rPr>
          <w:rFonts w:ascii="Arial" w:hAnsi="Arial"/>
          <w:i/>
          <w:sz w:val="24"/>
        </w:rPr>
        <w:t>The improvement guide: a practical approach to enhancing organizational performance</w:t>
      </w:r>
      <w:r>
        <w:rPr>
          <w:rFonts w:ascii="Arial" w:hAnsi="Arial"/>
          <w:sz w:val="24"/>
        </w:rPr>
        <w:t>. 2nd edn. San Francisco: Jossey-Bass.</w:t>
      </w:r>
    </w:p>
    <w:p>
      <w:r>
        <w:rPr>
          <w:rFonts w:ascii="Arial" w:hAnsi="Arial"/>
          <w:sz w:val="24"/>
        </w:rPr>
        <w:t xml:space="preserve">Marmot, M., Allen, J., Boyce, T., Goldblatt, P. and Morrison, J. (2020) </w:t>
      </w:r>
      <w:r>
        <w:rPr>
          <w:rFonts w:ascii="Arial" w:hAnsi="Arial"/>
          <w:i/>
          <w:sz w:val="24"/>
        </w:rPr>
        <w:t>Health equity in England: the Marmot review 10 years on</w:t>
      </w:r>
      <w:r>
        <w:rPr>
          <w:rFonts w:ascii="Arial" w:hAnsi="Arial"/>
          <w:sz w:val="24"/>
        </w:rPr>
        <w:t>. London: Institute of Health Equity.</w:t>
      </w:r>
    </w:p>
    <w:p>
      <w:r>
        <w:rPr>
          <w:rFonts w:ascii="Arial" w:hAnsi="Arial"/>
          <w:sz w:val="24"/>
        </w:rPr>
        <w:t xml:space="preserve">Matthias, A. (2004) 'The responsibility gap: ascribing responsibility for the actions of learning automata', </w:t>
      </w:r>
      <w:r>
        <w:rPr>
          <w:rFonts w:ascii="Arial" w:hAnsi="Arial"/>
          <w:i/>
          <w:sz w:val="24"/>
        </w:rPr>
        <w:t>Ethics and Information Technology</w:t>
      </w:r>
      <w:r>
        <w:rPr>
          <w:rFonts w:ascii="Arial" w:hAnsi="Arial"/>
          <w:sz w:val="24"/>
        </w:rPr>
        <w:t>, 6(3), pp. 175–183.</w:t>
      </w:r>
    </w:p>
    <w:p>
      <w:r>
        <w:rPr>
          <w:rFonts w:ascii="Arial" w:hAnsi="Arial"/>
          <w:sz w:val="24"/>
        </w:rPr>
        <w:t xml:space="preserve">Medical Devices Regulations 2002. SI 2002/618. Available at: </w:t>
      </w:r>
      <w:hyperlink r:id="rId15">
        <w:r>
          <w:rPr>
            <w:rFonts w:ascii="Arial" w:hAnsi="Arial"/>
            <w:color w:val="0563C1"/>
            <w:u w:val="single"/>
            <w:sz w:val="24"/>
          </w:rPr>
          <w:t>https://www.legislation.gov.uk/uksi/2002/618</w:t>
        </w:r>
      </w:hyperlink>
      <w:r>
        <w:rPr>
          <w:rFonts w:ascii="Arial" w:hAnsi="Arial"/>
          <w:sz w:val="24"/>
        </w:rPr>
        <w:t xml:space="preserve"> (Accessed: [date]).</w:t>
      </w:r>
    </w:p>
    <w:p>
      <w:r>
        <w:rPr>
          <w:rFonts w:ascii="Arial" w:hAnsi="Arial"/>
          <w:sz w:val="24"/>
        </w:rPr>
        <w:t xml:space="preserve">Medicines and Healthcare products Regulatory Agency (2023) </w:t>
      </w:r>
      <w:r>
        <w:rPr>
          <w:rFonts w:ascii="Arial" w:hAnsi="Arial"/>
          <w:i/>
          <w:sz w:val="24"/>
        </w:rPr>
        <w:t>Software and artificial intelligence (AI) as a medical device</w:t>
      </w:r>
      <w:r>
        <w:rPr>
          <w:rFonts w:ascii="Arial" w:hAnsi="Arial"/>
          <w:sz w:val="24"/>
        </w:rPr>
        <w:t xml:space="preserve">. Available at: </w:t>
      </w:r>
      <w:hyperlink r:id="rId16">
        <w:r>
          <w:rPr>
            <w:rFonts w:ascii="Arial" w:hAnsi="Arial"/>
            <w:color w:val="0563C1"/>
            <w:u w:val="single"/>
            <w:sz w:val="24"/>
          </w:rPr>
          <w:t>https://www.gov.uk</w:t>
        </w:r>
      </w:hyperlink>
      <w:r>
        <w:rPr>
          <w:rFonts w:ascii="Arial" w:hAnsi="Arial"/>
          <w:sz w:val="24"/>
        </w:rPr>
        <w:t xml:space="preserve"> (Accessed: [date]).</w:t>
      </w:r>
    </w:p>
    <w:p>
      <w:r>
        <w:rPr>
          <w:rFonts w:ascii="Arial" w:hAnsi="Arial"/>
          <w:sz w:val="24"/>
        </w:rPr>
        <w:t xml:space="preserve">Mental Capacity Act 2005. c. 9. Available at: </w:t>
      </w:r>
      <w:hyperlink r:id="rId17">
        <w:r>
          <w:rPr>
            <w:rFonts w:ascii="Arial" w:hAnsi="Arial"/>
            <w:color w:val="0563C1"/>
            <w:u w:val="single"/>
            <w:sz w:val="24"/>
          </w:rPr>
          <w:t>https://www.legislation.gov.uk/ukpga/2005/9</w:t>
        </w:r>
      </w:hyperlink>
      <w:r>
        <w:rPr>
          <w:rFonts w:ascii="Arial" w:hAnsi="Arial"/>
          <w:sz w:val="24"/>
        </w:rPr>
        <w:t xml:space="preserve"> (Accessed: [date]).</w:t>
      </w:r>
    </w:p>
    <w:p>
      <w:r>
        <w:rPr>
          <w:rFonts w:ascii="Arial" w:hAnsi="Arial"/>
          <w:sz w:val="24"/>
        </w:rPr>
        <w:t xml:space="preserve">Ministry of Health and Population (2023) </w:t>
      </w:r>
      <w:r>
        <w:rPr>
          <w:rFonts w:ascii="Arial" w:hAnsi="Arial"/>
          <w:i/>
          <w:sz w:val="24"/>
        </w:rPr>
        <w:t>Nepal health sector strategy 2023–2030</w:t>
      </w:r>
      <w:r>
        <w:rPr>
          <w:rFonts w:ascii="Arial" w:hAnsi="Arial"/>
          <w:sz w:val="24"/>
        </w:rPr>
        <w:t>. Kathmandu: Government of Nepal.</w:t>
      </w:r>
    </w:p>
    <w:p>
      <w:r>
        <w:rPr>
          <w:rFonts w:ascii="Arial" w:hAnsi="Arial"/>
          <w:sz w:val="24"/>
        </w:rPr>
        <w:t xml:space="preserve">Müller, M., Jürgens, J., Redaèlli, M., Klingberg, K., Hautz, W.E. and Stock, S. (2018) 'Impact of the communication and patient hand-off tool SBAR on patient safety: a systematic review', </w:t>
      </w:r>
      <w:r>
        <w:rPr>
          <w:rFonts w:ascii="Arial" w:hAnsi="Arial"/>
          <w:i/>
          <w:sz w:val="24"/>
        </w:rPr>
        <w:t>BMJ Open</w:t>
      </w:r>
      <w:r>
        <w:rPr>
          <w:rFonts w:ascii="Arial" w:hAnsi="Arial"/>
          <w:sz w:val="24"/>
        </w:rPr>
        <w:t>, 8(8), e022202.</w:t>
      </w:r>
    </w:p>
    <w:p>
      <w:r>
        <w:rPr>
          <w:rFonts w:ascii="Arial" w:hAnsi="Arial"/>
          <w:sz w:val="24"/>
        </w:rPr>
        <w:t xml:space="preserve">Nancarrow, S.A., Booth, A., Ariss, S., Smith, T., Enderby, P. and Roots, A. (2013) 'Ten principles of good interdisciplinary team work', </w:t>
      </w:r>
      <w:r>
        <w:rPr>
          <w:rFonts w:ascii="Arial" w:hAnsi="Arial"/>
          <w:i/>
          <w:sz w:val="24"/>
        </w:rPr>
        <w:t>Human Resources for Health</w:t>
      </w:r>
      <w:r>
        <w:rPr>
          <w:rFonts w:ascii="Arial" w:hAnsi="Arial"/>
          <w:sz w:val="24"/>
        </w:rPr>
        <w:t>, 11, article 19.</w:t>
      </w:r>
    </w:p>
    <w:p>
      <w:r>
        <w:rPr>
          <w:rFonts w:ascii="Arial" w:hAnsi="Arial"/>
          <w:sz w:val="24"/>
        </w:rPr>
        <w:t xml:space="preserve">National Data Guardian (2020) </w:t>
      </w:r>
      <w:r>
        <w:rPr>
          <w:rFonts w:ascii="Arial" w:hAnsi="Arial"/>
          <w:i/>
          <w:sz w:val="24"/>
        </w:rPr>
        <w:t>The Caldicott Principles</w:t>
      </w:r>
      <w:r>
        <w:rPr>
          <w:rFonts w:ascii="Arial" w:hAnsi="Arial"/>
          <w:sz w:val="24"/>
        </w:rPr>
        <w:t>. London: Office of the National Data Guardian.</w:t>
      </w:r>
    </w:p>
    <w:p>
      <w:r>
        <w:rPr>
          <w:rFonts w:ascii="Arial" w:hAnsi="Arial"/>
          <w:sz w:val="24"/>
        </w:rPr>
        <w:t xml:space="preserve">NHS England (2018) </w:t>
      </w:r>
      <w:r>
        <w:rPr>
          <w:rFonts w:ascii="Arial" w:hAnsi="Arial"/>
          <w:i/>
          <w:sz w:val="24"/>
        </w:rPr>
        <w:t>DCB0129 and DCB0160: clinical risk management standards for health IT systems</w:t>
      </w:r>
      <w:r>
        <w:rPr>
          <w:rFonts w:ascii="Arial" w:hAnsi="Arial"/>
          <w:sz w:val="24"/>
        </w:rPr>
        <w:t>. Leeds: NHS England.</w:t>
      </w:r>
    </w:p>
    <w:p>
      <w:r>
        <w:rPr>
          <w:rFonts w:ascii="Arial" w:hAnsi="Arial"/>
          <w:sz w:val="24"/>
        </w:rPr>
        <w:t xml:space="preserve">NHS England (2023) </w:t>
      </w:r>
      <w:r>
        <w:rPr>
          <w:rFonts w:ascii="Arial" w:hAnsi="Arial"/>
          <w:i/>
          <w:sz w:val="24"/>
        </w:rPr>
        <w:t>Records management code of practice</w:t>
      </w:r>
      <w:r>
        <w:rPr>
          <w:rFonts w:ascii="Arial" w:hAnsi="Arial"/>
          <w:sz w:val="24"/>
        </w:rPr>
        <w:t>. Leeds: NHS England.</w:t>
      </w:r>
    </w:p>
    <w:p>
      <w:r>
        <w:rPr>
          <w:rFonts w:ascii="Arial" w:hAnsi="Arial"/>
          <w:sz w:val="24"/>
        </w:rPr>
        <w:t xml:space="preserve">NHS Leadership Academy (2013) </w:t>
      </w:r>
      <w:r>
        <w:rPr>
          <w:rFonts w:ascii="Arial" w:hAnsi="Arial"/>
          <w:i/>
          <w:sz w:val="24"/>
        </w:rPr>
        <w:t>Healthcare leadership model: the nine dimensions of leadership behaviour</w:t>
      </w:r>
      <w:r>
        <w:rPr>
          <w:rFonts w:ascii="Arial" w:hAnsi="Arial"/>
          <w:sz w:val="24"/>
        </w:rPr>
        <w:t>. Leeds: NHS Leadership Academy.</w:t>
      </w:r>
    </w:p>
    <w:p>
      <w:r>
        <w:rPr>
          <w:rFonts w:ascii="Arial" w:hAnsi="Arial"/>
          <w:sz w:val="24"/>
        </w:rPr>
        <w:t xml:space="preserve">NHSX (2019) </w:t>
      </w:r>
      <w:r>
        <w:rPr>
          <w:rFonts w:ascii="Arial" w:hAnsi="Arial"/>
          <w:i/>
          <w:sz w:val="24"/>
        </w:rPr>
        <w:t>Artificial intelligence: how to get it right</w:t>
      </w:r>
      <w:r>
        <w:rPr>
          <w:rFonts w:ascii="Arial" w:hAnsi="Arial"/>
          <w:sz w:val="24"/>
        </w:rPr>
        <w:t>. London: NHSX.</w:t>
      </w:r>
    </w:p>
    <w:p>
      <w:r>
        <w:rPr>
          <w:rFonts w:ascii="Arial" w:hAnsi="Arial"/>
          <w:sz w:val="24"/>
        </w:rPr>
        <w:t xml:space="preserve">Nursing and Midwifery Council (no date) </w:t>
      </w:r>
      <w:r>
        <w:rPr>
          <w:rFonts w:ascii="Arial" w:hAnsi="Arial"/>
          <w:i/>
          <w:sz w:val="24"/>
        </w:rPr>
        <w:t>Registration: applying from outside the UK</w:t>
      </w:r>
      <w:r>
        <w:rPr>
          <w:rFonts w:ascii="Arial" w:hAnsi="Arial"/>
          <w:sz w:val="24"/>
        </w:rPr>
        <w:t xml:space="preserve">. Available at: </w:t>
      </w:r>
      <w:hyperlink r:id="rId18">
        <w:r>
          <w:rPr>
            <w:rFonts w:ascii="Arial" w:hAnsi="Arial"/>
            <w:color w:val="0563C1"/>
            <w:u w:val="single"/>
            <w:sz w:val="24"/>
          </w:rPr>
          <w:t>https://www.nmc.org.uk</w:t>
        </w:r>
      </w:hyperlink>
      <w:r>
        <w:rPr>
          <w:rFonts w:ascii="Arial" w:hAnsi="Arial"/>
          <w:sz w:val="24"/>
        </w:rPr>
        <w:t xml:space="preserve"> (Accessed: [date]).</w:t>
      </w:r>
    </w:p>
    <w:p>
      <w:r>
        <w:rPr>
          <w:rFonts w:ascii="Arial" w:hAnsi="Arial"/>
          <w:sz w:val="24"/>
        </w:rPr>
        <w:t xml:space="preserve">Nursing and Midwifery Council (2018) </w:t>
      </w:r>
      <w:r>
        <w:rPr>
          <w:rFonts w:ascii="Arial" w:hAnsi="Arial"/>
          <w:i/>
          <w:sz w:val="24"/>
        </w:rPr>
        <w:t>The Code: professional standards of practice and behaviour for nurses, midwives and nursing associates</w:t>
      </w:r>
      <w:r>
        <w:rPr>
          <w:rFonts w:ascii="Arial" w:hAnsi="Arial"/>
          <w:sz w:val="24"/>
        </w:rPr>
        <w:t>. London: NMC.</w:t>
      </w:r>
    </w:p>
    <w:p>
      <w:r>
        <w:rPr>
          <w:rFonts w:ascii="Arial" w:hAnsi="Arial"/>
          <w:sz w:val="24"/>
        </w:rPr>
        <w:t xml:space="preserve">Parasuraman, R. and Manzey, D.H. (2010) 'Complacency and bias in human use of automation: an attentional integration', </w:t>
      </w:r>
      <w:r>
        <w:rPr>
          <w:rFonts w:ascii="Arial" w:hAnsi="Arial"/>
          <w:i/>
          <w:sz w:val="24"/>
        </w:rPr>
        <w:t>Human Factors</w:t>
      </w:r>
      <w:r>
        <w:rPr>
          <w:rFonts w:ascii="Arial" w:hAnsi="Arial"/>
          <w:sz w:val="24"/>
        </w:rPr>
        <w:t>, 52(3), pp. 381–410.</w:t>
      </w:r>
    </w:p>
    <w:p>
      <w:r>
        <w:rPr>
          <w:rFonts w:ascii="Arial" w:hAnsi="Arial"/>
          <w:sz w:val="24"/>
        </w:rPr>
        <w:t xml:space="preserve">Polanyi, M. (1966) </w:t>
      </w:r>
      <w:r>
        <w:rPr>
          <w:rFonts w:ascii="Arial" w:hAnsi="Arial"/>
          <w:i/>
          <w:sz w:val="24"/>
        </w:rPr>
        <w:t>The tacit dimension</w:t>
      </w:r>
      <w:r>
        <w:rPr>
          <w:rFonts w:ascii="Arial" w:hAnsi="Arial"/>
          <w:sz w:val="24"/>
        </w:rPr>
        <w:t>. London: Routledge and Kegan Paul.</w:t>
      </w:r>
    </w:p>
    <w:p>
      <w:r>
        <w:rPr>
          <w:rFonts w:ascii="Arial" w:hAnsi="Arial"/>
          <w:sz w:val="24"/>
        </w:rPr>
        <w:t xml:space="preserve">Reason, J. (2000) 'Human error: models and management', </w:t>
      </w:r>
      <w:r>
        <w:rPr>
          <w:rFonts w:ascii="Arial" w:hAnsi="Arial"/>
          <w:i/>
          <w:sz w:val="24"/>
        </w:rPr>
        <w:t>BMJ</w:t>
      </w:r>
      <w:r>
        <w:rPr>
          <w:rFonts w:ascii="Arial" w:hAnsi="Arial"/>
          <w:sz w:val="24"/>
        </w:rPr>
        <w:t>, 320(7237), pp. 768–770.</w:t>
      </w:r>
    </w:p>
    <w:p>
      <w:r>
        <w:rPr>
          <w:rFonts w:ascii="Arial" w:hAnsi="Arial"/>
          <w:sz w:val="24"/>
        </w:rPr>
        <w:t xml:space="preserve">Reeves, S., Pelone, F., Harrison, R., Goldman, J. and Zwarenstein, M. (2017) 'Interprofessional collaboration to improve professional practice and healthcare outcomes', </w:t>
      </w:r>
      <w:r>
        <w:rPr>
          <w:rFonts w:ascii="Arial" w:hAnsi="Arial"/>
          <w:i/>
          <w:sz w:val="24"/>
        </w:rPr>
        <w:t>Cochrane Database of Systematic Reviews</w:t>
      </w:r>
      <w:r>
        <w:rPr>
          <w:rFonts w:ascii="Arial" w:hAnsi="Arial"/>
          <w:sz w:val="24"/>
        </w:rPr>
        <w:t>, 6, CD000072.</w:t>
      </w:r>
    </w:p>
    <w:p>
      <w:r>
        <w:rPr>
          <w:rFonts w:ascii="Arial" w:hAnsi="Arial"/>
          <w:sz w:val="24"/>
        </w:rPr>
        <w:t xml:space="preserve">Rolfe, G., Freshwater, D. and Jasper, M. (2001) </w:t>
      </w:r>
      <w:r>
        <w:rPr>
          <w:rFonts w:ascii="Arial" w:hAnsi="Arial"/>
          <w:i/>
          <w:sz w:val="24"/>
        </w:rPr>
        <w:t>Critical reflection in nursing and the helping professions: a user's guide</w:t>
      </w:r>
      <w:r>
        <w:rPr>
          <w:rFonts w:ascii="Arial" w:hAnsi="Arial"/>
          <w:sz w:val="24"/>
        </w:rPr>
        <w:t>. Basingstoke: Palgrave Macmillan.</w:t>
      </w:r>
    </w:p>
    <w:p>
      <w:r>
        <w:rPr>
          <w:rFonts w:ascii="Arial" w:hAnsi="Arial"/>
          <w:sz w:val="24"/>
        </w:rPr>
        <w:t xml:space="preserve">Sackett, D.L., Rosenberg, W.M.C., Gray, J.A.M., Haynes, R.B. and Richardson, W.S. (1996) 'Evidence based medicine: what it is and what it isn't', </w:t>
      </w:r>
      <w:r>
        <w:rPr>
          <w:rFonts w:ascii="Arial" w:hAnsi="Arial"/>
          <w:i/>
          <w:sz w:val="24"/>
        </w:rPr>
        <w:t>BMJ</w:t>
      </w:r>
      <w:r>
        <w:rPr>
          <w:rFonts w:ascii="Arial" w:hAnsi="Arial"/>
          <w:sz w:val="24"/>
        </w:rPr>
        <w:t>, 312(7023), pp. 71–72.</w:t>
      </w:r>
    </w:p>
    <w:p>
      <w:r>
        <w:rPr>
          <w:rFonts w:ascii="Arial" w:hAnsi="Arial"/>
          <w:sz w:val="24"/>
        </w:rPr>
        <w:t xml:space="preserve">Schön, D.A. (1983) </w:t>
      </w:r>
      <w:r>
        <w:rPr>
          <w:rFonts w:ascii="Arial" w:hAnsi="Arial"/>
          <w:i/>
          <w:sz w:val="24"/>
        </w:rPr>
        <w:t>The reflective practitioner: how professionals think in action</w:t>
      </w:r>
      <w:r>
        <w:rPr>
          <w:rFonts w:ascii="Arial" w:hAnsi="Arial"/>
          <w:sz w:val="24"/>
        </w:rPr>
        <w:t>. New York: Basic Books.</w:t>
      </w:r>
    </w:p>
    <w:p>
      <w:r>
        <w:rPr>
          <w:rFonts w:ascii="Arial" w:hAnsi="Arial"/>
          <w:sz w:val="24"/>
        </w:rPr>
        <w:t xml:space="preserve">Seyyed-Kalantari, L., Zhang, H., McDermott, M.B.A., Chen, I.Y. and Ghassemi, M. (2021) 'Underdiagnosis bias of artificial intelligence algorithms applied to chest radiographs in under-served patient populations', </w:t>
      </w:r>
      <w:r>
        <w:rPr>
          <w:rFonts w:ascii="Arial" w:hAnsi="Arial"/>
          <w:i/>
          <w:sz w:val="24"/>
        </w:rPr>
        <w:t>Nature Medicine</w:t>
      </w:r>
      <w:r>
        <w:rPr>
          <w:rFonts w:ascii="Arial" w:hAnsi="Arial"/>
          <w:sz w:val="24"/>
        </w:rPr>
        <w:t>, 27(12), pp. 2176–2182.</w:t>
      </w:r>
    </w:p>
    <w:p>
      <w:r>
        <w:rPr>
          <w:rFonts w:ascii="Arial" w:hAnsi="Arial"/>
          <w:sz w:val="24"/>
        </w:rPr>
        <w:t xml:space="preserve">Skills for Care (2013) </w:t>
      </w:r>
      <w:r>
        <w:rPr>
          <w:rFonts w:ascii="Arial" w:hAnsi="Arial"/>
          <w:i/>
          <w:sz w:val="24"/>
        </w:rPr>
        <w:t>Code of conduct for healthcare support workers and adult social care workers in England</w:t>
      </w:r>
      <w:r>
        <w:rPr>
          <w:rFonts w:ascii="Arial" w:hAnsi="Arial"/>
          <w:sz w:val="24"/>
        </w:rPr>
        <w:t>. Leeds: Skills for Care.</w:t>
      </w:r>
    </w:p>
    <w:p>
      <w:r>
        <w:rPr>
          <w:rFonts w:ascii="Arial" w:hAnsi="Arial"/>
          <w:sz w:val="24"/>
        </w:rPr>
        <w:t xml:space="preserve">Skills for Care, Health Education England and Skills for Health (2015) </w:t>
      </w:r>
      <w:r>
        <w:rPr>
          <w:rFonts w:ascii="Arial" w:hAnsi="Arial"/>
          <w:i/>
          <w:sz w:val="24"/>
        </w:rPr>
        <w:t>Care Certificate standards</w:t>
      </w:r>
      <w:r>
        <w:rPr>
          <w:rFonts w:ascii="Arial" w:hAnsi="Arial"/>
          <w:sz w:val="24"/>
        </w:rPr>
        <w:t>. Leeds: Skills for Care.</w:t>
      </w:r>
    </w:p>
    <w:p>
      <w:r>
        <w:rPr>
          <w:rFonts w:ascii="Arial" w:hAnsi="Arial"/>
          <w:sz w:val="24"/>
        </w:rPr>
        <w:t xml:space="preserve">Skills for Care (no date) </w:t>
      </w:r>
      <w:r>
        <w:rPr>
          <w:rFonts w:ascii="Arial" w:hAnsi="Arial"/>
          <w:i/>
          <w:sz w:val="24"/>
        </w:rPr>
        <w:t>Level 5 diploma in leadership and management for adult care</w:t>
      </w:r>
      <w:r>
        <w:rPr>
          <w:rFonts w:ascii="Arial" w:hAnsi="Arial"/>
          <w:sz w:val="24"/>
        </w:rPr>
        <w:t xml:space="preserve">. Available at: </w:t>
      </w:r>
      <w:hyperlink r:id="rId19">
        <w:r>
          <w:rPr>
            <w:rFonts w:ascii="Arial" w:hAnsi="Arial"/>
            <w:color w:val="0563C1"/>
            <w:u w:val="single"/>
            <w:sz w:val="24"/>
          </w:rPr>
          <w:t>https://www.skillsforcare.org.uk</w:t>
        </w:r>
      </w:hyperlink>
      <w:r>
        <w:rPr>
          <w:rFonts w:ascii="Arial" w:hAnsi="Arial"/>
          <w:sz w:val="24"/>
        </w:rPr>
        <w:t xml:space="preserve"> (Accessed: [date]).</w:t>
      </w:r>
    </w:p>
    <w:p>
      <w:r>
        <w:rPr>
          <w:rFonts w:ascii="Arial" w:hAnsi="Arial"/>
          <w:sz w:val="24"/>
        </w:rPr>
        <w:t xml:space="preserve">Skills for Care (2025) </w:t>
      </w:r>
      <w:r>
        <w:rPr>
          <w:rFonts w:ascii="Arial" w:hAnsi="Arial"/>
          <w:i/>
          <w:sz w:val="24"/>
        </w:rPr>
        <w:t>The state of the adult social care sector and workforce in England</w:t>
      </w:r>
      <w:r>
        <w:rPr>
          <w:rFonts w:ascii="Arial" w:hAnsi="Arial"/>
          <w:sz w:val="24"/>
        </w:rPr>
        <w:t>. Leeds: Skills for Care.</w:t>
      </w:r>
    </w:p>
    <w:p>
      <w:r>
        <w:rPr>
          <w:rFonts w:ascii="Arial" w:hAnsi="Arial"/>
          <w:sz w:val="24"/>
        </w:rPr>
        <w:t xml:space="preserve">Topol, E. (2019) </w:t>
      </w:r>
      <w:r>
        <w:rPr>
          <w:rFonts w:ascii="Arial" w:hAnsi="Arial"/>
          <w:i/>
          <w:sz w:val="24"/>
        </w:rPr>
        <w:t>The Topol review: preparing the healthcare workforce to deliver the digital future</w:t>
      </w:r>
      <w:r>
        <w:rPr>
          <w:rFonts w:ascii="Arial" w:hAnsi="Arial"/>
          <w:sz w:val="24"/>
        </w:rPr>
        <w:t>. London: Health Education England.</w:t>
      </w:r>
    </w:p>
    <w:p>
      <w:r>
        <w:rPr>
          <w:rFonts w:ascii="Arial" w:hAnsi="Arial"/>
          <w:sz w:val="24"/>
        </w:rPr>
        <w:t xml:space="preserve">Tversky, A. and Kahneman, D. (1974) 'Judgment under uncertainty: heuristics and biases', </w:t>
      </w:r>
      <w:r>
        <w:rPr>
          <w:rFonts w:ascii="Arial" w:hAnsi="Arial"/>
          <w:i/>
          <w:sz w:val="24"/>
        </w:rPr>
        <w:t>Science</w:t>
      </w:r>
      <w:r>
        <w:rPr>
          <w:rFonts w:ascii="Arial" w:hAnsi="Arial"/>
          <w:sz w:val="24"/>
        </w:rPr>
        <w:t>, 185(4157), pp. 1124–1131.</w:t>
      </w:r>
    </w:p>
    <w:p>
      <w:r>
        <w:rPr>
          <w:rFonts w:ascii="Arial" w:hAnsi="Arial"/>
          <w:sz w:val="24"/>
        </w:rPr>
        <w:t xml:space="preserve">UK General Data Protection Regulation. Retained Regulation (EU) 2016/679. Available at: </w:t>
      </w:r>
      <w:hyperlink r:id="rId20">
        <w:r>
          <w:rPr>
            <w:rFonts w:ascii="Arial" w:hAnsi="Arial"/>
            <w:color w:val="0563C1"/>
            <w:u w:val="single"/>
            <w:sz w:val="24"/>
          </w:rPr>
          <w:t>https://www.legislation.gov.uk/eur/2016/679</w:t>
        </w:r>
      </w:hyperlink>
      <w:r>
        <w:rPr>
          <w:rFonts w:ascii="Arial" w:hAnsi="Arial"/>
          <w:sz w:val="24"/>
        </w:rPr>
        <w:t xml:space="preserve"> (Accessed: [date]).</w:t>
      </w:r>
    </w:p>
    <w:p>
      <w:r>
        <w:rPr>
          <w:rFonts w:ascii="Arial" w:hAnsi="Arial"/>
          <w:sz w:val="24"/>
        </w:rPr>
        <w:t xml:space="preserve">West, M.A. (2021) </w:t>
      </w:r>
      <w:r>
        <w:rPr>
          <w:rFonts w:ascii="Arial" w:hAnsi="Arial"/>
          <w:i/>
          <w:sz w:val="24"/>
        </w:rPr>
        <w:t>Compassionate leadership: sustaining wisdom, humanity and presence in health and social care</w:t>
      </w:r>
      <w:r>
        <w:rPr>
          <w:rFonts w:ascii="Arial" w:hAnsi="Arial"/>
          <w:sz w:val="24"/>
        </w:rPr>
        <w:t>. London: The Swirling Leaf Press.</w:t>
      </w:r>
    </w:p>
    <w:p>
      <w:r>
        <w:rPr>
          <w:rFonts w:ascii="Arial" w:hAnsi="Arial"/>
          <w:sz w:val="24"/>
        </w:rPr>
        <w:t xml:space="preserve">World Health Organization Commission on Social Determinants of Health (2008) </w:t>
      </w:r>
      <w:r>
        <w:rPr>
          <w:rFonts w:ascii="Arial" w:hAnsi="Arial"/>
          <w:i/>
          <w:sz w:val="24"/>
        </w:rPr>
        <w:t>Closing the gap in a generation: health equity through action on the social determinants of health</w:t>
      </w:r>
      <w:r>
        <w:rPr>
          <w:rFonts w:ascii="Arial" w:hAnsi="Arial"/>
          <w:sz w:val="24"/>
        </w:rPr>
        <w:t>. Geneva: WHO.</w:t>
      </w:r>
    </w:p>
    <w:p>
      <w:r>
        <w:br w:type="page"/>
      </w:r>
    </w:p>
    <w:p>
      <w:pPr>
        <w:pStyle w:val="Heading1"/>
      </w:pPr>
      <w:r>
        <w:t>PART B (not for submission). Report: how the blueprint was applied, and what was improved</w:t>
      </w:r>
    </w:p>
    <w:p>
      <w:pPr>
        <w:pStyle w:val="Heading2"/>
      </w:pPr>
      <w:r>
        <w:t>1. Result at a glance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24"/>
              </w:rPr>
              <w:t>Item</w:t>
            </w:r>
          </w:p>
        </w:tc>
        <w:tc>
          <w:tcPr>
            <w:tcW w:type="dxa" w:w="2880"/>
          </w:tcPr>
          <w:p>
            <w:r>
              <w:rPr>
                <w:rFonts w:ascii="Arial" w:hAnsi="Arial"/>
                <w:b/>
                <w:sz w:val="24"/>
              </w:rPr>
              <w:t>Target (blueprint)</w:t>
            </w:r>
          </w:p>
        </w:tc>
        <w:tc>
          <w:tcPr>
            <w:tcW w:type="dxa" w:w="2880"/>
          </w:tcPr>
          <w:p>
            <w:r>
              <w:rPr>
                <w:rFonts w:ascii="Arial" w:hAnsi="Arial"/>
                <w:b/>
                <w:sz w:val="24"/>
              </w:rPr>
              <w:t>Delivered</w:t>
            </w:r>
          </w:p>
        </w:tc>
      </w:tr>
      <w:tr>
        <w:tc>
          <w:tcPr>
            <w:tcW w:type="dxa" w:w="2880"/>
          </w:tcPr>
          <w:p>
            <w:r>
              <w:rPr>
                <w:rFonts w:ascii="Arial" w:hAnsi="Arial"/>
                <w:sz w:val="24"/>
              </w:rPr>
              <w:t>Section 1</w:t>
            </w:r>
          </w:p>
        </w:tc>
        <w:tc>
          <w:tcPr>
            <w:tcW w:type="dxa" w:w="2880"/>
          </w:tcPr>
          <w:p>
            <w:r>
              <w:rPr>
                <w:rFonts w:ascii="Arial" w:hAnsi="Arial"/>
                <w:sz w:val="24"/>
              </w:rPr>
              <w:t>1,000</w:t>
            </w:r>
          </w:p>
        </w:tc>
        <w:tc>
          <w:tcPr>
            <w:tcW w:type="dxa" w:w="2880"/>
          </w:tcPr>
          <w:p>
            <w:r>
              <w:rPr>
                <w:rFonts w:ascii="Arial" w:hAnsi="Arial"/>
                <w:sz w:val="24"/>
              </w:rPr>
              <w:t>about 1,000 (1.1: 148, 1.2: 359, 1.3: 247, 1.4: 141, 1.5: 72, plus the added citations)</w:t>
            </w:r>
          </w:p>
        </w:tc>
      </w:tr>
      <w:tr>
        <w:tc>
          <w:tcPr>
            <w:tcW w:type="dxa" w:w="2880"/>
          </w:tcPr>
          <w:p>
            <w:r>
              <w:rPr>
                <w:rFonts w:ascii="Arial" w:hAnsi="Arial"/>
                <w:sz w:val="24"/>
              </w:rPr>
              <w:t>Section 2</w:t>
            </w:r>
          </w:p>
        </w:tc>
        <w:tc>
          <w:tcPr>
            <w:tcW w:type="dxa" w:w="2880"/>
          </w:tcPr>
          <w:p>
            <w:r>
              <w:rPr>
                <w:rFonts w:ascii="Arial" w:hAnsi="Arial"/>
                <w:sz w:val="24"/>
              </w:rPr>
              <w:t>3,000</w:t>
            </w:r>
          </w:p>
        </w:tc>
        <w:tc>
          <w:tcPr>
            <w:tcW w:type="dxa" w:w="2880"/>
          </w:tcPr>
          <w:p>
            <w:r>
              <w:rPr>
                <w:rFonts w:ascii="Arial" w:hAnsi="Arial"/>
                <w:sz w:val="24"/>
              </w:rPr>
              <w:t>about 2,900 (2.1: 342, 2.2: 790, 2.3: 622, 2.4: 497, 2.5: 384, 2.6: 254)</w:t>
            </w:r>
          </w:p>
        </w:tc>
      </w:tr>
      <w:tr>
        <w:tc>
          <w:tcPr>
            <w:tcW w:type="dxa" w:w="2880"/>
          </w:tcPr>
          <w:p>
            <w:r>
              <w:rPr>
                <w:rFonts w:ascii="Arial" w:hAnsi="Arial"/>
                <w:sz w:val="24"/>
              </w:rPr>
              <w:t>Section 3</w:t>
            </w:r>
          </w:p>
        </w:tc>
        <w:tc>
          <w:tcPr>
            <w:tcW w:type="dxa" w:w="2880"/>
          </w:tcPr>
          <w:p>
            <w:r>
              <w:rPr>
                <w:rFonts w:ascii="Arial" w:hAnsi="Arial"/>
                <w:sz w:val="24"/>
              </w:rPr>
              <w:t>1,000</w:t>
            </w:r>
          </w:p>
        </w:tc>
        <w:tc>
          <w:tcPr>
            <w:tcW w:type="dxa" w:w="2880"/>
          </w:tcPr>
          <w:p>
            <w:r>
              <w:rPr>
                <w:rFonts w:ascii="Arial" w:hAnsi="Arial"/>
                <w:sz w:val="24"/>
              </w:rPr>
              <w:t>about 920 (3.1: 241, 3.2: 268, 3.3: 206, 3.4: 151, 3.5: 44)</w:t>
            </w:r>
          </w:p>
        </w:tc>
      </w:tr>
      <w:tr>
        <w:tc>
          <w:tcPr>
            <w:tcW w:type="dxa" w:w="2880"/>
          </w:tcPr>
          <w:p>
            <w:r>
              <w:rPr>
                <w:rFonts w:ascii="Arial" w:hAnsi="Arial"/>
                <w:sz w:val="24"/>
              </w:rPr>
              <w:t>Total (body, tables and in-text citations counted; headings and reference list not)</w:t>
            </w:r>
          </w:p>
        </w:tc>
        <w:tc>
          <w:tcPr>
            <w:tcW w:type="dxa" w:w="2880"/>
          </w:tcPr>
          <w:p>
            <w:r>
              <w:rPr>
                <w:rFonts w:ascii="Arial" w:hAnsi="Arial"/>
                <w:sz w:val="24"/>
              </w:rPr>
              <w:t>4,850 to 5,000</w:t>
            </w:r>
          </w:p>
        </w:tc>
        <w:tc>
          <w:tcPr>
            <w:tcW w:type="dxa" w:w="2880"/>
          </w:tcPr>
          <w:p>
            <w:r>
              <w:rPr>
                <w:rFonts w:ascii="Arial" w:hAnsi="Arial"/>
                <w:sz w:val="24"/>
              </w:rPr>
              <w:t>4,941, including the [YOU SUPPLY] slots (4,797 without them)</w:t>
            </w:r>
          </w:p>
        </w:tc>
      </w:tr>
      <w:tr>
        <w:tc>
          <w:tcPr>
            <w:tcW w:type="dxa" w:w="2880"/>
          </w:tcPr>
          <w:p>
            <w:r>
              <w:rPr>
                <w:rFonts w:ascii="Arial" w:hAnsi="Arial"/>
                <w:sz w:val="24"/>
              </w:rPr>
              <w:t>Format</w:t>
            </w:r>
          </w:p>
        </w:tc>
        <w:tc>
          <w:tcPr>
            <w:tcW w:type="dxa" w:w="2880"/>
          </w:tcPr>
          <w:p>
            <w:r>
              <w:rPr>
                <w:rFonts w:ascii="Arial" w:hAnsi="Arial"/>
                <w:sz w:val="24"/>
              </w:rPr>
              <w:t>Arial 12, 1.5 spacing, exact headings, title block, Harvard</w:t>
            </w:r>
          </w:p>
        </w:tc>
        <w:tc>
          <w:tcPr>
            <w:tcW w:type="dxa" w:w="2880"/>
          </w:tcPr>
          <w:p>
            <w:r>
              <w:rPr>
                <w:rFonts w:ascii="Arial" w:hAnsi="Arial"/>
                <w:sz w:val="24"/>
              </w:rPr>
              <w:t>Done in `Professional Portfolio.docx`</w:t>
            </w:r>
          </w:p>
        </w:tc>
      </w:tr>
    </w:tbl>
    <w:p>
      <w:r>
        <w:rPr>
          <w:rFonts w:ascii="Arial" w:hAnsi="Arial"/>
          <w:sz w:val="24"/>
        </w:rPr>
        <w:t>The word count includes the text of the placeholder slots, which are sized at roughly 20 words each. Replace each with a similar length and the total stays inside the range. Check the count against your college's rule on tables and citations before submitting.</w:t>
      </w:r>
    </w:p>
    <w:p>
      <w:pPr>
        <w:pStyle w:val="Heading2"/>
      </w:pPr>
      <w:r>
        <w:t>2. How the blueprint was applied, section by section</w:t>
      </w:r>
    </w:p>
    <w:p>
      <w:pPr>
        <w:pStyle w:val="Heading3"/>
      </w:pPr>
      <w:r>
        <w:t>Overall</w:t>
      </w:r>
    </w:p>
    <w:p>
      <w:pPr>
        <w:pStyle w:val="ListBullet"/>
      </w:pPr>
      <w:r>
        <w:rPr>
          <w:rFonts w:ascii="Arial" w:hAnsi="Arial"/>
          <w:b/>
          <w:sz w:val="24"/>
        </w:rPr>
        <w:t>Final case controls Section 2.</w:t>
      </w:r>
      <w:r>
        <w:rPr>
          <w:rFonts w:ascii="Arial" w:hAnsi="Arial"/>
          <w:sz w:val="24"/>
        </w:rPr>
        <w:t xml:space="preserve"> The blueprint says Sections 14 to 18 override the original Mrs Okafor plan. I wrote the hospital imaging case: inpatient ward, documentation task, a flag that "appeared inconsistent", telling the supervisor, no visible follow-up.</w:t>
      </w:r>
    </w:p>
    <w:p>
      <w:pPr>
        <w:pStyle w:val="ListBullet"/>
      </w:pPr>
      <w:r>
        <w:rPr>
          <w:rFonts w:ascii="Arial" w:hAnsi="Arial"/>
          <w:b/>
          <w:sz w:val="24"/>
        </w:rPr>
        <w:t>Golden thread.</w:t>
      </w:r>
      <w:r>
        <w:rPr>
          <w:rFonts w:ascii="Arial" w:hAnsi="Arial"/>
          <w:sz w:val="24"/>
        </w:rPr>
        <w:t xml:space="preserve"> Identity, then case, then plan, all built on one claim: safe care depends on conditions that make independent, accountable judgement possible. 1.1 states it, 1.5 turns it into a testable claim, 2.6 and 3.1 carry it forward, and 3.5 closes it.</w:t>
      </w:r>
    </w:p>
    <w:p>
      <w:pPr>
        <w:pStyle w:val="ListBullet"/>
      </w:pPr>
      <w:r>
        <w:rPr>
          <w:rFonts w:ascii="Arial" w:hAnsi="Arial"/>
          <w:b/>
          <w:sz w:val="24"/>
        </w:rPr>
        <w:t>PEEL+ method.</w:t>
      </w:r>
      <w:r>
        <w:rPr>
          <w:rFonts w:ascii="Arial" w:hAnsi="Arial"/>
          <w:sz w:val="24"/>
        </w:rPr>
        <w:t xml:space="preserve"> Each paragraph is written as claim, evidence, evaluation, so-what.</w:t>
      </w:r>
    </w:p>
    <w:p>
      <w:pPr>
        <w:pStyle w:val="ListBullet"/>
      </w:pPr>
      <w:r>
        <w:rPr>
          <w:rFonts w:ascii="Arial" w:hAnsi="Arial"/>
          <w:b/>
          <w:sz w:val="24"/>
        </w:rPr>
        <w:t>No separate introduction or conclusion.</w:t>
      </w:r>
      <w:r>
        <w:rPr>
          <w:rFonts w:ascii="Arial" w:hAnsi="Arial"/>
          <w:sz w:val="24"/>
        </w:rPr>
        <w:t xml:space="preserve"> The orientation sits inside 1.1 (two to three sentences) and the closing line is 3.5.</w:t>
      </w:r>
    </w:p>
    <w:p>
      <w:pPr>
        <w:pStyle w:val="ListBullet"/>
      </w:pPr>
      <w:r>
        <w:rPr>
          <w:rFonts w:ascii="Arial" w:hAnsi="Arial"/>
          <w:b/>
          <w:sz w:val="24"/>
        </w:rPr>
        <w:t>Language rules.</w:t>
      </w:r>
      <w:r>
        <w:rPr>
          <w:rFonts w:ascii="Arial" w:hAnsi="Arial"/>
          <w:sz w:val="24"/>
        </w:rPr>
        <w:t xml:space="preserve"> British spelling, cautious verbs ("suggests", "on my reading"), no rhetorical questions, first person only for reflective moves, few quotations (none), and none of the banned phrases.</w:t>
      </w:r>
    </w:p>
    <w:p>
      <w:pPr>
        <w:pStyle w:val="Heading3"/>
      </w:pPr>
      <w:r>
        <w:t>Section 1 (Professional Identity)</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4"/>
              </w:rPr>
              <w:t>Blueprint instruction</w:t>
            </w:r>
          </w:p>
        </w:tc>
        <w:tc>
          <w:tcPr>
            <w:tcW w:type="dxa" w:w="4320"/>
          </w:tcPr>
          <w:p>
            <w:r>
              <w:rPr>
                <w:rFonts w:ascii="Arial" w:hAnsi="Arial"/>
                <w:b/>
                <w:sz w:val="24"/>
              </w:rPr>
              <w:t>How it was applied</w:t>
            </w:r>
          </w:p>
        </w:tc>
      </w:tr>
      <w:tr>
        <w:tc>
          <w:tcPr>
            <w:tcW w:type="dxa" w:w="4320"/>
          </w:tcPr>
          <w:p>
            <w:r>
              <w:rPr>
                <w:rFonts w:ascii="Arial" w:hAnsi="Arial"/>
                <w:sz w:val="24"/>
              </w:rPr>
              <w:t>1.1: open with a claim, not a biography; one sentence of trajectory; state the thread</w:t>
            </w:r>
          </w:p>
        </w:tc>
        <w:tc>
          <w:tcPr>
            <w:tcW w:type="dxa" w:w="4320"/>
          </w:tcPr>
          <w:p>
            <w:r>
              <w:rPr>
                <w:rFonts w:ascii="Arial" w:hAnsi="Arial"/>
                <w:sz w:val="24"/>
              </w:rPr>
              <w:t>The first sentence is the claim. One sentence covers the Nepal PCL diploma (2023), BP Smriti, the UK care home and the degree. Then the thread and how the three sections connect.</w:t>
            </w:r>
          </w:p>
        </w:tc>
      </w:tr>
      <w:tr>
        <w:tc>
          <w:tcPr>
            <w:tcW w:type="dxa" w:w="4320"/>
          </w:tcPr>
          <w:p>
            <w:r>
              <w:rPr>
                <w:rFonts w:ascii="Arial" w:hAnsi="Arial"/>
                <w:sz w:val="24"/>
              </w:rPr>
              <w:t>1.2: three themes organised by idea, before belief, challenge, after belief, consequence</w:t>
            </w:r>
          </w:p>
        </w:tc>
        <w:tc>
          <w:tcPr>
            <w:tcW w:type="dxa" w:w="4320"/>
          </w:tcPr>
          <w:p>
            <w:r>
              <w:rPr>
                <w:rFonts w:ascii="Arial" w:hAnsi="Arial"/>
                <w:sz w:val="24"/>
              </w:rPr>
              <w:t>Three themes (structural health and access, individual and systemic accountability, teams and systems). Each follows the same pattern and cites the sources the blueprint suggested.</w:t>
            </w:r>
          </w:p>
        </w:tc>
      </w:tr>
      <w:tr>
        <w:tc>
          <w:tcPr>
            <w:tcW w:type="dxa" w:w="4320"/>
          </w:tcPr>
          <w:p>
            <w:r>
              <w:rPr>
                <w:rFonts w:ascii="Arial" w:hAnsi="Arial"/>
                <w:sz w:val="24"/>
              </w:rPr>
              <w:t>1.2: evaluate each model, not just use it</w:t>
            </w:r>
          </w:p>
        </w:tc>
        <w:tc>
          <w:tcPr>
            <w:tcW w:type="dxa" w:w="4320"/>
          </w:tcPr>
          <w:p>
            <w:r>
              <w:rPr>
                <w:rFonts w:ascii="Arial" w:hAnsi="Arial"/>
                <w:sz w:val="24"/>
              </w:rPr>
              <w:t>A: the determinants model fits rural Nepal better than care-home inequality. B: systems thinking must not dissolve individual duty. C: the teamwork evidence is descriptive and hospital-based.</w:t>
            </w:r>
          </w:p>
        </w:tc>
      </w:tr>
      <w:tr>
        <w:tc>
          <w:tcPr>
            <w:tcW w:type="dxa" w:w="4320"/>
          </w:tcPr>
          <w:p>
            <w:r>
              <w:rPr>
                <w:rFonts w:ascii="Arial" w:hAnsi="Arial"/>
                <w:sz w:val="24"/>
              </w:rPr>
              <w:t>1.2: one concrete piece of evidence of change per theme</w:t>
            </w:r>
          </w:p>
        </w:tc>
        <w:tc>
          <w:tcPr>
            <w:tcW w:type="dxa" w:w="4320"/>
          </w:tcPr>
          <w:p>
            <w:r>
              <w:rPr>
                <w:rFonts w:ascii="Arial" w:hAnsi="Arial"/>
                <w:sz w:val="24"/>
              </w:rPr>
              <w:t>Left as three [YOU SUPPLY] slots, because the blueprint forbids inventing facts.</w:t>
            </w:r>
          </w:p>
        </w:tc>
      </w:tr>
      <w:tr>
        <w:tc>
          <w:tcPr>
            <w:tcW w:type="dxa" w:w="4320"/>
          </w:tcPr>
          <w:p>
            <w:r>
              <w:rPr>
                <w:rFonts w:ascii="Arial" w:hAnsi="Arial"/>
                <w:sz w:val="24"/>
              </w:rPr>
              <w:t>1.3: two conflicting values, an incident, legal framing, Nepal against UK, a behavioural standard</w:t>
            </w:r>
          </w:p>
        </w:tc>
        <w:tc>
          <w:tcPr>
            <w:tcW w:type="dxa" w:w="4320"/>
          </w:tcPr>
          <w:p>
            <w:r>
              <w:rPr>
                <w:rFonts w:ascii="Arial" w:hAnsi="Arial"/>
                <w:sz w:val="24"/>
              </w:rPr>
              <w:t>Dignity and choice against safety. The Mental Capacity Act, Care Act and CQC Regulations 10 and 12 give the framework. The Nepal/UK comparison avoids stereotyping, and the section ends with a standard stated as a behaviour. The incident is a [YOU SUPPLY] slot.</w:t>
            </w:r>
          </w:p>
        </w:tc>
      </w:tr>
      <w:tr>
        <w:tc>
          <w:tcPr>
            <w:tcW w:type="dxa" w:w="4320"/>
          </w:tcPr>
          <w:p>
            <w:r>
              <w:rPr>
                <w:rFonts w:ascii="Arial" w:hAnsi="Arial"/>
                <w:sz w:val="24"/>
              </w:rPr>
              <w:t>1.4: evaluate reflective models and EBP, name a competency framework, link to 3.2</w:t>
            </w:r>
          </w:p>
        </w:tc>
        <w:tc>
          <w:tcPr>
            <w:tcW w:type="dxa" w:w="4320"/>
          </w:tcPr>
          <w:p>
            <w:r>
              <w:rPr>
                <w:rFonts w:ascii="Arial" w:hAnsi="Arial"/>
                <w:sz w:val="24"/>
              </w:rPr>
              <w:t>Gibbs, Schön and Rolfe are compared, with Finlay as the critic. Sackett is set against Greenhalgh. The Care Certificate and Healthcare Leadership Model are named, with the limit that attendance is not competence.</w:t>
            </w:r>
          </w:p>
        </w:tc>
      </w:tr>
      <w:tr>
        <w:tc>
          <w:tcPr>
            <w:tcW w:type="dxa" w:w="4320"/>
          </w:tcPr>
          <w:p>
            <w:r>
              <w:rPr>
                <w:rFonts w:ascii="Arial" w:hAnsi="Arial"/>
                <w:sz w:val="24"/>
              </w:rPr>
              <w:t>1.5: one tight bridging paragraph</w:t>
            </w:r>
          </w:p>
        </w:tc>
        <w:tc>
          <w:tcPr>
            <w:tcW w:type="dxa" w:w="4320"/>
          </w:tcPr>
          <w:p>
            <w:r>
              <w:rPr>
                <w:rFonts w:ascii="Arial" w:hAnsi="Arial"/>
                <w:sz w:val="24"/>
              </w:rPr>
              <w:t>A testable claim leading into the case.</w:t>
            </w:r>
          </w:p>
        </w:tc>
      </w:tr>
    </w:tbl>
    <w:p>
      <w:pPr>
        <w:pStyle w:val="Heading3"/>
      </w:pPr>
      <w:r>
        <w:t>Section 2 (Case Analysis)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4"/>
              </w:rPr>
              <w:t>Blueprint instruction</w:t>
            </w:r>
          </w:p>
        </w:tc>
        <w:tc>
          <w:tcPr>
            <w:tcW w:type="dxa" w:w="4320"/>
          </w:tcPr>
          <w:p>
            <w:r>
              <w:rPr>
                <w:rFonts w:ascii="Arial" w:hAnsi="Arial"/>
                <w:b/>
                <w:sz w:val="24"/>
              </w:rPr>
              <w:t>How it was applied</w:t>
            </w:r>
          </w:p>
        </w:tc>
      </w:tr>
      <w:tr>
        <w:tc>
          <w:tcPr>
            <w:tcW w:type="dxa" w:w="4320"/>
          </w:tcPr>
          <w:p>
            <w:r>
              <w:rPr>
                <w:rFonts w:ascii="Arial" w:hAnsi="Arial"/>
                <w:sz w:val="24"/>
              </w:rPr>
              <w:t>2.1 (revised, 14.3): account of about 100 words, why it matters, approach and limits</w:t>
            </w:r>
          </w:p>
        </w:tc>
        <w:tc>
          <w:tcPr>
            <w:tcW w:type="dxa" w:w="4320"/>
          </w:tcPr>
          <w:p>
            <w:r>
              <w:rPr>
                <w:rFonts w:ascii="Arial" w:hAnsi="Arial"/>
                <w:sz w:val="24"/>
              </w:rPr>
              <w:t>Account, policy context (NHSX 2019, DHSC 2025, medical-device regulation) and approach. It states the ethical and legal limits and that sources are graded by what they can show. It also states that this is a reflection on my own learning and that permission was granted.</w:t>
            </w:r>
          </w:p>
        </w:tc>
      </w:tr>
      <w:tr>
        <w:tc>
          <w:tcPr>
            <w:tcW w:type="dxa" w:w="4320"/>
          </w:tcPr>
          <w:p>
            <w:r>
              <w:rPr>
                <w:rFonts w:ascii="Arial" w:hAnsi="Arial"/>
                <w:sz w:val="24"/>
              </w:rPr>
              <w:t>Case description capped at about 15%</w:t>
            </w:r>
          </w:p>
        </w:tc>
        <w:tc>
          <w:tcPr>
            <w:tcW w:type="dxa" w:w="4320"/>
          </w:tcPr>
          <w:p>
            <w:r>
              <w:rPr>
                <w:rFonts w:ascii="Arial" w:hAnsi="Arial"/>
                <w:sz w:val="24"/>
              </w:rPr>
              <w:t>Description is confined to 2.1 and the short "What I did" opening of each issue. The rest argues.</w:t>
            </w:r>
          </w:p>
        </w:tc>
      </w:tr>
      <w:tr>
        <w:tc>
          <w:tcPr>
            <w:tcW w:type="dxa" w:w="4320"/>
          </w:tcPr>
          <w:p>
            <w:r>
              <w:rPr>
                <w:rFonts w:ascii="Arial" w:hAnsi="Arial"/>
                <w:sz w:val="24"/>
              </w:rPr>
              <w:t>14.4: for each issue, what I did, what the law required, where practice met or fell short, what I would do now</w:t>
            </w:r>
          </w:p>
        </w:tc>
        <w:tc>
          <w:tcPr>
            <w:tcW w:type="dxa" w:w="4320"/>
          </w:tcPr>
          <w:p>
            <w:r>
              <w:rPr>
                <w:rFonts w:ascii="Arial" w:hAnsi="Arial"/>
                <w:sz w:val="24"/>
              </w:rPr>
              <w:t>Used as the fixed move in 2.2 to 2.4.</w:t>
            </w:r>
          </w:p>
        </w:tc>
      </w:tr>
      <w:tr>
        <w:tc>
          <w:tcPr>
            <w:tcW w:type="dxa" w:w="4320"/>
          </w:tcPr>
          <w:p>
            <w:r>
              <w:rPr>
                <w:rFonts w:ascii="Arial" w:hAnsi="Arial"/>
                <w:sz w:val="24"/>
              </w:rPr>
              <w:t>16.2 and 18.3: say "appeared inconsistent", never "the AI was wrong"; state the outcome is unknown; no vendor, hospital or clinical detail</w:t>
            </w:r>
          </w:p>
        </w:tc>
        <w:tc>
          <w:tcPr>
            <w:tcW w:type="dxa" w:w="4320"/>
          </w:tcPr>
          <w:p>
            <w:r>
              <w:rPr>
                <w:rFonts w:ascii="Arial" w:hAnsi="Arial"/>
                <w:sz w:val="24"/>
              </w:rPr>
              <w:t>Followed throughout. The tool is generic and the outcome is described as unknown, with no invented ending.</w:t>
            </w:r>
          </w:p>
        </w:tc>
      </w:tr>
      <w:tr>
        <w:tc>
          <w:tcPr>
            <w:tcW w:type="dxa" w:w="4320"/>
          </w:tcPr>
          <w:p>
            <w:r>
              <w:rPr>
                <w:rFonts w:ascii="Arial" w:hAnsi="Arial"/>
                <w:sz w:val="24"/>
              </w:rPr>
              <w:t>18.1 "just a feeling": tacit knowledge</w:t>
            </w:r>
          </w:p>
        </w:tc>
        <w:tc>
          <w:tcPr>
            <w:tcW w:type="dxa" w:w="4320"/>
          </w:tcPr>
          <w:p>
            <w:r>
              <w:rPr>
                <w:rFonts w:ascii="Arial" w:hAnsi="Arial"/>
                <w:sz w:val="24"/>
              </w:rPr>
              <w:t>A dedicated paragraph in 2.2 using Polanyi, Benner and Schön. It argues intuition is a legitimate safety signal but weak evidence, so it should trigger a check, not a conclusion.</w:t>
            </w:r>
          </w:p>
        </w:tc>
      </w:tr>
      <w:tr>
        <w:tc>
          <w:tcPr>
            <w:tcW w:type="dxa" w:w="4320"/>
          </w:tcPr>
          <w:p>
            <w:r>
              <w:rPr>
                <w:rFonts w:ascii="Arial" w:hAnsi="Arial"/>
                <w:sz w:val="24"/>
              </w:rPr>
              <w:t>18.1 "no clear follow-up": failure of the feedback loop</w:t>
            </w:r>
          </w:p>
        </w:tc>
        <w:tc>
          <w:tcPr>
            <w:tcW w:type="dxa" w:w="4320"/>
          </w:tcPr>
          <w:p>
            <w:r>
              <w:rPr>
                <w:rFonts w:ascii="Arial" w:hAnsi="Arial"/>
                <w:sz w:val="24"/>
              </w:rPr>
              <w:t>A dedicated paragraph in 2.3 using Berwick, Reason and Francis. It gives a counter-argument and describes what a closed loop would look like.</w:t>
            </w:r>
          </w:p>
        </w:tc>
      </w:tr>
      <w:tr>
        <w:tc>
          <w:tcPr>
            <w:tcW w:type="dxa" w:w="4320"/>
          </w:tcPr>
          <w:p>
            <w:r>
              <w:rPr>
                <w:rFonts w:ascii="Arial" w:hAnsi="Arial"/>
                <w:sz w:val="24"/>
              </w:rPr>
              <w:t>18.1 "never accept AI output unchecked" is a cliché</w:t>
            </w:r>
          </w:p>
        </w:tc>
        <w:tc>
          <w:tcPr>
            <w:tcW w:type="dxa" w:w="4320"/>
          </w:tcPr>
          <w:p>
            <w:r>
              <w:rPr>
                <w:rFonts w:ascii="Arial" w:hAnsi="Arial"/>
                <w:sz w:val="24"/>
              </w:rPr>
              <w:t>Refined in 2.2 to "notice, question, escalate, and avoid recording uncertain output as fact", with where checking ends for a student against a registered clinician.</w:t>
            </w:r>
          </w:p>
        </w:tc>
      </w:tr>
      <w:tr>
        <w:tc>
          <w:tcPr>
            <w:tcW w:type="dxa" w:w="4320"/>
          </w:tcPr>
          <w:p>
            <w:r>
              <w:rPr>
                <w:rFonts w:ascii="Arial" w:hAnsi="Arial"/>
                <w:sz w:val="24"/>
              </w:rPr>
              <w:t>18.1 "record my concern"</w:t>
            </w:r>
          </w:p>
        </w:tc>
        <w:tc>
          <w:tcPr>
            <w:tcW w:type="dxa" w:w="4320"/>
          </w:tcPr>
          <w:p>
            <w:r>
              <w:rPr>
                <w:rFonts w:ascii="Arial" w:hAnsi="Arial"/>
                <w:sz w:val="24"/>
              </w:rPr>
              <w:t>Developed into the concern note (what I saw, why uncertain, whom I told, when, no identifiers), linked to UK GDPR Art. 5(1)(d) and Regulation 17.</w:t>
            </w:r>
          </w:p>
        </w:tc>
      </w:tr>
      <w:tr>
        <w:tc>
          <w:tcPr>
            <w:tcW w:type="dxa" w:w="4320"/>
          </w:tcPr>
          <w:p>
            <w:r>
              <w:rPr>
                <w:rFonts w:ascii="Arial" w:hAnsi="Arial"/>
                <w:sz w:val="24"/>
              </w:rPr>
              <w:t>16.3 law and policy for a documentation task</w:t>
            </w:r>
          </w:p>
        </w:tc>
        <w:tc>
          <w:tcPr>
            <w:tcW w:type="dxa" w:w="4320"/>
          </w:tcPr>
          <w:p>
            <w:r>
              <w:rPr>
                <w:rFonts w:ascii="Arial" w:hAnsi="Arial"/>
                <w:sz w:val="24"/>
              </w:rPr>
              <w:t>Medical Devices Regulations 2002, MHRA, DCB0129/0160, CQC Regulations 12, 17 and 20, UK GDPR accuracy and transparency, Caldicott, Francis (2015) and the NHS Constitution.</w:t>
            </w:r>
          </w:p>
        </w:tc>
      </w:tr>
      <w:tr>
        <w:tc>
          <w:tcPr>
            <w:tcW w:type="dxa" w:w="4320"/>
          </w:tcPr>
          <w:p>
            <w:r>
              <w:rPr>
                <w:rFonts w:ascii="Arial" w:hAnsi="Arial"/>
                <w:sz w:val="24"/>
              </w:rPr>
              <w:t>14.2 point 6: do not accuse</w:t>
            </w:r>
          </w:p>
        </w:tc>
        <w:tc>
          <w:tcPr>
            <w:tcW w:type="dxa" w:w="4320"/>
          </w:tcPr>
          <w:p>
            <w:r>
              <w:rPr>
                <w:rFonts w:ascii="Arial" w:hAnsi="Arial"/>
                <w:sz w:val="24"/>
              </w:rPr>
              <w:t>Phrased as "I do not know how the tool or the ward met these requirements and do not suggest they were unmet" and "on my reading".</w:t>
            </w:r>
          </w:p>
        </w:tc>
      </w:tr>
      <w:tr>
        <w:tc>
          <w:tcPr>
            <w:tcW w:type="dxa" w:w="4320"/>
          </w:tcPr>
          <w:p>
            <w:r>
              <w:rPr>
                <w:rFonts w:ascii="Arial" w:hAnsi="Arial"/>
                <w:sz w:val="24"/>
              </w:rPr>
              <w:t>14.2 point 8: law against guidance</w:t>
            </w:r>
          </w:p>
        </w:tc>
        <w:tc>
          <w:tcPr>
            <w:tcW w:type="dxa" w:w="4320"/>
          </w:tcPr>
          <w:p>
            <w:r>
              <w:rPr>
                <w:rFonts w:ascii="Arial" w:hAnsi="Arial"/>
                <w:sz w:val="24"/>
              </w:rPr>
              <w:t>Stated in 2.1 and applied in 2.2 and 2.4.</w:t>
            </w:r>
          </w:p>
        </w:tc>
      </w:tr>
      <w:tr>
        <w:tc>
          <w:tcPr>
            <w:tcW w:type="dxa" w:w="4320"/>
          </w:tcPr>
          <w:p>
            <w:r>
              <w:rPr>
                <w:rFonts w:ascii="Arial" w:hAnsi="Arial"/>
                <w:sz w:val="24"/>
              </w:rPr>
              <w:t>2.5: reasoned verdict, three solutions in a compact table, prioritisation, limitations</w:t>
            </w:r>
          </w:p>
        </w:tc>
        <w:tc>
          <w:tcPr>
            <w:tcW w:type="dxa" w:w="4320"/>
          </w:tcPr>
          <w:p>
            <w:r>
              <w:rPr>
                <w:rFonts w:ascii="Arial" w:hAnsi="Arial"/>
                <w:sz w:val="24"/>
              </w:rPr>
              <w:t>Conditional endorsement. The table holds S1 concern-and-closure routine, S2 "AI-suggested, unverified" label, S3 induction, each with evidence, feasibility and limits. Prose ranks them, and the limitations paragraph is included.</w:t>
            </w:r>
          </w:p>
        </w:tc>
      </w:tr>
      <w:tr>
        <w:tc>
          <w:tcPr>
            <w:tcW w:type="dxa" w:w="4320"/>
          </w:tcPr>
          <w:p>
            <w:r>
              <w:rPr>
                <w:rFonts w:ascii="Arial" w:hAnsi="Arial"/>
                <w:sz w:val="24"/>
              </w:rPr>
              <w:t>2.6: Gibbs, believed before, evidence, named situations, link to Section 3</w:t>
            </w:r>
          </w:p>
        </w:tc>
        <w:tc>
          <w:tcPr>
            <w:tcW w:type="dxa" w:w="4320"/>
          </w:tcPr>
          <w:p>
            <w:r>
              <w:rPr>
                <w:rFonts w:ascii="Arial" w:hAnsi="Arial"/>
                <w:sz w:val="24"/>
              </w:rPr>
              <w:t>Four observable behaviours tied to named situations and standards, ending with a bridge to Section 3.</w:t>
            </w:r>
          </w:p>
        </w:tc>
      </w:tr>
    </w:tbl>
    <w:p>
      <w:pPr>
        <w:pStyle w:val="Heading3"/>
      </w:pPr>
      <w:r>
        <w:t>Section 3 (Career Development Plan)</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24"/>
              </w:rPr>
              <w:t>Blueprint instruction</w:t>
            </w:r>
          </w:p>
        </w:tc>
        <w:tc>
          <w:tcPr>
            <w:tcW w:type="dxa" w:w="4320"/>
          </w:tcPr>
          <w:p>
            <w:r>
              <w:rPr>
                <w:rFonts w:ascii="Arial" w:hAnsi="Arial"/>
                <w:b/>
                <w:sz w:val="24"/>
              </w:rPr>
              <w:t>How it was applied</w:t>
            </w:r>
          </w:p>
        </w:tc>
      </w:tr>
      <w:tr>
        <w:tc>
          <w:tcPr>
            <w:tcW w:type="dxa" w:w="4320"/>
          </w:tcPr>
          <w:p>
            <w:r>
              <w:rPr>
                <w:rFonts w:ascii="Arial" w:hAnsi="Arial"/>
                <w:sz w:val="24"/>
              </w:rPr>
              <w:t>3.1: one-sentence destination with a time frame, four options against explicit criteria, others deferred not dismissed</w:t>
            </w:r>
          </w:p>
        </w:tc>
        <w:tc>
          <w:tcPr>
            <w:tcW w:type="dxa" w:w="4320"/>
          </w:tcPr>
          <w:p>
            <w:r>
              <w:rPr>
                <w:rFonts w:ascii="Arial" w:hAnsi="Arial"/>
                <w:sz w:val="24"/>
              </w:rPr>
              <w:t>Done. Option iv (nursing registration) is explicitly marked "do not assume eligibility". The choice is tied to being where S1 and S3 can be applied.</w:t>
            </w:r>
          </w:p>
        </w:tc>
      </w:tr>
      <w:tr>
        <w:tc>
          <w:tcPr>
            <w:tcW w:type="dxa" w:w="4320"/>
          </w:tcPr>
          <w:p>
            <w:r>
              <w:rPr>
                <w:rFonts w:ascii="Arial" w:hAnsi="Arial"/>
                <w:sz w:val="24"/>
              </w:rPr>
              <w:t>Reading topic 2: critique "branding"</w:t>
            </w:r>
          </w:p>
        </w:tc>
        <w:tc>
          <w:tcPr>
            <w:tcW w:type="dxa" w:w="4320"/>
          </w:tcPr>
          <w:p>
            <w:r>
              <w:rPr>
                <w:rFonts w:ascii="Arial" w:hAnsi="Arial"/>
                <w:sz w:val="24"/>
              </w:rPr>
              <w:t>Included in 3.1.</w:t>
            </w:r>
          </w:p>
        </w:tc>
      </w:tr>
      <w:tr>
        <w:tc>
          <w:tcPr>
            <w:tcW w:type="dxa" w:w="4320"/>
          </w:tcPr>
          <w:p>
            <w:r>
              <w:rPr>
                <w:rFonts w:ascii="Arial" w:hAnsi="Arial"/>
                <w:sz w:val="24"/>
              </w:rPr>
              <w:t>3.2: framework, 4 to 5 strengths with evidence, 4 to 5 gaps with consequence and severity, limits of self-assessment</w:t>
            </w:r>
          </w:p>
        </w:tc>
        <w:tc>
          <w:tcPr>
            <w:tcW w:type="dxa" w:w="4320"/>
          </w:tcPr>
          <w:p>
            <w:r>
              <w:rPr>
                <w:rFonts w:ascii="Arial" w:hAnsi="Arial"/>
                <w:sz w:val="24"/>
              </w:rPr>
              <w:t>Table of 3 strengths and 5 gaps. The blueprint's better gaps are used (safeguarding, QI, supervision, evaluating AI, difficult conversations), not "academic writing". Davis et al. (2006) is cited with mitigations.</w:t>
            </w:r>
          </w:p>
        </w:tc>
      </w:tr>
      <w:tr>
        <w:tc>
          <w:tcPr>
            <w:tcW w:type="dxa" w:w="4320"/>
          </w:tcPr>
          <w:p>
            <w:r>
              <w:rPr>
                <w:rFonts w:ascii="Arial" w:hAnsi="Arial"/>
                <w:sz w:val="24"/>
              </w:rPr>
              <w:t>3.3: SMART table with timeframe, goal, evidence and link to gap</w:t>
            </w:r>
          </w:p>
        </w:tc>
        <w:tc>
          <w:tcPr>
            <w:tcW w:type="dxa" w:w="4320"/>
          </w:tcPr>
          <w:p>
            <w:r>
              <w:rPr>
                <w:rFonts w:ascii="Arial" w:hAnsi="Arial"/>
                <w:sz w:val="24"/>
              </w:rPr>
              <w:t>Four rows. The QI goal is the real S1 trial.</w:t>
            </w:r>
          </w:p>
        </w:tc>
      </w:tr>
      <w:tr>
        <w:tc>
          <w:tcPr>
            <w:tcW w:type="dxa" w:w="4320"/>
          </w:tcPr>
          <w:p>
            <w:r>
              <w:rPr>
                <w:rFonts w:ascii="Arial" w:hAnsi="Arial"/>
                <w:sz w:val="24"/>
              </w:rPr>
              <w:t>3.4: risks, immigration in 2 to 3 sentences, monitoring, staged Nepal aim, honest evidence quality</w:t>
            </w:r>
          </w:p>
        </w:tc>
        <w:tc>
          <w:tcPr>
            <w:tcW w:type="dxa" w:w="4320"/>
          </w:tcPr>
          <w:p>
            <w:r>
              <w:rPr>
                <w:rFonts w:ascii="Arial" w:hAnsi="Arial"/>
                <w:sz w:val="24"/>
              </w:rPr>
              <w:t>Done. Visa content is kept to the minimum the blueprint asks for.</w:t>
            </w:r>
          </w:p>
        </w:tc>
      </w:tr>
      <w:tr>
        <w:tc>
          <w:tcPr>
            <w:tcW w:type="dxa" w:w="4320"/>
          </w:tcPr>
          <w:p>
            <w:r>
              <w:rPr>
                <w:rFonts w:ascii="Arial" w:hAnsi="Arial"/>
                <w:sz w:val="24"/>
              </w:rPr>
              <w:t>3.5: one closing sentence</w:t>
            </w:r>
          </w:p>
        </w:tc>
        <w:tc>
          <w:tcPr>
            <w:tcW w:type="dxa" w:w="4320"/>
          </w:tcPr>
          <w:p>
            <w:r>
              <w:rPr>
                <w:rFonts w:ascii="Arial" w:hAnsi="Arial"/>
                <w:sz w:val="24"/>
              </w:rPr>
              <w:t>Done.</w:t>
            </w:r>
          </w:p>
        </w:tc>
      </w:tr>
    </w:tbl>
    <w:p>
      <w:pPr>
        <w:pStyle w:val="Heading2"/>
      </w:pPr>
      <w:r>
        <w:t>3. Improvements made beyond the blueprint</w:t>
      </w:r>
    </w:p>
    <w:p>
      <w:r>
        <w:rPr>
          <w:rFonts w:ascii="Arial" w:hAnsi="Arial"/>
          <w:sz w:val="24"/>
        </w:rPr>
        <w:t>The blueprint contains conflicts and weak points. I resolved them as follows.</w:t>
      </w:r>
    </w:p>
    <w:p>
      <w:pPr>
        <w:pStyle w:val="ListNumber"/>
      </w:pPr>
      <w:r>
        <w:rPr>
          <w:rFonts w:ascii="Arial" w:hAnsi="Arial"/>
          <w:b/>
          <w:sz w:val="24"/>
        </w:rPr>
        <w:t>Stale content removed.</w:t>
      </w:r>
      <w:r>
        <w:rPr>
          <w:rFonts w:ascii="Arial" w:hAnsi="Arial"/>
          <w:sz w:val="24"/>
        </w:rPr>
        <w:t xml:space="preserve"> The golden thread, 1.1 and the 3.1 "S1 to S3" link still referred to Mrs Okafor and care planning. They were rewritten for the hospital imaging case and its new S1 to S3. The thread's grammar ("builds that conditions") was also fixed.</w:t>
      </w:r>
    </w:p>
    <w:p>
      <w:pPr>
        <w:pStyle w:val="ListNumber"/>
      </w:pPr>
      <w:r>
        <w:rPr>
          <w:rFonts w:ascii="Arial" w:hAnsi="Arial"/>
          <w:b/>
          <w:sz w:val="24"/>
        </w:rPr>
        <w:t>Pseudonym dropped.</w:t>
      </w:r>
      <w:r>
        <w:rPr>
          <w:rFonts w:ascii="Arial" w:hAnsi="Arial"/>
          <w:sz w:val="24"/>
        </w:rPr>
        <w:t xml:space="preserve"> The final case no longer needs "Mrs Okafor", and no patient name or pseudonym appears anywhere. The less patient-detail there is, the lower the identifiability risk.</w:t>
      </w:r>
    </w:p>
    <w:p>
      <w:pPr>
        <w:pStyle w:val="ListNumber"/>
      </w:pPr>
      <w:r>
        <w:rPr>
          <w:rFonts w:ascii="Arial" w:hAnsi="Arial"/>
          <w:b/>
          <w:sz w:val="24"/>
        </w:rPr>
        <w:t>Reflective model critique strengthened.</w:t>
      </w:r>
      <w:r>
        <w:rPr>
          <w:rFonts w:ascii="Arial" w:hAnsi="Arial"/>
          <w:sz w:val="24"/>
        </w:rPr>
        <w:t xml:space="preserve"> The blueprint's 1.4 defends Gibbs, but 18.1 relies on Schön and tacit knowledge. I said so explicitly: Gibbs is the spine, and Schön covers the "just a feeling" moment that Gibbs handles poorly.</w:t>
      </w:r>
    </w:p>
    <w:p>
      <w:pPr>
        <w:pStyle w:val="ListNumber"/>
      </w:pPr>
      <w:r>
        <w:rPr>
          <w:rFonts w:ascii="Arial" w:hAnsi="Arial"/>
          <w:b/>
          <w:sz w:val="24"/>
        </w:rPr>
        <w:t>Steel-man added to Issue 1.</w:t>
      </w:r>
      <w:r>
        <w:rPr>
          <w:rFonts w:ascii="Arial" w:hAnsi="Arial"/>
          <w:sz w:val="24"/>
        </w:rPr>
        <w:t xml:space="preserve"> The blueprint's old plan had a "case for the technology" block (Topol, 2019), but the revised 16.4 and 18.2 plans dropped it. I restored it, because the reader-reaction table asks for a counter-argument in each issue.</w:t>
      </w:r>
    </w:p>
    <w:p>
      <w:pPr>
        <w:pStyle w:val="ListNumber"/>
      </w:pPr>
      <w:r>
        <w:rPr>
          <w:rFonts w:ascii="Arial" w:hAnsi="Arial"/>
          <w:b/>
          <w:sz w:val="24"/>
        </w:rPr>
        <w:t>Limitations rewritten.</w:t>
      </w:r>
      <w:r>
        <w:rPr>
          <w:rFonts w:ascii="Arial" w:hAnsi="Arial"/>
          <w:sz w:val="24"/>
        </w:rPr>
        <w:t xml:space="preserve"> The blueprint's limitation, "single simulated/taught case", no longer applies. It now reads: one real episode, from memory, outcome unknown, no empirical data.</w:t>
      </w:r>
    </w:p>
    <w:p>
      <w:pPr>
        <w:pStyle w:val="ListNumber"/>
      </w:pPr>
      <w:r>
        <w:rPr>
          <w:rFonts w:ascii="Arial" w:hAnsi="Arial"/>
          <w:b/>
          <w:sz w:val="24"/>
        </w:rPr>
        <w:t>Article 22 handled carefully.</w:t>
      </w:r>
      <w:r>
        <w:rPr>
          <w:rFonts w:ascii="Arial" w:hAnsi="Arial"/>
          <w:sz w:val="24"/>
        </w:rPr>
        <w:t xml:space="preserve"> The blueprint says to check Art. 22 after the Data (Use and Access) Act 2025. I argued Art. 22 is unlikely to be engaged because a clinician reviews the output, and flagged that the current text must be checked.</w:t>
      </w:r>
    </w:p>
    <w:p>
      <w:pPr>
        <w:pStyle w:val="ListNumber"/>
      </w:pPr>
      <w:r>
        <w:rPr>
          <w:rFonts w:ascii="Arial" w:hAnsi="Arial"/>
          <w:b/>
          <w:sz w:val="24"/>
        </w:rPr>
        <w:t>Original idea tied to the revised case.</w:t>
      </w:r>
      <w:r>
        <w:rPr>
          <w:rFonts w:ascii="Arial" w:hAnsi="Arial"/>
          <w:sz w:val="24"/>
        </w:rPr>
        <w:t xml:space="preserve"> S1 (concern-and-closure routine) is presented as the original, testable proposal, with a plan-do-study-act design and a measure. This also satisfies reading topic 6 (QI) in 2.5 and 3.3.</w:t>
      </w:r>
    </w:p>
    <w:p>
      <w:pPr>
        <w:pStyle w:val="ListNumber"/>
      </w:pPr>
      <w:r>
        <w:rPr>
          <w:rFonts w:ascii="Arial" w:hAnsi="Arial"/>
          <w:b/>
          <w:sz w:val="24"/>
        </w:rPr>
        <w:t>Weakness of the proposal admitted.</w:t>
      </w:r>
      <w:r>
        <w:rPr>
          <w:rFonts w:ascii="Arial" w:hAnsi="Arial"/>
          <w:sz w:val="24"/>
        </w:rPr>
        <w:t xml:space="preserve"> S1 can be completed without being used, and counting notes rewards volume. The pilot therefore also asks whether a concern changed what happened next.</w:t>
      </w:r>
    </w:p>
    <w:p>
      <w:pPr>
        <w:pStyle w:val="ListNumber"/>
      </w:pPr>
      <w:r>
        <w:rPr>
          <w:rFonts w:ascii="Arial" w:hAnsi="Arial"/>
          <w:b/>
          <w:sz w:val="24"/>
        </w:rPr>
        <w:t>Leadership paragraph added to 2.3.</w:t>
      </w:r>
      <w:r>
        <w:rPr>
          <w:rFonts w:ascii="Arial" w:hAnsi="Arial"/>
          <w:sz w:val="24"/>
        </w:rPr>
        <w:t xml:space="preserve"> It covers who sets the norm for questioning the tool (West, 2021; Healthcare Leadership Model). The blueprint's old 2.4c had this, but the revised plan lost it.</w:t>
      </w:r>
    </w:p>
    <w:p>
      <w:pPr>
        <w:pStyle w:val="ListNumber"/>
      </w:pPr>
      <w:r>
        <w:rPr>
          <w:rFonts w:ascii="Arial" w:hAnsi="Arial"/>
          <w:b/>
          <w:sz w:val="24"/>
        </w:rPr>
        <w:t>Self-assessment critique made specific in 3.2.</w:t>
      </w:r>
      <w:r>
        <w:rPr>
          <w:rFonts w:ascii="Arial" w:hAnsi="Arial"/>
          <w:sz w:val="24"/>
        </w:rPr>
        <w:t xml:space="preserve"> It notes that the Care Certificate and Healthcare Leadership Model do not cover appraising AI tools, so that gap is measured against a self-set standard.</w:t>
      </w:r>
    </w:p>
    <w:p>
      <w:pPr>
        <w:pStyle w:val="ListNumber"/>
      </w:pPr>
      <w:r>
        <w:rPr>
          <w:rFonts w:ascii="Arial" w:hAnsi="Arial"/>
          <w:b/>
          <w:sz w:val="24"/>
        </w:rPr>
        <w:t>Placeholder policy.</w:t>
      </w:r>
      <w:r>
        <w:rPr>
          <w:rFonts w:ascii="Arial" w:hAnsi="Arial"/>
          <w:sz w:val="24"/>
        </w:rPr>
        <w:t xml:space="preserve"> Wherever the blueprint says "[YOU SUPPLY]", I left a short, sized slot instead of inventing a fact. I made no claim about what you felt, said to your supervisor, or wrote down.</w:t>
      </w:r>
    </w:p>
    <w:p>
      <w:pPr>
        <w:pStyle w:val="ListNumber"/>
      </w:pPr>
      <w:r>
        <w:rPr>
          <w:rFonts w:ascii="Arial" w:hAnsi="Arial"/>
          <w:b/>
          <w:sz w:val="24"/>
        </w:rPr>
        <w:t>Typo caught and fixed</w:t>
      </w:r>
      <w:r>
        <w:rPr>
          <w:rFonts w:ascii="Arial" w:hAnsi="Arial"/>
          <w:sz w:val="24"/>
        </w:rPr>
        <w:t xml:space="preserve"> in my own draft: "Nuclear Medicine and Midwifery Council" is now "Nursing and Midwifery Council (NMC)".</w:t>
      </w:r>
    </w:p>
    <w:p>
      <w:pPr>
        <w:pStyle w:val="ListNumber"/>
      </w:pPr>
      <w:r>
        <w:rPr>
          <w:rFonts w:ascii="Arial" w:hAnsi="Arial"/>
          <w:b/>
          <w:sz w:val="24"/>
        </w:rPr>
        <w:t>In-text citations and references.</w:t>
      </w:r>
      <w:r>
        <w:rPr>
          <w:rFonts w:ascii="Arial" w:hAnsi="Arial"/>
          <w:sz w:val="24"/>
        </w:rPr>
        <w:t xml:space="preserve"> Every in-text citation has a matching Harvard entry, and every entry is cited. I checked this with a script. Statutes are cited by section or regulation.</w:t>
      </w:r>
    </w:p>
    <w:p>
      <w:pPr>
        <w:pStyle w:val="ListNumber"/>
      </w:pPr>
      <w:r>
        <w:rPr>
          <w:rFonts w:ascii="Arial" w:hAnsi="Arial"/>
          <w:b/>
          <w:sz w:val="24"/>
        </w:rPr>
        <w:t>Unsupported statements audited and referenced.</w:t>
      </w:r>
      <w:r>
        <w:rPr>
          <w:rFonts w:ascii="Arial" w:hAnsi="Arial"/>
          <w:sz w:val="24"/>
        </w:rPr>
        <w:t xml:space="preserve"> I went through every sentence and added a source wherever a factual claim had none:</w:t>
      </w:r>
    </w:p>
    <w:p>
      <w:pPr>
        <w:pStyle w:val="ListBullet"/>
      </w:pPr>
      <w:r>
        <w:rPr>
          <w:rFonts w:ascii="Arial" w:hAnsi="Arial"/>
          <w:sz w:val="24"/>
        </w:rPr>
        <w:t>Defensive practice under fear of blame (Berwick, 2013); the limits of Schön's model in writing (Finlay, 2008); hospital-based teamwork evidence (Reeves et al., 2017).</w:t>
      </w:r>
    </w:p>
    <w:p>
      <w:pPr>
        <w:pStyle w:val="ListBullet"/>
      </w:pPr>
      <w:r>
        <w:rPr>
          <w:rFonts w:ascii="Arial" w:hAnsi="Arial"/>
          <w:sz w:val="24"/>
        </w:rPr>
        <w:t>No AI-specific statute, and the clinical safety standards (MHRA, 2023; NHS England, 2018); power gradients and unheeded concerns (Francis, 2015).</w:t>
      </w:r>
    </w:p>
    <w:p>
      <w:pPr>
        <w:pStyle w:val="ListBullet"/>
      </w:pPr>
      <w:r>
        <w:rPr>
          <w:rFonts w:ascii="Arial" w:hAnsi="Arial"/>
          <w:sz w:val="24"/>
        </w:rPr>
        <w:t>The quality of SBAR evidence (Müller et al., 2018, new); plan-do-study-act (Langley et al., 2009, new); the anchoring explanation in 2.6 (Tversky and Kahneman, 1974; Parasuraman and Manzey, 2010).</w:t>
      </w:r>
    </w:p>
    <w:p>
      <w:pPr>
        <w:pStyle w:val="ListBullet"/>
      </w:pPr>
      <w:r>
        <w:rPr>
          <w:rFonts w:ascii="Arial" w:hAnsi="Arial"/>
          <w:sz w:val="24"/>
        </w:rPr>
        <w:t>UK GDPR articles named in text; NMC and Home Office pages for the career plan (new, both "no date" web sources to verify).</w:t>
      </w:r>
    </w:p>
    <w:p>
      <w:pPr>
        <w:pStyle w:val="ListBullet"/>
      </w:pPr>
      <w:r>
        <w:rPr>
          <w:rFonts w:ascii="Arial" w:hAnsi="Arial"/>
          <w:sz w:val="24"/>
        </w:rPr>
        <w:t>Some statements are my own reasoning or experience (for example, "nothing I know of requires..."). I deliberately left those uncited, worded as my own view, because inventing a source for them would be worse than none. A few were softened ("in the sources I read") where I could not support a general claim.</w:t>
      </w:r>
    </w:p>
    <w:p>
      <w:pPr>
        <w:pStyle w:val="Heading2"/>
      </w:pPr>
      <w:r>
        <w:t>4. What you need to do before submitting</w:t>
      </w:r>
    </w:p>
    <w:p>
      <w:r>
        <w:rPr>
          <w:rFonts w:ascii="Arial" w:hAnsi="Arial"/>
          <w:b/>
          <w:sz w:val="24"/>
        </w:rPr>
        <w:t>A. Fill the [YOU SUPPLY] slots (about 15):</w:t>
      </w:r>
      <w:r>
        <w:rPr>
          <w:rFonts w:ascii="Arial" w:hAnsi="Arial"/>
          <w:sz w:val="24"/>
        </w:rPr>
        <w:t xml:space="preserve"> three evidence-of-change examples (1.2), the care-home incident (1.3), what you did with the entry (2.2), what you said to your supervisor and when (2.3), what made you feel able to speak (2.3), whether you wrote anything down (2.3), your feelings and your prior assumption (2.6), strengths and gaps evidence (3.2), your graduation date (3.3), and the title-block role and date.</w:t>
      </w:r>
    </w:p>
    <w:p>
      <w:r>
        <w:rPr>
          <w:rFonts w:ascii="Arial" w:hAnsi="Arial"/>
          <w:b/>
          <w:sz w:val="24"/>
        </w:rPr>
        <w:t>B. Verify every source.</w:t>
      </w:r>
      <w:r>
        <w:rPr>
          <w:rFonts w:ascii="Arial" w:hAnsi="Arial"/>
          <w:sz w:val="24"/>
        </w:rPr>
        <w:t xml:space="preserve"> I wrote these from memory, and the blueprint says to treat all sources as candidates. Verify the details of every entry. Check these most closely (the new entries Müller et al. 2018, Langley et al. 2009, NMC and Home Office included):</w:t>
      </w:r>
    </w:p>
    <w:p>
      <w:pPr>
        <w:pStyle w:val="ListBullet"/>
      </w:pPr>
      <w:r>
        <w:rPr>
          <w:rFonts w:ascii="Arial" w:hAnsi="Arial"/>
          <w:sz w:val="24"/>
        </w:rPr>
        <w:t>Dratsch et al. (2023) and the "less experienced readers" claim.</w:t>
      </w:r>
    </w:p>
    <w:p>
      <w:pPr>
        <w:pStyle w:val="ListBullet"/>
      </w:pPr>
      <w:r>
        <w:rPr>
          <w:rFonts w:ascii="Arial" w:hAnsi="Arial"/>
          <w:sz w:val="24"/>
        </w:rPr>
        <w:t>Seyyed-Kalantari et al. (2021).</w:t>
      </w:r>
    </w:p>
    <w:p>
      <w:pPr>
        <w:pStyle w:val="ListBullet"/>
      </w:pPr>
      <w:r>
        <w:rPr>
          <w:rFonts w:ascii="Arial" w:hAnsi="Arial"/>
          <w:sz w:val="24"/>
        </w:rPr>
        <w:t>MHRA (2023), NHS England (2018, 2023), ICO (no date), and Skills for Care (2025): titles, years and URLs.</w:t>
      </w:r>
    </w:p>
    <w:p>
      <w:pPr>
        <w:pStyle w:val="ListBullet"/>
      </w:pPr>
      <w:r>
        <w:rPr>
          <w:rFonts w:ascii="Arial" w:hAnsi="Arial"/>
          <w:sz w:val="24"/>
        </w:rPr>
        <w:t xml:space="preserve">DHSC (2025) </w:t>
      </w:r>
      <w:r>
        <w:rPr>
          <w:rFonts w:ascii="Arial" w:hAnsi="Arial"/>
          <w:i/>
          <w:sz w:val="24"/>
        </w:rPr>
        <w:t>10 Year Health Plan</w:t>
      </w:r>
      <w:r>
        <w:rPr>
          <w:rFonts w:ascii="Arial" w:hAnsi="Arial"/>
          <w:sz w:val="24"/>
        </w:rPr>
        <w:t xml:space="preserve"> and the NHS Constitution edition.</w:t>
      </w:r>
    </w:p>
    <w:p>
      <w:pPr>
        <w:pStyle w:val="ListBullet"/>
      </w:pPr>
      <w:r>
        <w:rPr>
          <w:rFonts w:ascii="Arial" w:hAnsi="Arial"/>
          <w:sz w:val="24"/>
        </w:rPr>
        <w:t>Ministry of Health and Population (2023).</w:t>
      </w:r>
    </w:p>
    <w:p>
      <w:pPr>
        <w:pStyle w:val="ListBullet"/>
      </w:pPr>
      <w:r>
        <w:rPr>
          <w:rFonts w:ascii="Arial" w:hAnsi="Arial"/>
          <w:sz w:val="24"/>
        </w:rPr>
        <w:t>The Data (Use and Access) Act 2025 reform of Art. 22, and its legislation.gov.uk reference.</w:t>
      </w:r>
    </w:p>
    <w:p>
      <w:pPr>
        <w:pStyle w:val="ListBullet"/>
      </w:pPr>
      <w:r>
        <w:rPr>
          <w:rFonts w:ascii="Arial" w:hAnsi="Arial"/>
          <w:sz w:val="24"/>
        </w:rPr>
        <w:t>HCPC (2016) and NMC (2018) as comparator standards.</w:t>
      </w:r>
    </w:p>
    <w:p>
      <w:pPr>
        <w:pStyle w:val="ListBullet"/>
      </w:pPr>
      <w:r>
        <w:rPr>
          <w:rFonts w:ascii="Arial" w:hAnsi="Arial"/>
          <w:sz w:val="24"/>
        </w:rPr>
        <w:t>Add access dates where [date] appears.</w:t>
      </w:r>
    </w:p>
    <w:p>
      <w:r>
        <w:rPr>
          <w:rFonts w:ascii="Arial" w:hAnsi="Arial"/>
          <w:b/>
          <w:sz w:val="24"/>
        </w:rPr>
        <w:t>C. Confirm assumptions.</w:t>
      </w:r>
    </w:p>
    <w:p>
      <w:pPr>
        <w:pStyle w:val="ListBullet"/>
      </w:pPr>
      <w:r>
        <w:rPr>
          <w:rFonts w:ascii="Arial" w:hAnsi="Arial"/>
          <w:b/>
          <w:sz w:val="24"/>
        </w:rPr>
        <w:t>Jurisdiction.</w:t>
      </w:r>
      <w:r>
        <w:rPr>
          <w:rFonts w:ascii="Arial" w:hAnsi="Arial"/>
          <w:sz w:val="24"/>
        </w:rPr>
        <w:t xml:space="preserve"> I assumed England. Confirm that is where the placement was; if not, the law and regulator names change.</w:t>
      </w:r>
    </w:p>
    <w:p>
      <w:pPr>
        <w:pStyle w:val="ListBullet"/>
      </w:pPr>
      <w:r>
        <w:rPr>
          <w:rFonts w:ascii="Arial" w:hAnsi="Arial"/>
          <w:b/>
          <w:sz w:val="24"/>
        </w:rPr>
        <w:t>Goal.</w:t>
      </w:r>
      <w:r>
        <w:rPr>
          <w:rFonts w:ascii="Arial" w:hAnsi="Arial"/>
          <w:sz w:val="24"/>
        </w:rPr>
        <w:t xml:space="preserve"> Confirm that senior care assistant or team leader is truly your 12-month goal.</w:t>
      </w:r>
    </w:p>
    <w:p>
      <w:pPr>
        <w:pStyle w:val="ListBullet"/>
      </w:pPr>
      <w:r>
        <w:rPr>
          <w:rFonts w:ascii="Arial" w:hAnsi="Arial"/>
          <w:b/>
          <w:sz w:val="24"/>
        </w:rPr>
        <w:t>Nepal source.</w:t>
      </w:r>
      <w:r>
        <w:rPr>
          <w:rFonts w:ascii="Arial" w:hAnsi="Arial"/>
          <w:sz w:val="24"/>
        </w:rPr>
        <w:t xml:space="preserve"> I cited one government strategy; the blueprint asks you to find a suitable one.</w:t>
      </w:r>
    </w:p>
    <w:p>
      <w:pPr>
        <w:pStyle w:val="ListBullet"/>
      </w:pPr>
      <w:r>
        <w:rPr>
          <w:rFonts w:ascii="Arial" w:hAnsi="Arial"/>
          <w:b/>
          <w:sz w:val="24"/>
        </w:rPr>
        <w:t>Reference count.</w:t>
      </w:r>
      <w:r>
        <w:rPr>
          <w:rFonts w:ascii="Arial" w:hAnsi="Arial"/>
          <w:sz w:val="24"/>
        </w:rPr>
        <w:t xml:space="preserve"> There are about 55 entries including statutes and web pages, which is above the blueprint's 35 to 45. About 10 are statutes or web guidance. Cut any you cannot defend, and check the word count after any cut.</w:t>
      </w:r>
    </w:p>
    <w:p>
      <w:pPr>
        <w:pStyle w:val="ListBullet"/>
      </w:pPr>
      <w:r>
        <w:rPr>
          <w:rFonts w:ascii="Arial" w:hAnsi="Arial"/>
          <w:b/>
          <w:sz w:val="24"/>
        </w:rPr>
        <w:t>Course reading lists.</w:t>
      </w:r>
      <w:r>
        <w:rPr>
          <w:rFonts w:ascii="Arial" w:hAnsi="Arial"/>
          <w:sz w:val="24"/>
        </w:rPr>
        <w:t xml:space="preserve"> The blueprint says citing recommended readings signals alignment (reading topics, Appendix B Q2). I could not do this, because the lists were not provided.</w:t>
      </w:r>
    </w:p>
    <w:p>
      <w:r>
        <w:rPr>
          <w:rFonts w:ascii="Arial" w:hAnsi="Arial"/>
          <w:b/>
          <w:sz w:val="24"/>
        </w:rPr>
        <w:t>D. Remaining blueprint steps.</w:t>
      </w:r>
      <w:r>
        <w:rPr>
          <w:rFonts w:ascii="Arial" w:hAnsi="Arial"/>
          <w:sz w:val="24"/>
        </w:rPr>
        <w:t xml:space="preserve"> Run a similarity check early, read the draft aloud, confirm the word-count rule (tables and citations), and keep the written permission emails saved.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Arial" w:hAnsi="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ascii="Arial" w:hAnsi="Arial"/>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egislation.gov.uk/ukpga/2014/23" TargetMode="External"/><Relationship Id="rId10" Type="http://schemas.openxmlformats.org/officeDocument/2006/relationships/hyperlink" Target="https://www.legislation.gov.uk/ukpga/2018/12" TargetMode="External"/><Relationship Id="rId11" Type="http://schemas.openxmlformats.org/officeDocument/2006/relationships/hyperlink" Target="https://www.legislation.gov.uk/ukpga/2025/18" TargetMode="External"/><Relationship Id="rId12" Type="http://schemas.openxmlformats.org/officeDocument/2006/relationships/hyperlink" Target="https://www.legislation.gov.uk/uksi/2014/2936" TargetMode="External"/><Relationship Id="rId13" Type="http://schemas.openxmlformats.org/officeDocument/2006/relationships/hyperlink" Target="https://www.gov.uk/graduate-visa" TargetMode="External"/><Relationship Id="rId14" Type="http://schemas.openxmlformats.org/officeDocument/2006/relationships/hyperlink" Target="https://ico.org.uk" TargetMode="External"/><Relationship Id="rId15" Type="http://schemas.openxmlformats.org/officeDocument/2006/relationships/hyperlink" Target="https://www.legislation.gov.uk/uksi/2002/618" TargetMode="External"/><Relationship Id="rId16" Type="http://schemas.openxmlformats.org/officeDocument/2006/relationships/hyperlink" Target="https://www.gov.uk" TargetMode="External"/><Relationship Id="rId17" Type="http://schemas.openxmlformats.org/officeDocument/2006/relationships/hyperlink" Target="https://www.legislation.gov.uk/ukpga/2005/9" TargetMode="External"/><Relationship Id="rId18" Type="http://schemas.openxmlformats.org/officeDocument/2006/relationships/hyperlink" Target="https://www.nmc.org.uk" TargetMode="External"/><Relationship Id="rId19" Type="http://schemas.openxmlformats.org/officeDocument/2006/relationships/hyperlink" Target="https://www.skillsforcare.org.uk" TargetMode="External"/><Relationship Id="rId20" Type="http://schemas.openxmlformats.org/officeDocument/2006/relationships/hyperlink" Target="https://www.legislation.gov.uk/eur/2016/6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