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FB04E8" w14:textId="77777777" w:rsidR="008C2FB5" w:rsidRPr="008C2FB5" w:rsidRDefault="008C2FB5" w:rsidP="000D7752">
      <w:pPr>
        <w:spacing w:before="100" w:beforeAutospacing="1" w:after="100" w:afterAutospacing="1"/>
        <w:jc w:val="both"/>
        <w:rPr>
          <w:rFonts w:eastAsia="Times New Roman" w:cs="Arial"/>
          <w:szCs w:val="24"/>
        </w:rPr>
      </w:pPr>
      <w:r w:rsidRPr="008C2FB5">
        <w:rPr>
          <w:rFonts w:eastAsia="Times New Roman" w:cs="Arial"/>
          <w:b/>
          <w:bCs/>
          <w:szCs w:val="24"/>
        </w:rPr>
        <w:t>Task 1: Reflective Learning</w:t>
      </w:r>
    </w:p>
    <w:p w14:paraId="23F826E1" w14:textId="77777777" w:rsidR="008C2FB5" w:rsidRPr="008C2FB5" w:rsidRDefault="008C2FB5" w:rsidP="000D7752">
      <w:pPr>
        <w:spacing w:before="100" w:beforeAutospacing="1" w:after="100" w:afterAutospacing="1"/>
        <w:jc w:val="both"/>
        <w:rPr>
          <w:rFonts w:eastAsia="Times New Roman" w:cs="Arial"/>
          <w:szCs w:val="24"/>
        </w:rPr>
      </w:pPr>
      <w:r w:rsidRPr="008C2FB5">
        <w:rPr>
          <w:rFonts w:eastAsia="Times New Roman" w:cs="Arial"/>
          <w:szCs w:val="24"/>
        </w:rPr>
        <w:t>In Activity 1, social skills were my strongest emotional intelligence component (Goleman, 1998) and self-awareness was my weakest. In a group project, I missed a teammate’s concern that tasks were shared unevenly. They carried extra work, and we lost the chance to fix it early. My thesis is that I build rapport well but do not always notice how my actions affect others.</w:t>
      </w:r>
    </w:p>
    <w:p w14:paraId="01F83D1D" w14:textId="77777777" w:rsidR="008C2FB5" w:rsidRPr="008C2FB5" w:rsidRDefault="008C2FB5" w:rsidP="000D7752">
      <w:pPr>
        <w:spacing w:before="100" w:beforeAutospacing="1" w:after="100" w:afterAutospacing="1"/>
        <w:jc w:val="both"/>
        <w:rPr>
          <w:rFonts w:eastAsia="Times New Roman" w:cs="Arial"/>
          <w:szCs w:val="24"/>
        </w:rPr>
      </w:pPr>
      <w:r w:rsidRPr="008C2FB5">
        <w:rPr>
          <w:rFonts w:eastAsia="Times New Roman" w:cs="Arial"/>
          <w:szCs w:val="24"/>
        </w:rPr>
        <w:t>In Goleman’s (1998) terms, strong social skill without self-awareness means I influence people without checking how I come across. My default style resembled the affiliative one, which Goleman (2000) warns can avoid difficult conversations. It did not fit: the group needed challenge, not harmony. I also delegated tasks but kept the final say, which probably left teammates little room to speak. This view has limits. Antonakis, Ashkanasy and Dasborough (2009) argue that emotional intelligence is poorly defined and measured, so my self-rating may depend on the model used.</w:t>
      </w:r>
    </w:p>
    <w:p w14:paraId="2B4D3DEE" w14:textId="77777777" w:rsidR="008C2FB5" w:rsidRPr="008C2FB5" w:rsidRDefault="008C2FB5" w:rsidP="000D7752">
      <w:pPr>
        <w:spacing w:before="100" w:beforeAutospacing="1" w:after="100" w:afterAutospacing="1"/>
        <w:jc w:val="both"/>
        <w:rPr>
          <w:rFonts w:eastAsia="Times New Roman" w:cs="Arial"/>
          <w:szCs w:val="24"/>
        </w:rPr>
      </w:pPr>
      <w:r w:rsidRPr="008C2FB5">
        <w:rPr>
          <w:rFonts w:eastAsia="Times New Roman" w:cs="Arial"/>
          <w:szCs w:val="24"/>
        </w:rPr>
        <w:t>My strength is real: teammates often asked me to clarify task requirements and solve technical problems. The gap had a cost. A teammate carried a problem alone, and trust built more on ability than benevolence (Mayer, Davis and Schoorman, 1995) gave them less reason to tell me.</w:t>
      </w:r>
    </w:p>
    <w:p w14:paraId="4D4D9660" w14:textId="77777777" w:rsidR="008C2FB5" w:rsidRPr="008C2FB5" w:rsidRDefault="008C2FB5" w:rsidP="000D7752">
      <w:pPr>
        <w:spacing w:before="100" w:beforeAutospacing="1" w:after="100" w:afterAutospacing="1"/>
        <w:jc w:val="both"/>
        <w:rPr>
          <w:rFonts w:eastAsia="Times New Roman" w:cs="Arial"/>
          <w:szCs w:val="24"/>
        </w:rPr>
      </w:pPr>
      <w:r w:rsidRPr="008C2FB5">
        <w:rPr>
          <w:rFonts w:eastAsia="Times New Roman" w:cs="Arial"/>
          <w:szCs w:val="24"/>
        </w:rPr>
        <w:t xml:space="preserve">I once believed leadership was a natural trait. Activity 1 and the workbook changed my mind: self-awareness can be developed, and noticing others </w:t>
      </w:r>
      <w:r w:rsidRPr="008C2FB5">
        <w:rPr>
          <w:rFonts w:eastAsia="Times New Roman" w:cs="Arial"/>
          <w:szCs w:val="24"/>
        </w:rPr>
        <w:t>achieves little unless I act on it. I now see empathy as information for better decisions, not just being kind (Goleman, 1998).</w:t>
      </w:r>
    </w:p>
    <w:p w14:paraId="348EB339" w14:textId="77777777" w:rsidR="008C2FB5" w:rsidRPr="008C2FB5" w:rsidRDefault="008C2FB5" w:rsidP="000D7752">
      <w:pPr>
        <w:spacing w:before="100" w:beforeAutospacing="1" w:after="100" w:afterAutospacing="1"/>
        <w:jc w:val="both"/>
        <w:rPr>
          <w:rFonts w:eastAsia="Times New Roman" w:cs="Arial"/>
          <w:szCs w:val="24"/>
        </w:rPr>
      </w:pPr>
      <w:r w:rsidRPr="008C2FB5">
        <w:rPr>
          <w:rFonts w:eastAsia="Times New Roman" w:cs="Arial"/>
          <w:szCs w:val="24"/>
        </w:rPr>
        <w:t>My potential is credible but unproven, provided I seek the feedback I lack. During the next team project, a trusted teammate will observe two meetings and give written feedback on how I respond to concerns, reviewed after four weeks. Success means a teammate raising a concern with me unprompted.</w:t>
      </w:r>
    </w:p>
    <w:p>
      <w:pPr>
        <w:pStyle w:val="Heading1"/>
      </w:pPr>
      <w:r>
        <w:t>Task 2: Summative Plan</w:t>
      </w:r>
    </w:p>
    <w:p>
      <w:r>
        <w:rPr>
          <w:b/>
        </w:rPr>
        <w:t>Overview</w:t>
      </w:r>
    </w:p>
    <w:p>
      <w:r>
        <w:t>I will argue that leadership and management are interdependent, and that how leadership is perceived depends partly on who the leader is. I will test this through Alan Mulally at Ford (AC1) and Ursula Burns, former chief executive of Xerox (AC3).</w:t>
      </w:r>
    </w:p>
    <w:p>
      <w:r>
        <w:rPr>
          <w:b/>
        </w:rPr>
        <w:t>AC1: Understanding Leadership</w:t>
      </w:r>
    </w:p>
    <w:p>
      <w:r>
        <w:t>Kotter (1990) separates management (coping with complexity through planning and control) from leadership (coping with change through direction and alignment). Mintzberg (1973) challenges this: observed managers performed interpersonal, informational and decisional roles, so leading is part of managing. My position is that the two are distinct functions that one person usually performs together, so definitions must allow for overlap.</w:t>
      </w:r>
    </w:p>
    <w:p>
      <w:r>
        <w:t>Mulally’s turnaround of Ford from 2006 tests this. His weekly business plan reviews combined vision (a single “One Ford” direction) with management discipline (shared data, accountability and process), so the case shows whether change depended on both (Hoffman, 2012). Hoffman had authorised access to Ford, so I will check his account against independent business-press and academic analysis and consider criticism of Mulally’s record, not only praise.</w:t>
      </w:r>
    </w:p>
    <w:p>
      <w:r>
        <w:rPr>
          <w:b/>
        </w:rPr>
        <w:t>AC3: Diverse Leader</w:t>
      </w:r>
    </w:p>
    <w:p>
      <w:r>
        <w:t>I chose Burns for three reasons: she was the first Black woman to lead a Fortune 500 company (Livingston, Rosette and Washington, 2012); she has written about her own experience (Burns, 2021); and her record includes both achievements and criticism, which allows evaluation, not admiration. I rejected Mulally for AC3 to avoid overlap.</w:t>
      </w:r>
    </w:p>
    <w:p>
      <w:r>
        <w:t>My main lens is Crenshaw’s (1989) intersectionality, which treats race and gender as combined, not separate, influences. Livingston et al. (2012) and Rosette et al. (2016) will show how race and gender together affect how dominant or agentic leaders are judged, so Burns’s authority may have been perceived differently from that of white women or Black men. I will use her decisions and results as evidence, and treat Burns’s own account (2021) with caution because it is self-reported.</w:t>
      </w:r>
    </w:p>
    <w:p>
      <w:r>
        <w:t>Limits: intersectionality is difficult to apply to one case; experimental studies use fictional leaders; and one successful leader does not show that structural barriers have gone. I will analyse her decisions in context and avoid treating her as a representative of every Black woman leader.</w:t>
      </w:r>
    </w:p>
    <w:p>
      <w:r>
        <w:rPr>
          <w:b/>
        </w:rPr>
        <w:t>Integration and risks</w:t>
      </w:r>
    </w:p>
    <w:p>
      <w:r>
        <w:t>Both cases test one claim: if leadership and management overlap, successful leaders need reliable systems, and perceptions of authority are shaped by identity. The main risks are hero narratives from sources close to the leaders, reduced by independent analysis, and over-attributing outcomes to identity or personality, reduced by focusing on decisions and evidence. The sources disagree: Kotter divides leadership from management, whereas Mintzberg finds them combined, and I will weigh classic arguments against more recent research.</w:t>
      </w:r>
    </w:p>
    <w:p>
      <w:pPr>
        <w:pStyle w:val="Heading1"/>
      </w:pPr>
      <w:r>
        <w:t>Reference List</w:t>
      </w:r>
    </w:p>
    <w:p>
      <w:r>
        <w:t>Antonakis, J., Ashkanasy, N.M. and Dasborough, M.T. (2009) 'Does leadership need emotional intelligence?', The Leadership Quarterly, 20(2), pp. 247–261.</w:t>
      </w:r>
    </w:p>
    <w:p>
      <w:r>
        <w:t>Burns, U. (2021) Where you are is not who you are: a memoir. New York: Amistad.</w:t>
      </w:r>
    </w:p>
    <w:p>
      <w:r>
        <w:t>Crenshaw, K. (1989) 'Demarginalizing the intersection of race and sex: a black feminist critique of antidiscrimination doctrine, feminist theory and antiracist politics', University of Chicago Legal Forum, 1989(1), pp. 139–167.</w:t>
      </w:r>
    </w:p>
    <w:p>
      <w:r>
        <w:t>Goleman, D. (1998) 'What makes a leader?', Harvard Business Review, 76(6), pp. 93–102.</w:t>
      </w:r>
    </w:p>
    <w:p>
      <w:r>
        <w:t>Goleman, D. (2000) 'Leadership that gets results', Harvard Business Review, 78(2), pp. 78–90.</w:t>
      </w:r>
    </w:p>
    <w:p>
      <w:r>
        <w:t>Hoffman, B.G. (2012) American icon: Alan Mulally and the fight to save Ford Motor Company. New York: Crown Business.</w:t>
      </w:r>
    </w:p>
    <w:p>
      <w:r>
        <w:t>Kotter, J.P. (1990) 'What leaders really do', Harvard Business Review, 68(3), pp. 103–111.</w:t>
      </w:r>
    </w:p>
    <w:p>
      <w:r>
        <w:t>Livingston, R.W., Rosette, A.S. and Washington, E.F. (2012) 'Can an agentic Black woman get ahead? The impact of race and interpersonal dominance on perceptions of female leaders', Psychological Science, 23(4), pp. 354–358. doi:10.1177/0956797611428079.</w:t>
      </w:r>
    </w:p>
    <w:p>
      <w:r>
        <w:t>Mayer, R.C., Davis, J.H. and Schoorman, F.D. (1995) 'An integrative model of organizational trust', Academy of Management Review, 20(3), pp. 709–734.</w:t>
      </w:r>
    </w:p>
    <w:p>
      <w:r>
        <w:t>Mintzberg, H. (1973) The nature of managerial work. New York: Harper &amp; Row.</w:t>
      </w:r>
    </w:p>
    <w:p>
      <w:r>
        <w:t>Rosette, A.S., Koval, C.Z., Ma, A. and Livingston, R. (2016) 'Race matters for women leaders: intersectional effects on agentic deficiencies and penalties', The Leadership Quarterly, 27(3), pp. 429–445.</w:t>
      </w:r>
    </w:p>
    <w:sectPr w:rsidR="008D4E83" w:rsidRPr="000D775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7752"/>
    <w:rsid w:val="0015074B"/>
    <w:rsid w:val="0029639D"/>
    <w:rsid w:val="00326F90"/>
    <w:rsid w:val="007039BC"/>
    <w:rsid w:val="008C2FB5"/>
    <w:rsid w:val="008D4E83"/>
    <w:rsid w:val="00A22A1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18A941"/>
  <w14:defaultImageDpi w14:val="300"/>
  <w15:docId w15:val="{40EDB19C-C84E-4BF6-8516-DBB3CC009A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pPr>
    <w:rPr>
      <w:rFonts w:ascii="Arial" w:eastAsia="Arial" w:hAnsi="Arial"/>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b/>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A22A14"/>
    <w:pPr>
      <w:spacing w:before="100" w:beforeAutospacing="1" w:after="100" w:afterAutospacing="1" w:line="240" w:lineRule="auto"/>
    </w:pPr>
    <w:rPr>
      <w:rFonts w:ascii="Times New Roman" w:eastAsia="Times New Roman" w:hAnsi="Times New Roman" w:cs="Times New Roman"/>
      <w:szCs w:val="24"/>
    </w:rPr>
  </w:style>
  <w:style w:type="character" w:styleId="Hyperlink">
    <w:name w:val="Hyperlink"/>
    <w:basedOn w:val="DefaultParagraphFont"/>
    <w:uiPriority w:val="99"/>
    <w:semiHidden/>
    <w:unhideWhenUsed/>
    <w:rsid w:val="00A22A1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1475058">
      <w:bodyDiv w:val="1"/>
      <w:marLeft w:val="0"/>
      <w:marRight w:val="0"/>
      <w:marTop w:val="0"/>
      <w:marBottom w:val="0"/>
      <w:divBdr>
        <w:top w:val="none" w:sz="0" w:space="0" w:color="auto"/>
        <w:left w:val="none" w:sz="0" w:space="0" w:color="auto"/>
        <w:bottom w:val="none" w:sz="0" w:space="0" w:color="auto"/>
        <w:right w:val="none" w:sz="0" w:space="0" w:color="auto"/>
      </w:divBdr>
    </w:div>
    <w:div w:id="568615130">
      <w:bodyDiv w:val="1"/>
      <w:marLeft w:val="0"/>
      <w:marRight w:val="0"/>
      <w:marTop w:val="0"/>
      <w:marBottom w:val="0"/>
      <w:divBdr>
        <w:top w:val="none" w:sz="0" w:space="0" w:color="auto"/>
        <w:left w:val="none" w:sz="0" w:space="0" w:color="auto"/>
        <w:bottom w:val="none" w:sz="0" w:space="0" w:color="auto"/>
        <w:right w:val="none" w:sz="0" w:space="0" w:color="auto"/>
      </w:divBdr>
    </w:div>
    <w:div w:id="852690460">
      <w:bodyDiv w:val="1"/>
      <w:marLeft w:val="0"/>
      <w:marRight w:val="0"/>
      <w:marTop w:val="0"/>
      <w:marBottom w:val="0"/>
      <w:divBdr>
        <w:top w:val="none" w:sz="0" w:space="0" w:color="auto"/>
        <w:left w:val="none" w:sz="0" w:space="0" w:color="auto"/>
        <w:bottom w:val="none" w:sz="0" w:space="0" w:color="auto"/>
        <w:right w:val="none" w:sz="0" w:space="0" w:color="auto"/>
      </w:divBdr>
    </w:div>
    <w:div w:id="1147629995">
      <w:bodyDiv w:val="1"/>
      <w:marLeft w:val="0"/>
      <w:marRight w:val="0"/>
      <w:marTop w:val="0"/>
      <w:marBottom w:val="0"/>
      <w:divBdr>
        <w:top w:val="none" w:sz="0" w:space="0" w:color="auto"/>
        <w:left w:val="none" w:sz="0" w:space="0" w:color="auto"/>
        <w:bottom w:val="none" w:sz="0" w:space="0" w:color="auto"/>
        <w:right w:val="none" w:sz="0" w:space="0" w:color="auto"/>
      </w:divBdr>
    </w:div>
    <w:div w:id="1559241134">
      <w:bodyDiv w:val="1"/>
      <w:marLeft w:val="0"/>
      <w:marRight w:val="0"/>
      <w:marTop w:val="0"/>
      <w:marBottom w:val="0"/>
      <w:divBdr>
        <w:top w:val="none" w:sz="0" w:space="0" w:color="auto"/>
        <w:left w:val="none" w:sz="0" w:space="0" w:color="auto"/>
        <w:bottom w:val="none" w:sz="0" w:space="0" w:color="auto"/>
        <w:right w:val="none" w:sz="0" w:space="0" w:color="auto"/>
      </w:divBdr>
    </w:div>
    <w:div w:id="1797916881">
      <w:bodyDiv w:val="1"/>
      <w:marLeft w:val="0"/>
      <w:marRight w:val="0"/>
      <w:marTop w:val="0"/>
      <w:marBottom w:val="0"/>
      <w:divBdr>
        <w:top w:val="none" w:sz="0" w:space="0" w:color="auto"/>
        <w:left w:val="none" w:sz="0" w:space="0" w:color="auto"/>
        <w:bottom w:val="none" w:sz="0" w:space="0" w:color="auto"/>
        <w:right w:val="none" w:sz="0" w:space="0" w:color="auto"/>
      </w:divBdr>
    </w:div>
    <w:div w:id="1855461795">
      <w:bodyDiv w:val="1"/>
      <w:marLeft w:val="0"/>
      <w:marRight w:val="0"/>
      <w:marTop w:val="0"/>
      <w:marBottom w:val="0"/>
      <w:divBdr>
        <w:top w:val="none" w:sz="0" w:space="0" w:color="auto"/>
        <w:left w:val="none" w:sz="0" w:space="0" w:color="auto"/>
        <w:bottom w:val="none" w:sz="0" w:space="0" w:color="auto"/>
        <w:right w:val="none" w:sz="0" w:space="0" w:color="auto"/>
      </w:divBdr>
    </w:div>
    <w:div w:id="1856773024">
      <w:bodyDiv w:val="1"/>
      <w:marLeft w:val="0"/>
      <w:marRight w:val="0"/>
      <w:marTop w:val="0"/>
      <w:marBottom w:val="0"/>
      <w:divBdr>
        <w:top w:val="none" w:sz="0" w:space="0" w:color="auto"/>
        <w:left w:val="none" w:sz="0" w:space="0" w:color="auto"/>
        <w:bottom w:val="none" w:sz="0" w:space="0" w:color="auto"/>
        <w:right w:val="none" w:sz="0" w:space="0" w:color="auto"/>
      </w:divBdr>
    </w:div>
    <w:div w:id="1875580348">
      <w:bodyDiv w:val="1"/>
      <w:marLeft w:val="0"/>
      <w:marRight w:val="0"/>
      <w:marTop w:val="0"/>
      <w:marBottom w:val="0"/>
      <w:divBdr>
        <w:top w:val="none" w:sz="0" w:space="0" w:color="auto"/>
        <w:left w:val="none" w:sz="0" w:space="0" w:color="auto"/>
        <w:bottom w:val="none" w:sz="0" w:space="0" w:color="auto"/>
        <w:right w:val="none" w:sz="0" w:space="0" w:color="auto"/>
      </w:divBdr>
      <w:divsChild>
        <w:div w:id="841045424">
          <w:marLeft w:val="0"/>
          <w:marRight w:val="0"/>
          <w:marTop w:val="0"/>
          <w:marBottom w:val="0"/>
          <w:divBdr>
            <w:top w:val="none" w:sz="0" w:space="0" w:color="auto"/>
            <w:left w:val="none" w:sz="0" w:space="0" w:color="auto"/>
            <w:bottom w:val="none" w:sz="0" w:space="0" w:color="auto"/>
            <w:right w:val="none" w:sz="0" w:space="0" w:color="auto"/>
          </w:divBdr>
          <w:divsChild>
            <w:div w:id="1875538181">
              <w:marLeft w:val="0"/>
              <w:marRight w:val="0"/>
              <w:marTop w:val="0"/>
              <w:marBottom w:val="0"/>
              <w:divBdr>
                <w:top w:val="none" w:sz="0" w:space="0" w:color="auto"/>
                <w:left w:val="none" w:sz="0" w:space="0" w:color="auto"/>
                <w:bottom w:val="none" w:sz="0" w:space="0" w:color="auto"/>
                <w:right w:val="none" w:sz="0" w:space="0" w:color="auto"/>
              </w:divBdr>
              <w:divsChild>
                <w:div w:id="1651669313">
                  <w:marLeft w:val="0"/>
                  <w:marRight w:val="0"/>
                  <w:marTop w:val="0"/>
                  <w:marBottom w:val="0"/>
                  <w:divBdr>
                    <w:top w:val="none" w:sz="0" w:space="0" w:color="auto"/>
                    <w:left w:val="none" w:sz="0" w:space="0" w:color="auto"/>
                    <w:bottom w:val="none" w:sz="0" w:space="0" w:color="auto"/>
                    <w:right w:val="none" w:sz="0" w:space="0" w:color="auto"/>
                  </w:divBdr>
                </w:div>
              </w:divsChild>
            </w:div>
            <w:div w:id="1406877768">
              <w:marLeft w:val="0"/>
              <w:marRight w:val="0"/>
              <w:marTop w:val="0"/>
              <w:marBottom w:val="0"/>
              <w:divBdr>
                <w:top w:val="none" w:sz="0" w:space="0" w:color="auto"/>
                <w:left w:val="none" w:sz="0" w:space="0" w:color="auto"/>
                <w:bottom w:val="none" w:sz="0" w:space="0" w:color="auto"/>
                <w:right w:val="none" w:sz="0" w:space="0" w:color="auto"/>
              </w:divBdr>
              <w:divsChild>
                <w:div w:id="27918733">
                  <w:marLeft w:val="0"/>
                  <w:marRight w:val="0"/>
                  <w:marTop w:val="0"/>
                  <w:marBottom w:val="0"/>
                  <w:divBdr>
                    <w:top w:val="none" w:sz="0" w:space="0" w:color="auto"/>
                    <w:left w:val="none" w:sz="0" w:space="0" w:color="auto"/>
                    <w:bottom w:val="none" w:sz="0" w:space="0" w:color="auto"/>
                    <w:right w:val="none" w:sz="0" w:space="0" w:color="auto"/>
                  </w:divBdr>
                </w:div>
                <w:div w:id="380136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insights.som.yale.edu/insights/departing-pepsico-ceo-indra-nooyi-did-it-her-way" TargetMode="External"/><Relationship Id="rId3" Type="http://schemas.openxmlformats.org/officeDocument/2006/relationships/styles" Target="styles.xml"/><Relationship Id="rId7" Type="http://schemas.openxmlformats.org/officeDocument/2006/relationships/hyperlink" Target="https://doi.org/10.1177/2694105820240401006"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oi.org/10.1108/JBS-06-2025-0128"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oi.org/10.1177/1367877925135211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5</Pages>
  <Words>1234</Words>
  <Characters>7035</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Karan Raj Giri</cp:lastModifiedBy>
  <cp:revision>3</cp:revision>
  <dcterms:created xsi:type="dcterms:W3CDTF">2013-12-23T23:15:00Z</dcterms:created>
  <dcterms:modified xsi:type="dcterms:W3CDTF">2026-10-15T12:05:00Z</dcterms:modified>
  <cp:category/>
</cp:coreProperties>
</file>