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and worksheet).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 The worksheet lists these links as Se0/0/0 and Se0/0/1, but my routers’ serial ports are Serial0/1/0 and Serial0/1/1, so I applied each address to the interface actually cabled to that neighbour.</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a link-state protocol that picks the lowest-cost path (Moy, 1998), has FULL adjacencies on every link: Wroclaw and Greenwich each list two neighbours (Fig. 4). If one link fails, OSPF reroutes through the third router, and section D tests this.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tests. The brief names “PC20” and “Router3”, which do not exist in my topology, so I used </w:t>
      </w:r>
      <w:r>
        <w:rPr>
          <w:highlight w:val="yellow"/>
        </w:rPr>
        <w:t>PC__ and the Greenwich router: state your substitutes</w:t>
      </w:r>
      <w:r>
        <w:t xml:space="preserve"> as the nearest real devices. In the ping tests (Fig. 8) the first run showed 75% success (3 of 4 replies). The first request waits for ARP to resolve the gateway (Plummer, 1982), and later pings reached 100%. Replies from other sites came back with TTL </w:t>
      </w:r>
      <w:r>
        <w:rPr>
          <w:highlight w:val="yellow"/>
        </w:rPr>
        <w:t>__</w:t>
      </w:r>
      <w:r>
        <w:t xml:space="preserve"> and round-trip times of </w:t>
      </w:r>
      <w:r>
        <w:rPr>
          <w:highlight w:val="yellow"/>
        </w:rPr>
        <w:t>__ ms</w:t>
      </w:r>
      <w:r>
        <w:t>, consistent with crossing one or two serial hops. These results support the addressing in A.</w:t>
      </w:r>
    </w:p>
    <w:p>
      <w:pPr>
        <w:spacing w:after="120"/>
      </w:pPr>
      <w:r>
        <w:t xml:space="preserve">Traceroute shows the ingress address of each router, so each hop is one routed step (Kurose and Ross, 2021). PC70 to Laptop77 (Wrocław Sales to IT) showed 192.70.20.33 and then the destination, two hops, because the Wroclaw router routes between VLANs. PC01 to PC100 (Skipton HR to Greenwich Sales) showed 192.70.20.193, then 192.70.20.246, the Greenwich end of the direct link, then the destination </w:t>
      </w:r>
      <w:r>
        <w:rPr>
          <w:highlight w:val="yellow"/>
        </w:rPr>
        <w:t>confirm against your output</w:t>
      </w:r>
      <w:r>
        <w:t xml:space="preserve">. This shows OSPF chose the direct path and not the longer one through Wrocław, which supports B-ii. PC73 to PC01 (Wrocław to Skipton) showed 192.70.20.33, then 192.70.20.241, then the destination, and PC02 to PC08 (Skipton HR to IT) showed 192.70.20.193 and then the destination </w:t>
      </w:r>
      <w:r>
        <w:rPr>
          <w:highlight w:val="yellow"/>
        </w:rPr>
        <w:t>confirm both</w:t>
      </w:r>
      <w:r>
        <w:t>. Every path is the shortest available, so the OSPF costs on the equal serial links behave as intended. A successful ping from Laptop78 to the DNS server also shows that routing and name services work together.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Fault tolerance test. To test resilience, I shut down Serial0/1/1 on the Skipton router and repeated the traceroute from PC01 to PC100. The route changed and passed through 192.70.20.193 (Skipton HR gateway), 192.70.20.242 (Wrocław serial interface) and 192.70.20.250 (Greenwich serial interface) before reaching the destination, one hop more than the direct path. The ping still succeeded, so PC01 could reach PC100 with the direct link down (Fig. 9). OSPF removed the failed route and selected the alternative through the other routers (Moy, 1998). The cost is a longer path and higher latency, but connectivity is kept, which proves the resilience claimed in B. It tests one link failure only: a second failure, or the loss of the Wroclaw router, would still isolate a site.</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p>
      <w:pPr>
        <w:spacing w:after="120"/>
      </w:pPr>
      <w:r/>
      <w:r>
        <w:rPr>
          <w:highlight w:val="yellow"/>
        </w:rPr>
        <w:t>Fig. 8: insert two ping outputs (command and output together).</w:t>
      </w:r>
      <w:r/>
    </w:p>
    <w:p>
      <w:pPr>
        <w:spacing w:after="120"/>
      </w:pPr>
      <w:r/>
      <w:r>
        <w:rPr>
          <w:highlight w:val="yellow"/>
        </w:rPr>
        <w:t>Fig. 9: insert the traceroute and successful ping captured with Serial0/1/1 shut down, plus the earlier direct-path traceroute for comparison.</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