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Blueprint: Starbucks Expansion into Nigeria</w:t>
      </w:r>
    </w:p>
    <w:p>
      <w:pPr>
        <w:spacing w:after="100"/>
        <w:rPr>
          <w:i/>
          <w:iCs/>
          <w:color w:val="555555"/>
        </w:rPr>
      </w:pPr>
      <w:r>
        <w:rPr>
          <w:rFonts w:ascii="Calibri" w:cs="Calibri" w:eastAsia="Calibri" w:hAnsi="Calibri"/>
          <w:i/>
          <w:iCs/>
          <w:color w:val="555555"/>
          <w:sz w:val="21"/>
          <w:szCs w:val="21"/>
        </w:rPr>
        <w:t xml:space="preserve">International Business in the Global Economy – Formative Assessment (BSc Applied Management, BPP)</w:t>
      </w:r>
    </w:p>
    <w:p>
      <w:pPr>
        <w:spacing w:after="100"/>
        <w:rPr>
          <w:b/>
          <w:bCs/>
        </w:rPr>
      </w:pPr>
      <w:r>
        <w:rPr>
          <w:rFonts w:ascii="Calibri" w:cs="Calibri" w:eastAsia="Calibri" w:hAnsi="Calibri"/>
          <w:b/>
          <w:bCs/>
          <w:sz w:val="21"/>
          <w:szCs w:val="21"/>
        </w:rPr>
        <w:t xml:space="preserve">1,000-word strategic report | Tasks AC1 and AC2 | Target: 85+ | Blueprint only – no report text drafted</w:t>
      </w:r>
    </w:p>
    <w:p>
      <w:pPr>
        <w:spacing w:after="80"/>
      </w:pPr>
    </w:p>
    <w:p>
      <w:pPr>
        <w:pStyle w:val="Heading1"/>
        <w:spacing w:after="120" w:before="300"/>
      </w:pPr>
      <w:r>
        <w:rPr>
          <w:rFonts w:ascii="Calibri" w:cs="Calibri" w:eastAsia="Calibri" w:hAnsi="Calibri"/>
          <w:b/>
          <w:bCs/>
          <w:color w:val="1F3864"/>
          <w:sz w:val="30"/>
          <w:szCs w:val="30"/>
        </w:rPr>
        <w:t xml:space="preserve">1. What the rubric rewards at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Rubric requirement (80–100%)</w:t>
            </w:r>
          </w:p>
        </w:tc>
        <w:tc>
          <w:tcPr>
            <w:tcW w:type="dxa" w:w="57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What the report must visibly do</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 “detailed and deeply integrated discussion” of performance, societal adaptation and competitive advantage</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One golden thread through both tasks. Each theory feeds the entry decision; no stand-alone theory blocks.</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 “Exceptional critical evaluation… highly relevant and well-chosen examples”</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Every theory gets a limit or tension, plus a dated, sourced Starbucks or market example.</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 “exceedingly coherent… outstanding critical thinking”</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thesis in the intro, and a conclusion that answers it.</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AC2: “all elements of Hofstede’s Dimensions”</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 six dimensions, each tied to a management or marketing consequence.</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AC2: “changes to management approach well-integrated”</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State what Starbucks should change in leadership, communication, marketing and offer.</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AC2: how the company can “remain competitive globally”</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reverse-learning point: what Nigeria teaches Starbucks for other markets.</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Referencing: “precise, full, appropriate”</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Harvard throughout; every citation matched in the reference list, with access dates.</w:t>
            </w:r>
          </w:p>
        </w:tc>
      </w:tr>
      <w:tr>
        <w:trPr>
          <w:cantSplit/>
        </w:trP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Academic skills: originality, coherence, professional standard</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An original thesis, clean layout, page numbers in the footer, correct spelling and grammar.</w:t>
            </w:r>
          </w:p>
        </w:tc>
      </w:tr>
    </w:tbl>
    <w:p>
      <w:pPr>
        <w:spacing w:after="80"/>
      </w:pPr>
    </w:p>
    <w:p>
      <w:pPr>
        <w:pStyle w:val="Heading3"/>
        <w:spacing w:after="80" w:before="140"/>
      </w:pPr>
      <w:r>
        <w:rPr>
          <w:rFonts w:ascii="Calibri" w:cs="Calibri" w:eastAsia="Calibri" w:hAnsi="Calibri"/>
          <w:b/>
          <w:bCs/>
          <w:sz w:val="22"/>
          <w:szCs w:val="22"/>
        </w:rPr>
        <w:t xml:space="preserve">Where a harsh marker deducts (from the lower bands)</w:t>
      </w:r>
    </w:p>
    <w:p>
      <w:pPr>
        <w:pStyle w:val="ListParagraph"/>
        <w:numPr>
          <w:ilvl w:val="0"/>
          <w:numId w:val="2"/>
        </w:numPr>
        <w:spacing w:after="60"/>
      </w:pPr>
      <w:r>
        <w:rPr>
          <w:rFonts w:ascii="Calibri" w:cs="Calibri" w:eastAsia="Calibri" w:hAnsi="Calibri"/>
          <w:sz w:val="21"/>
          <w:szCs w:val="21"/>
        </w:rPr>
        <w:t xml:space="preserve">Describing theory instead of applying it (“limited analysis”).</w:t>
      </w:r>
    </w:p>
    <w:p>
      <w:pPr>
        <w:pStyle w:val="ListParagraph"/>
        <w:numPr>
          <w:ilvl w:val="0"/>
          <w:numId w:val="2"/>
        </w:numPr>
        <w:spacing w:after="60"/>
      </w:pPr>
      <w:r>
        <w:rPr>
          <w:rFonts w:ascii="Calibri" w:cs="Calibri" w:eastAsia="Calibri" w:hAnsi="Calibri"/>
          <w:sz w:val="21"/>
          <w:szCs w:val="21"/>
        </w:rPr>
        <w:t xml:space="preserve">Generic examples with no evidence (“not well-supported by evidence”).</w:t>
      </w:r>
    </w:p>
    <w:p>
      <w:pPr>
        <w:pStyle w:val="ListParagraph"/>
        <w:numPr>
          <w:ilvl w:val="0"/>
          <w:numId w:val="2"/>
        </w:numPr>
        <w:spacing w:after="60"/>
      </w:pPr>
      <w:r>
        <w:rPr>
          <w:rFonts w:ascii="Calibri" w:cs="Calibri" w:eastAsia="Calibri" w:hAnsi="Calibri"/>
          <w:sz w:val="21"/>
          <w:szCs w:val="21"/>
        </w:rPr>
        <w:t xml:space="preserve">Frameworks listed side by side, not integrated.</w:t>
      </w:r>
    </w:p>
    <w:p>
      <w:pPr>
        <w:pStyle w:val="ListParagraph"/>
        <w:numPr>
          <w:ilvl w:val="0"/>
          <w:numId w:val="2"/>
        </w:numPr>
        <w:spacing w:after="60"/>
      </w:pPr>
      <w:r>
        <w:rPr>
          <w:rFonts w:ascii="Calibri" w:cs="Calibri" w:eastAsia="Calibri" w:hAnsi="Calibri"/>
          <w:sz w:val="21"/>
          <w:szCs w:val="21"/>
        </w:rPr>
        <w:t xml:space="preserve">Hofstede as a table of numbers with no managerial consequence.</w:t>
      </w:r>
    </w:p>
    <w:p>
      <w:pPr>
        <w:pStyle w:val="ListParagraph"/>
        <w:numPr>
          <w:ilvl w:val="0"/>
          <w:numId w:val="2"/>
        </w:numPr>
        <w:spacing w:after="60"/>
      </w:pPr>
      <w:r>
        <w:rPr>
          <w:rFonts w:ascii="Calibri" w:cs="Calibri" w:eastAsia="Calibri" w:hAnsi="Calibri"/>
          <w:sz w:val="21"/>
          <w:szCs w:val="21"/>
        </w:rPr>
        <w:t xml:space="preserve">Using more than ONE framework for the internal analysis (the brief says ONE).</w:t>
      </w:r>
    </w:p>
    <w:p>
      <w:pPr>
        <w:pStyle w:val="ListParagraph"/>
        <w:numPr>
          <w:ilvl w:val="0"/>
          <w:numId w:val="2"/>
        </w:numPr>
        <w:spacing w:after="60"/>
      </w:pPr>
      <w:r>
        <w:rPr>
          <w:rFonts w:ascii="Calibri" w:cs="Calibri" w:eastAsia="Calibri" w:hAnsi="Calibri"/>
          <w:sz w:val="21"/>
          <w:szCs w:val="21"/>
        </w:rPr>
        <w:t xml:space="preserve">Referencing errors, or going over 1,000 words.</w:t>
      </w:r>
    </w:p>
    <w:p>
      <w:pPr>
        <w:pStyle w:val="Heading1"/>
        <w:spacing w:after="120" w:before="300"/>
      </w:pPr>
      <w:r>
        <w:rPr>
          <w:rFonts w:ascii="Calibri" w:cs="Calibri" w:eastAsia="Calibri" w:hAnsi="Calibri"/>
          <w:b/>
          <w:bCs/>
          <w:color w:val="1F3864"/>
          <w:sz w:val="30"/>
          <w:szCs w:val="30"/>
        </w:rPr>
        <w:t xml:space="preserve">2. Country decision: Nigeria (Lagos first)</w:t>
      </w:r>
    </w:p>
    <w:p>
      <w:pPr>
        <w:spacing w:after="100"/>
      </w:pPr>
      <w:r>
        <w:rPr>
          <w:rFonts w:ascii="Calibri" w:cs="Calibri" w:eastAsia="Calibri" w:hAnsi="Calibri"/>
          <w:sz w:val="21"/>
          <w:szCs w:val="21"/>
        </w:rPr>
        <w:t xml:space="preserve">Why Nigeria: a large, young, urbanising market (strong OLI location advantages), weak institutions and high cultural distance (rich Institutional Theory and Hofstede material), and good data availability.</w:t>
      </w:r>
    </w:p>
    <w:p>
      <w:pPr>
        <w:spacing w:after="100"/>
      </w:pPr>
      <w:r>
        <w:rPr>
          <w:rFonts w:ascii="Calibri" w:cs="Calibri" w:eastAsia="Calibri" w:hAnsi="Calibri"/>
          <w:b/>
          <w:bCs/>
          <w:sz w:val="21"/>
          <w:szCs w:val="21"/>
        </w:rPr>
        <w:t xml:space="preserve">Verification status: </w:t>
      </w:r>
      <w:r>
        <w:rPr>
          <w:rFonts w:ascii="Calibri" w:cs="Calibri" w:eastAsia="Calibri" w:hAnsi="Calibri"/>
          <w:sz w:val="21"/>
          <w:szCs w:val="21"/>
        </w:rPr>
        <w:t xml:space="preserve">I found no evidence that Starbucks operates in Nigeria, but the sources are old (2014–2015) and I found no recent announcement. This is absence of evidence, not proof. Check the official store locator and the market list in Starbucks’ latest 10-K, and state that check in Appendix A.</w:t>
      </w:r>
    </w:p>
    <w:p>
      <w:pPr>
        <w:spacing w:after="100"/>
      </w:pPr>
      <w:r>
        <w:rPr>
          <w:rFonts w:ascii="Calibri" w:cs="Calibri" w:eastAsia="Calibri" w:hAnsi="Calibri"/>
          <w:sz w:val="21"/>
          <w:szCs w:val="21"/>
        </w:rPr>
        <w:t xml:space="preserve">Countries rejected: Kenya (conflicting reports on whether Starbucks has opened or denied plans) and Tanzania (a blog reports a Dar es Salaam store; unverified). Both are unclear, which a harsh marker would penalise.</w:t>
      </w:r>
    </w:p>
    <w:p>
      <w:pPr>
        <w:pStyle w:val="Heading1"/>
        <w:spacing w:after="120" w:before="300"/>
      </w:pPr>
      <w:r>
        <w:rPr>
          <w:rFonts w:ascii="Calibri" w:cs="Calibri" w:eastAsia="Calibri" w:hAnsi="Calibri"/>
          <w:b/>
          <w:bCs/>
          <w:color w:val="1F3864"/>
          <w:sz w:val="30"/>
          <w:szCs w:val="30"/>
        </w:rPr>
        <w:t xml:space="preserve">3. The argument (golden thread)</w:t>
      </w:r>
    </w:p>
    <w:p>
      <w:pPr>
        <w:spacing w:after="100"/>
      </w:pPr>
      <w:r>
        <w:rPr>
          <w:rFonts w:ascii="Calibri" w:cs="Calibri" w:eastAsia="Calibri" w:hAnsi="Calibri"/>
          <w:b/>
          <w:bCs/>
          <w:sz w:val="21"/>
          <w:szCs w:val="21"/>
        </w:rPr>
        <w:t xml:space="preserve">Thesis: </w:t>
      </w:r>
      <w:r>
        <w:rPr>
          <w:rFonts w:ascii="Calibri" w:cs="Calibri" w:eastAsia="Calibri" w:hAnsi="Calibri"/>
          <w:sz w:val="21"/>
          <w:szCs w:val="21"/>
        </w:rPr>
        <w:t xml:space="preserve">Starbucks’ brand, experience and sourcing resources justify entering Nigeria (RBV/VRIO, OLI), but weak institutions (CPI 26/100) and high cultural distance mean a licensed or JV partner model with a localised offer is more likely to succeed than company-owned replication.</w:t>
      </w:r>
    </w:p>
    <w:p>
      <w:pPr>
        <w:spacing w:after="100"/>
      </w:pPr>
      <w:r>
        <w:rPr>
          <w:rFonts w:ascii="Calibri" w:cs="Calibri" w:eastAsia="Calibri" w:hAnsi="Calibri"/>
          <w:b/>
          <w:bCs/>
          <w:sz w:val="21"/>
          <w:szCs w:val="21"/>
        </w:rPr>
        <w:t xml:space="preserve">Critical tension: </w:t>
      </w:r>
      <w:r>
        <w:rPr>
          <w:rFonts w:ascii="Calibri" w:cs="Calibri" w:eastAsia="Calibri" w:hAnsi="Calibri"/>
          <w:sz w:val="21"/>
          <w:szCs w:val="21"/>
        </w:rPr>
        <w:t xml:space="preserve">OLI says exploit location advantages (237.5m people, median age 18.1). Institutional Theory says legitimacy and local fit decide success. Starbucks’ own record (the South African licensee pause, the China ownership shift) shows partner models are necessary but not sufficient. Critiquing your own recommendation is what harsh markers reward.</w:t>
      </w:r>
    </w:p>
    <w:p>
      <w:pPr>
        <w:spacing w:after="100"/>
      </w:pPr>
      <w:r>
        <w:rPr>
          <w:rFonts w:ascii="Calibri" w:cs="Calibri" w:eastAsia="Calibri" w:hAnsi="Calibri"/>
          <w:sz w:val="21"/>
          <w:szCs w:val="21"/>
        </w:rPr>
        <w:t xml:space="preserve">Frameworks (ONE for internal strengths): RBV with VRIO (Barney, 1991). Entry drivers: Dunning’s OLI (1988) plus Institutional Theory (Scott, 1995; Kostova, 1999). Culture: Hofstede (all six dimensions) plus one critique or alternative (GLOBE, House et al., 2004). Do not add Porter’s Diamond, Uppsala or Value Chain.</w:t>
      </w:r>
    </w:p>
    <w:p>
      <w:pPr>
        <w:pStyle w:val="Heading1"/>
        <w:spacing w:after="120" w:before="300"/>
      </w:pPr>
      <w:r>
        <w:rPr>
          <w:rFonts w:ascii="Calibri" w:cs="Calibri" w:eastAsia="Calibri" w:hAnsi="Calibri"/>
          <w:b/>
          <w:bCs/>
          <w:color w:val="1F3864"/>
          <w:sz w:val="30"/>
          <w:szCs w:val="30"/>
        </w:rPr>
        <w:t xml:space="preserve">4. Section plan and word budget (960 words + 40 buffer)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638"/>
      </w:tblGrid>
      <w:tr>
        <w:trPr>
          <w:tblHeader/>
        </w:trPr>
        <w:tc>
          <w:tcPr>
            <w:tcW w:type="dxa" w:w="4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Section</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Words</w:t>
            </w:r>
          </w:p>
        </w:tc>
        <w:tc>
          <w:tcPr>
            <w:tcW w:type="dxa" w:w="36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Notes</w:t>
            </w:r>
          </w:p>
        </w:tc>
      </w:tr>
      <w:tr>
        <w:trPr>
          <w:cantSplit/>
        </w:trPr>
        <w:tc>
          <w:tcPr>
            <w:tcW w:type="dxa" w:w="4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Introduction</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50</w:t>
            </w:r>
          </w:p>
        </w:tc>
        <w:tc>
          <w:tcPr>
            <w:tcW w:type="dxa" w:w="36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Recommendation, thesis, roadmap</w:t>
            </w:r>
          </w:p>
        </w:tc>
      </w:tr>
      <w:tr>
        <w:trPr>
          <w:cantSplit/>
        </w:trPr>
        <w:tc>
          <w:tcPr>
            <w:tcW w:type="dxa" w:w="4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 Competitive Advantage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430</w:t>
            </w:r>
          </w:p>
        </w:tc>
        <w:tc>
          <w:tcPr>
            <w:tcW w:type="dxa" w:w="36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1a 90 + 1b 170 + 1c 170</w:t>
            </w:r>
          </w:p>
        </w:tc>
      </w:tr>
      <w:tr>
        <w:trPr>
          <w:cantSplit/>
        </w:trPr>
        <w:tc>
          <w:tcPr>
            <w:tcW w:type="dxa" w:w="4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AC2: Complexities and Diversities</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430</w:t>
            </w:r>
          </w:p>
        </w:tc>
        <w:tc>
          <w:tcPr>
            <w:tcW w:type="dxa" w:w="36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2a 130 + 2b 190 + 2c 110</w:t>
            </w:r>
          </w:p>
        </w:tc>
      </w:tr>
      <w:tr>
        <w:trPr>
          <w:cantSplit/>
        </w:trPr>
        <w:tc>
          <w:tcPr>
            <w:tcW w:type="dxa" w:w="4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Conclusion</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50</w:t>
            </w:r>
          </w:p>
        </w:tc>
        <w:tc>
          <w:tcPr>
            <w:tcW w:type="dxa" w:w="36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 new evidence</w:t>
            </w:r>
          </w:p>
        </w:tc>
      </w:tr>
      <w:tr>
        <w:trPr>
          <w:cantSplit/>
        </w:trPr>
        <w:tc>
          <w:tcPr>
            <w:tcW w:type="dxa" w:w="4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Total</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960</w:t>
            </w:r>
          </w:p>
        </w:tc>
        <w:tc>
          <w:tcPr>
            <w:tcW w:type="dxa" w:w="36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40-word safety margin; never aim at exactly 1,000</w:t>
            </w:r>
          </w:p>
        </w:tc>
      </w:tr>
    </w:tbl>
    <w:p>
      <w:pPr>
        <w:spacing w:after="100"/>
        <w:rPr>
          <w:i/>
          <w:iCs/>
        </w:rPr>
      </w:pPr>
      <w:r>
        <w:rPr>
          <w:rFonts w:ascii="Calibri" w:cs="Calibri" w:eastAsia="Calibri" w:hAnsi="Calibri"/>
          <w:i/>
          <w:iCs/>
          <w:sz w:val="21"/>
          <w:szCs w:val="21"/>
        </w:rPr>
        <w:t xml:space="preserve">Check your programme’s word-count guidelines on whether tables, captions and in-text citations count. If unclear, count them.</w:t>
      </w:r>
    </w:p>
    <w:p>
      <w:pPr>
        <w:pStyle w:val="Heading2"/>
        <w:spacing w:after="100" w:before="200"/>
      </w:pPr>
      <w:r>
        <w:rPr>
          <w:rFonts w:ascii="Calibri" w:cs="Calibri" w:eastAsia="Calibri" w:hAnsi="Calibri"/>
          <w:b/>
          <w:bCs/>
          <w:color w:val="2E5597"/>
          <w:sz w:val="24"/>
          <w:szCs w:val="24"/>
        </w:rPr>
        <w:t xml:space="preserve">Introduction (50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238"/>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Sentence</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Words</w:t>
            </w:r>
          </w:p>
        </w:tc>
        <w:tc>
          <w:tcPr>
            <w:tcW w:type="dxa" w:w="72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Content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w:t>
            </w:r>
          </w:p>
        </w:tc>
        <w:tc>
          <w:tcPr>
            <w:tcW w:type="dxa" w:w="7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Recommend entering Nigeria (Lagos first) through a licensed or JV partner model.</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w:t>
            </w:r>
          </w:p>
        </w:tc>
        <w:tc>
          <w:tcPr>
            <w:tcW w:type="dxa" w:w="7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Thesis: brand advantages are real, but institutional and cultural distance shape how to enter.</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~10</w:t>
            </w:r>
          </w:p>
        </w:tc>
        <w:tc>
          <w:tcPr>
            <w:tcW w:type="dxa" w:w="7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Roadmap: RBV, OLI and Institutional Theory, then Hofstede.</w:t>
            </w:r>
          </w:p>
        </w:tc>
      </w:tr>
    </w:tbl>
    <w:p>
      <w:pPr>
        <w:pStyle w:val="Heading2"/>
        <w:spacing w:after="100" w:before="200"/>
      </w:pPr>
      <w:r>
        <w:rPr>
          <w:rFonts w:ascii="Calibri" w:cs="Calibri" w:eastAsia="Calibri" w:hAnsi="Calibri"/>
          <w:b/>
          <w:bCs/>
          <w:color w:val="2E5597"/>
          <w:sz w:val="24"/>
          <w:szCs w:val="24"/>
        </w:rPr>
        <w:t xml:space="preserve">AC1: Competitive Advantage (430 words)</w:t>
      </w:r>
    </w:p>
    <w:p>
      <w:pPr>
        <w:pStyle w:val="Heading3"/>
        <w:spacing w:after="80" w:before="140"/>
      </w:pPr>
      <w:r>
        <w:rPr>
          <w:rFonts w:ascii="Calibri" w:cs="Calibri" w:eastAsia="Calibri" w:hAnsi="Calibri"/>
          <w:b/>
          <w:bCs/>
          <w:sz w:val="22"/>
          <w:szCs w:val="22"/>
        </w:rPr>
        <w:t xml:space="preserve">1a. Why internationalise (90 words)</w:t>
      </w:r>
    </w:p>
    <w:p>
      <w:pPr>
        <w:pStyle w:val="ListParagraph"/>
        <w:numPr>
          <w:ilvl w:val="0"/>
          <w:numId w:val="2"/>
        </w:numPr>
        <w:spacing w:after="60"/>
      </w:pPr>
      <w:r>
        <w:rPr>
          <w:rFonts w:ascii="Calibri" w:cs="Calibri" w:eastAsia="Calibri" w:hAnsi="Calibri"/>
          <w:sz w:val="21"/>
          <w:szCs w:val="21"/>
        </w:rPr>
        <w:t xml:space="preserve">Starbucks must sustain growth beyond saturated and contested markets. Use the China story: the Boyu Capital deal (up to 60% sold, announced November 2025) shows intense local competition and a changed ownership model.</w:t>
      </w:r>
    </w:p>
    <w:p>
      <w:pPr>
        <w:pStyle w:val="ListParagraph"/>
        <w:numPr>
          <w:ilvl w:val="0"/>
          <w:numId w:val="2"/>
        </w:numPr>
        <w:spacing w:after="60"/>
      </w:pPr>
      <w:r>
        <w:rPr>
          <w:rFonts w:ascii="Calibri" w:cs="Calibri" w:eastAsia="Calibri" w:hAnsi="Calibri"/>
          <w:sz w:val="21"/>
          <w:szCs w:val="21"/>
        </w:rPr>
        <w:t xml:space="preserve">Use 10-K figures for the International segment (revenue share, growth). Take store numbers from the 10-K, not from aggregators.</w:t>
      </w:r>
    </w:p>
    <w:p>
      <w:pPr>
        <w:pStyle w:val="ListParagraph"/>
        <w:numPr>
          <w:ilvl w:val="0"/>
          <w:numId w:val="2"/>
        </w:numPr>
        <w:spacing w:after="60"/>
      </w:pPr>
      <w:r>
        <w:rPr>
          <w:rFonts w:ascii="Calibri" w:cs="Calibri" w:eastAsia="Calibri" w:hAnsi="Calibri"/>
          <w:sz w:val="21"/>
          <w:szCs w:val="21"/>
        </w:rPr>
        <w:t xml:space="preserve">Nigeria benefit: 237.5m people, median age 18.1, 54.9% urban and rising.</w:t>
      </w:r>
    </w:p>
    <w:p>
      <w:pPr>
        <w:pStyle w:val="ListParagraph"/>
        <w:numPr>
          <w:ilvl w:val="0"/>
          <w:numId w:val="2"/>
        </w:numPr>
        <w:spacing w:after="60"/>
      </w:pPr>
      <w:r>
        <w:rPr>
          <w:rFonts w:ascii="Calibri" w:cs="Calibri" w:eastAsia="Calibri" w:hAnsi="Calibri"/>
          <w:sz w:val="21"/>
          <w:szCs w:val="21"/>
        </w:rPr>
        <w:t xml:space="preserve">Critical point: market size is not purchasing power. Link to the inflation and policy-rate data.</w:t>
      </w:r>
    </w:p>
    <w:p>
      <w:pPr>
        <w:pStyle w:val="Heading3"/>
        <w:spacing w:after="80" w:before="140"/>
      </w:pPr>
      <w:r>
        <w:rPr>
          <w:rFonts w:ascii="Calibri" w:cs="Calibri" w:eastAsia="Calibri" w:hAnsi="Calibri"/>
          <w:b/>
          <w:bCs/>
          <w:sz w:val="22"/>
          <w:szCs w:val="22"/>
        </w:rPr>
        <w:t xml:space="preserve">1b. RBV/VRIO – the ONE framework (170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1500"/>
        <w:gridCol w:w="700"/>
        <w:gridCol w:w="3238"/>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Resource</w:t>
            </w:r>
          </w:p>
        </w:tc>
        <w:tc>
          <w:tcPr>
            <w:tcW w:type="dxa" w:w="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V</w:t>
            </w:r>
          </w:p>
        </w:tc>
        <w:tc>
          <w:tcPr>
            <w:tcW w:type="dxa" w:w="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 (costly to imitate)</w:t>
            </w:r>
          </w:p>
        </w:tc>
        <w:tc>
          <w:tcPr>
            <w:tcW w:type="dxa" w:w="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O</w:t>
            </w:r>
          </w:p>
        </w:tc>
        <w:tc>
          <w:tcPr>
            <w:tcW w:type="dxa" w:w="32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Verdict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Brand and “third place” experience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Partly: local chains can imitate the format</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3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Temporary advantage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Vertically integrated ethical sourcing (C.A.F.E. Practices; verify in the Global Impact Report)</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 built over decades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3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Sustained advantage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Partner (employee) culture and training</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Partly</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Partly</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c>
          <w:tcPr>
            <w:tcW w:type="dxa" w:w="3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Hard to transfer under a licensee</w:t>
            </w:r>
          </w:p>
        </w:tc>
      </w:tr>
    </w:tbl>
    <w:p>
      <w:pPr>
        <w:spacing w:after="80"/>
      </w:pPr>
    </w:p>
    <w:p>
      <w:pPr>
        <w:pStyle w:val="ListParagraph"/>
        <w:numPr>
          <w:ilvl w:val="0"/>
          <w:numId w:val="2"/>
        </w:numPr>
        <w:spacing w:after="60"/>
      </w:pPr>
      <w:r>
        <w:rPr>
          <w:rFonts w:ascii="Calibri" w:cs="Calibri" w:eastAsia="Calibri" w:hAnsi="Calibri"/>
          <w:sz w:val="21"/>
          <w:szCs w:val="21"/>
        </w:rPr>
        <w:t xml:space="preserve">Critique (mandatory): RBV treats resources as portable. Nigeria tests that, because a premium brand priced against ₦100 street instant coffee may lose its “valuable” status. The South Africa licensee pause shows resources do not transfer automatically.</w:t>
      </w:r>
    </w:p>
    <w:p>
      <w:pPr>
        <w:pStyle w:val="ListParagraph"/>
        <w:numPr>
          <w:ilvl w:val="0"/>
          <w:numId w:val="2"/>
        </w:numPr>
        <w:spacing w:after="60"/>
      </w:pPr>
      <w:r>
        <w:rPr>
          <w:rFonts w:ascii="Calibri" w:cs="Calibri" w:eastAsia="Calibri" w:hAnsi="Calibri"/>
          <w:sz w:val="21"/>
          <w:szCs w:val="21"/>
        </w:rPr>
        <w:t xml:space="preserve">Put the table in the body only if your word-count rules allow; otherwise put it in Appendix B and keep the text short.</w:t>
      </w:r>
    </w:p>
    <w:p>
      <w:pPr>
        <w:pStyle w:val="Heading3"/>
        <w:spacing w:after="80" w:before="140"/>
      </w:pPr>
      <w:r>
        <w:rPr>
          <w:rFonts w:ascii="Calibri" w:cs="Calibri" w:eastAsia="Calibri" w:hAnsi="Calibri"/>
          <w:b/>
          <w:bCs/>
          <w:sz w:val="22"/>
          <w:szCs w:val="22"/>
        </w:rPr>
        <w:t xml:space="preserve">1c. OLI plus Institutional Theory (170 words)</w:t>
      </w:r>
    </w:p>
    <w:p>
      <w:pPr>
        <w:pStyle w:val="ListParagraph"/>
        <w:numPr>
          <w:ilvl w:val="0"/>
          <w:numId w:val="2"/>
        </w:numPr>
        <w:spacing w:after="60"/>
      </w:pPr>
      <w:r>
        <w:rPr>
          <w:rFonts w:ascii="Calibri" w:cs="Calibri" w:eastAsia="Calibri" w:hAnsi="Calibri"/>
          <w:sz w:val="21"/>
          <w:szCs w:val="21"/>
        </w:rPr>
        <w:t xml:space="preserve">O: link back to the VRIO verdicts (brand, sourcing).</w:t>
      </w:r>
    </w:p>
    <w:p>
      <w:pPr>
        <w:pStyle w:val="ListParagraph"/>
        <w:numPr>
          <w:ilvl w:val="0"/>
          <w:numId w:val="2"/>
        </w:numPr>
        <w:spacing w:after="60"/>
      </w:pPr>
      <w:r>
        <w:rPr>
          <w:rFonts w:ascii="Calibri" w:cs="Calibri" w:eastAsia="Calibri" w:hAnsi="Calibri"/>
          <w:sz w:val="21"/>
          <w:szCs w:val="21"/>
        </w:rPr>
        <w:t xml:space="preserve">L: population, urbanisation and a nascent café scene (Café Neo shows demand but also local competition). Use only sourced claims.</w:t>
      </w:r>
    </w:p>
    <w:p>
      <w:pPr>
        <w:pStyle w:val="ListParagraph"/>
        <w:numPr>
          <w:ilvl w:val="0"/>
          <w:numId w:val="2"/>
        </w:numPr>
        <w:spacing w:after="60"/>
      </w:pPr>
      <w:r>
        <w:rPr>
          <w:rFonts w:ascii="Calibri" w:cs="Calibri" w:eastAsia="Calibri" w:hAnsi="Calibri"/>
          <w:sz w:val="21"/>
          <w:szCs w:val="21"/>
        </w:rPr>
        <w:t xml:space="preserve">I: internalisation logic. Full ownership means exposure to FX, regulatory and operational risk; a licence or JV lets a local partner carry that. Starbucks already works this way in the Middle East (Alshaya), India (Tata) and South Africa (Taste).</w:t>
      </w:r>
    </w:p>
    <w:p>
      <w:pPr>
        <w:pStyle w:val="ListParagraph"/>
        <w:numPr>
          <w:ilvl w:val="0"/>
          <w:numId w:val="2"/>
        </w:numPr>
        <w:spacing w:after="60"/>
      </w:pPr>
      <w:r>
        <w:rPr>
          <w:rFonts w:ascii="Calibri" w:cs="Calibri" w:eastAsia="Calibri" w:hAnsi="Calibri"/>
          <w:sz w:val="21"/>
          <w:szCs w:val="21"/>
        </w:rPr>
        <w:t xml:space="preserve">Institutional Theory (Scott, 1995; Kostova, 1999): regulative (NIPC/CBN rules), normative (local business expectations) and cognitive (what coffee culture means) pillars explain why a local partner supplies legitimacy.</w:t>
      </w:r>
    </w:p>
    <w:p>
      <w:pPr>
        <w:pStyle w:val="ListParagraph"/>
        <w:numPr>
          <w:ilvl w:val="0"/>
          <w:numId w:val="2"/>
        </w:numPr>
        <w:spacing w:after="60"/>
      </w:pPr>
      <w:r>
        <w:rPr>
          <w:rFonts w:ascii="Calibri" w:cs="Calibri" w:eastAsia="Calibri" w:hAnsi="Calibri"/>
          <w:sz w:val="21"/>
          <w:szCs w:val="21"/>
        </w:rPr>
        <w:t xml:space="preserve">Close with the tension: OLI recommends going in, Institutional Theory recommends going in with a partner, and the evidence suggests even this is not risk-free.</w:t>
      </w:r>
    </w:p>
    <w:p>
      <w:pPr>
        <w:pStyle w:val="Heading2"/>
        <w:spacing w:after="100" w:before="200"/>
      </w:pPr>
      <w:r>
        <w:rPr>
          <w:rFonts w:ascii="Calibri" w:cs="Calibri" w:eastAsia="Calibri" w:hAnsi="Calibri"/>
          <w:b/>
          <w:bCs/>
          <w:color w:val="2E5597"/>
          <w:sz w:val="24"/>
          <w:szCs w:val="24"/>
        </w:rPr>
        <w:t xml:space="preserve">AC2: Complexities and Diversities (430 words)</w:t>
      </w:r>
    </w:p>
    <w:p>
      <w:pPr>
        <w:pStyle w:val="Heading3"/>
        <w:spacing w:after="80" w:before="140"/>
      </w:pPr>
      <w:r>
        <w:rPr>
          <w:rFonts w:ascii="Calibri" w:cs="Calibri" w:eastAsia="Calibri" w:hAnsi="Calibri"/>
          <w:b/>
          <w:bCs/>
          <w:sz w:val="22"/>
          <w:szCs w:val="22"/>
        </w:rPr>
        <w:t xml:space="preserve">2a. Political, economic and legal (130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Point</w:t>
            </w:r>
          </w:p>
        </w:tc>
        <w:tc>
          <w:tcPr>
            <w:tcW w:type="dxa" w:w="4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Evidence</w:t>
            </w:r>
          </w:p>
        </w:tc>
        <w:tc>
          <w:tcPr>
            <w:tcW w:type="dxa" w:w="30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Consequence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Corruption and governance</w:t>
            </w:r>
          </w:p>
        </w:tc>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CPI 2025: 26/100, rank 142/182</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Partner due diligence; compliance risk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FX and repatriation</w:t>
            </w:r>
          </w:p>
        </w:tc>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NIPC registration and Certificate of Capital Importation needed; CBN rules apply</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Structure royalties and fees through compliant channels; hedge naira exposure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Macro conditions</w:t>
            </w:r>
          </w:p>
        </w:tc>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IMF 2026 growth 4.1%; inflation 15.93% (May 2026); policy rate 26.5%</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Price positioning; financing costs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Ownership and sector rules</w:t>
            </w:r>
          </w:p>
        </w:tc>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Open to foreign ownership; food is not on the NIPC negative list. NAFDAC and franchising rules still to verify</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Regulatory timeline in the entry plan</w:t>
            </w:r>
          </w:p>
        </w:tc>
      </w:tr>
    </w:tbl>
    <w:p>
      <w:pPr>
        <w:spacing w:after="100"/>
        <w:rPr>
          <w:i/>
          <w:iCs/>
        </w:rPr>
      </w:pPr>
      <w:r>
        <w:rPr>
          <w:rFonts w:ascii="Calibri" w:cs="Calibri" w:eastAsia="Calibri" w:hAnsi="Calibri"/>
          <w:i/>
          <w:iCs/>
          <w:sz w:val="21"/>
          <w:szCs w:val="21"/>
        </w:rPr>
        <w:t xml:space="preserve">Also cover infrastructure (power costs, from the 2015 report). Check that it is still current before using it.</w:t>
      </w:r>
    </w:p>
    <w:p>
      <w:pPr>
        <w:pStyle w:val="Heading3"/>
        <w:spacing w:after="80" w:before="140"/>
      </w:pPr>
      <w:r>
        <w:rPr>
          <w:rFonts w:ascii="Calibri" w:cs="Calibri" w:eastAsia="Calibri" w:hAnsi="Calibri"/>
          <w:b/>
          <w:bCs/>
          <w:sz w:val="22"/>
          <w:szCs w:val="22"/>
        </w:rPr>
        <w:t xml:space="preserve">2b. Culture: all six Hofstede dimensions (190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438"/>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Dimension</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Score*</w:t>
            </w:r>
          </w:p>
        </w:tc>
        <w:tc>
          <w:tcPr>
            <w:tcW w:type="dxa" w:w="64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Managerial or marketing consequence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Power distance</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80</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Hierarchical stores conflict with Starbucks’ flat “partner” model. Adapt training and manager empowerment.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Individualism</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Collective consumption. Position stores as shared social spaces; use trusted networks, family and community marketing.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Masculinity</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60</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Status and achievement matter. The premium brand can work as a status signal but risks exclusivity.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Uncertainty avoidance</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55</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Middling. Standard procedures valued, informality tolerated. Do not over-rigidify local operations.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Long-term orientation</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Short-term, tradition-focused. Lead with immediate experience and value, not long-run sustainability narratives.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Indulgence</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84</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Strong leisure and socialising culture. Supports the third-place concept; build evening and social occasions into the offer.</w:t>
            </w:r>
          </w:p>
        </w:tc>
      </w:tr>
    </w:tbl>
    <w:p>
      <w:pPr>
        <w:spacing w:after="100"/>
        <w:rPr>
          <w:i/>
          <w:iCs/>
          <w:sz w:val="18"/>
          <w:szCs w:val="18"/>
        </w:rPr>
      </w:pPr>
      <w:r>
        <w:rPr>
          <w:rFonts w:ascii="Calibri" w:cs="Calibri" w:eastAsia="Calibri" w:hAnsi="Calibri"/>
          <w:i/>
          <w:iCs/>
          <w:sz w:val="18"/>
          <w:szCs w:val="18"/>
        </w:rPr>
        <w:t xml:space="preserve">*Secondary source (Cyborlink, attributing to Hofstede Insights); only Power Distance was independently confirmed. Verify all six at Hofstede Insights before submission and use the official figures.</w:t>
      </w:r>
    </w:p>
    <w:p>
      <w:pPr>
        <w:pStyle w:val="ListParagraph"/>
        <w:numPr>
          <w:ilvl w:val="0"/>
          <w:numId w:val="2"/>
        </w:numPr>
        <w:spacing w:after="60"/>
      </w:pPr>
      <w:r>
        <w:rPr>
          <w:rFonts w:ascii="Calibri" w:cs="Calibri" w:eastAsia="Calibri" w:hAnsi="Calibri"/>
          <w:sz w:val="21"/>
          <w:szCs w:val="21"/>
        </w:rPr>
        <w:t xml:space="preserve">Critical sentence (mandatory): Hofstede uses national averages and dated data, and Nigeria has 250+ ethnic groups and north–south religious variation. Check whether Nigeria’s scores come from a West Africa regional sample before citing. Add one alternative lens (GLOBE, House et al., 2004).</w:t>
      </w:r>
    </w:p>
    <w:p>
      <w:pPr>
        <w:pStyle w:val="ListParagraph"/>
        <w:numPr>
          <w:ilvl w:val="0"/>
          <w:numId w:val="2"/>
        </w:numPr>
        <w:spacing w:after="60"/>
      </w:pPr>
      <w:r>
        <w:rPr>
          <w:rFonts w:ascii="Calibri" w:cs="Calibri" w:eastAsia="Calibri" w:hAnsi="Calibri"/>
          <w:sz w:val="21"/>
          <w:szCs w:val="21"/>
        </w:rPr>
        <w:t xml:space="preserve">Figure 1 (in the body): Hofstede bar chart, Nigeria against UK and US, with caption and citation. It replaces about 40 words of numbers.</w:t>
      </w:r>
    </w:p>
    <w:p>
      <w:pPr>
        <w:pStyle w:val="Heading3"/>
        <w:spacing w:after="80" w:before="140"/>
      </w:pPr>
      <w:r>
        <w:rPr>
          <w:rFonts w:ascii="Calibri" w:cs="Calibri" w:eastAsia="Calibri" w:hAnsi="Calibri"/>
          <w:b/>
          <w:bCs/>
          <w:sz w:val="22"/>
          <w:szCs w:val="22"/>
        </w:rPr>
        <w:t xml:space="preserve">2c. Opportunities, challenges and reverse learning (110 words)</w:t>
      </w:r>
    </w:p>
    <w:p>
      <w:pPr>
        <w:pStyle w:val="ListParagraph"/>
        <w:numPr>
          <w:ilvl w:val="0"/>
          <w:numId w:val="2"/>
        </w:numPr>
        <w:spacing w:after="60"/>
      </w:pPr>
      <w:r>
        <w:rPr>
          <w:rFonts w:ascii="Calibri" w:cs="Calibri" w:eastAsia="Calibri" w:hAnsi="Calibri"/>
          <w:sz w:val="21"/>
          <w:szCs w:val="21"/>
        </w:rPr>
        <w:t xml:space="preserve">Opportunity: local product innovation, a social café role, youth demand.</w:t>
      </w:r>
    </w:p>
    <w:p>
      <w:pPr>
        <w:pStyle w:val="ListParagraph"/>
        <w:numPr>
          <w:ilvl w:val="0"/>
          <w:numId w:val="2"/>
        </w:numPr>
        <w:spacing w:after="60"/>
      </w:pPr>
      <w:r>
        <w:rPr>
          <w:rFonts w:ascii="Calibri" w:cs="Calibri" w:eastAsia="Calibri" w:hAnsi="Calibri"/>
          <w:sz w:val="21"/>
          <w:szCs w:val="21"/>
        </w:rPr>
        <w:t xml:space="preserve">Challenge: price against street coffee, power costs, local competitors.</w:t>
      </w:r>
    </w:p>
    <w:p>
      <w:pPr>
        <w:pStyle w:val="ListParagraph"/>
        <w:numPr>
          <w:ilvl w:val="0"/>
          <w:numId w:val="2"/>
        </w:numPr>
        <w:spacing w:after="60"/>
      </w:pPr>
      <w:r>
        <w:rPr>
          <w:rFonts w:ascii="Calibri" w:cs="Calibri" w:eastAsia="Calibri" w:hAnsi="Calibri"/>
          <w:sz w:val="21"/>
          <w:szCs w:val="21"/>
        </w:rPr>
        <w:t xml:space="preserve">Reverse learning (mandatory for the top band): what Starbucks gains for other emerging markets, such as a low-capex small-format store, mobile-first ordering and payment, and a model for working with licensees. Link to dynamic capabilities (Teece, Pisano and Shuen, 1997) in one sentence.</w:t>
      </w:r>
    </w:p>
    <w:p>
      <w:pPr>
        <w:pStyle w:val="Heading2"/>
        <w:spacing w:after="100" w:before="200"/>
      </w:pPr>
      <w:r>
        <w:rPr>
          <w:rFonts w:ascii="Calibri" w:cs="Calibri" w:eastAsia="Calibri" w:hAnsi="Calibri"/>
          <w:b/>
          <w:bCs/>
          <w:color w:val="2E5597"/>
          <w:sz w:val="24"/>
          <w:szCs w:val="24"/>
        </w:rPr>
        <w:t xml:space="preserve">Conclusion (50 words)</w:t>
      </w:r>
    </w:p>
    <w:p>
      <w:pPr>
        <w:pStyle w:val="ListParagraph"/>
        <w:numPr>
          <w:ilvl w:val="0"/>
          <w:numId w:val="2"/>
        </w:numPr>
        <w:spacing w:after="60"/>
      </w:pPr>
      <w:r>
        <w:rPr>
          <w:rFonts w:ascii="Calibri" w:cs="Calibri" w:eastAsia="Calibri" w:hAnsi="Calibri"/>
          <w:sz w:val="21"/>
          <w:szCs w:val="21"/>
        </w:rPr>
        <w:t xml:space="preserve">Restate: enter Nigeria via a licensed or JV partner, Lagos first.</w:t>
      </w:r>
    </w:p>
    <w:p>
      <w:pPr>
        <w:pStyle w:val="ListParagraph"/>
        <w:numPr>
          <w:ilvl w:val="0"/>
          <w:numId w:val="2"/>
        </w:numPr>
        <w:spacing w:after="60"/>
      </w:pPr>
      <w:r>
        <w:rPr>
          <w:rFonts w:ascii="Calibri" w:cs="Calibri" w:eastAsia="Calibri" w:hAnsi="Calibri"/>
          <w:sz w:val="21"/>
          <w:szCs w:val="21"/>
        </w:rPr>
        <w:t xml:space="preserve">Answer the tension: partner models manage institutional risk but cannot replace a localised offer.</w:t>
      </w:r>
    </w:p>
    <w:p>
      <w:pPr>
        <w:pStyle w:val="ListParagraph"/>
        <w:numPr>
          <w:ilvl w:val="0"/>
          <w:numId w:val="2"/>
        </w:numPr>
        <w:spacing w:after="60"/>
      </w:pPr>
      <w:r>
        <w:rPr>
          <w:rFonts w:ascii="Calibri" w:cs="Calibri" w:eastAsia="Calibri" w:hAnsi="Calibri"/>
          <w:sz w:val="21"/>
          <w:szCs w:val="21"/>
        </w:rPr>
        <w:t xml:space="preserve">One forward-looking line (key risk to monitor: FX).</w:t>
      </w:r>
    </w:p>
    <w:p>
      <w:pPr>
        <w:pStyle w:val="ListParagraph"/>
        <w:numPr>
          <w:ilvl w:val="0"/>
          <w:numId w:val="2"/>
        </w:numPr>
        <w:spacing w:after="60"/>
      </w:pPr>
      <w:r>
        <w:rPr>
          <w:rFonts w:ascii="Calibri" w:cs="Calibri" w:eastAsia="Calibri" w:hAnsi="Calibri"/>
          <w:sz w:val="21"/>
          <w:szCs w:val="21"/>
        </w:rPr>
        <w:t xml:space="preserve">No new evidence.</w:t>
      </w:r>
    </w:p>
    <w:p>
      <w:pPr>
        <w:pStyle w:val="Heading1"/>
        <w:spacing w:after="120" w:before="300"/>
      </w:pPr>
      <w:r>
        <w:rPr>
          <w:rFonts w:ascii="Calibri" w:cs="Calibri" w:eastAsia="Calibri" w:hAnsi="Calibri"/>
          <w:b/>
          <w:bCs/>
          <w:color w:val="1F3864"/>
          <w:sz w:val="30"/>
          <w:szCs w:val="30"/>
        </w:rPr>
        <w:t xml:space="preserve">5. Data pack (Nigeria)</w:t>
      </w:r>
    </w:p>
    <w:p>
      <w:pPr>
        <w:spacing w:after="100"/>
      </w:pPr>
      <w:r>
        <w:rPr>
          <w:rFonts w:ascii="Calibri" w:cs="Calibri" w:eastAsia="Calibri" w:hAnsi="Calibri"/>
          <w:sz w:val="21"/>
          <w:szCs w:val="21"/>
        </w:rPr>
        <w:t xml:space="preserve">Status key: OK = found in a source; CHECK = weak, conflicting or missing. Never quote a number you have not opened the source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900"/>
        <w:gridCol w:w="2938"/>
      </w:tblGrid>
      <w:tr>
        <w:trPr>
          <w:tblHeader/>
        </w:trPr>
        <w:tc>
          <w:tcPr>
            <w:tcW w:type="dxa" w:w="2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Indicator</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Finding</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c>
          <w:tcPr>
            <w:tcW w:type="dxa" w:w="29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Source</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Population (2025)</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~237.5m</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Worldometer (UN-based)</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Median age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18.1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Worldometer</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Urban share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54.9% (45.5% in 2015; 59.6% projected 2030)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Worldometer</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Lagos population</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12.2m to 17.2m depending on source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City-Facts; Intelpoint. State your definition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CPI 2025</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26/100, rank 142/182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BusinessDay / Transparency International</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GDP growth 2026</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IMF April 2026: 4.1%; Q1 2026 actual 3.89%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AllAfrica; Nairametrics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Inflation</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15.93% (May 2026); year-end forecasts range 6.6%–12.4%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Sources conflict; cite NBS directly</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Policy rate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26.5% (unchanged since February)</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Nairametrics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Naira</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CBN assumes ~₦1,400/US$ average for 2026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Planning assumption, not a spot rate (Proshare/PwC)</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FX repatriation</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NIPC registration and Certificate of Capital Importation; CBN rules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Mondaq</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Foreign ownership</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Open; negative list covers arms, narcotics, military</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Mondaq</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Café market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Instant coffee, tea and cocoa dominate; Café Neo is a local pioneer</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2015–2019 sources; find current data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Starbucks Africa</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First sub-Saharan store Johannesburg 2016 via Taste Holdings; licensee later paused expansion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Modern Ghana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Starbucks China</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Up to 60% sold to Boyu Capital (Nov 2025); deal since closed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 Jazeera; DealStreetAsia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Starbucks scale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40,990 stores at FY2025, 52% company-operated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2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Aggregator; take from the 10-K</w:t>
            </w:r>
          </w:p>
        </w:tc>
      </w:tr>
    </w:tbl>
    <w:p>
      <w:pPr>
        <w:spacing w:after="80"/>
      </w:pPr>
    </w:p>
    <w:p>
      <w:pPr>
        <w:spacing w:after="100"/>
      </w:pPr>
      <w:r>
        <w:rPr>
          <w:rFonts w:ascii="Calibri" w:cs="Calibri" w:eastAsia="Calibri" w:hAnsi="Calibri"/>
          <w:b/>
          <w:bCs/>
          <w:sz w:val="21"/>
          <w:szCs w:val="21"/>
        </w:rPr>
        <w:t xml:space="preserve">Gaps to close yourself: </w:t>
      </w:r>
      <w:r>
        <w:rPr>
          <w:rFonts w:ascii="Calibri" w:cs="Calibri" w:eastAsia="Calibri" w:hAnsi="Calibri"/>
          <w:sz w:val="21"/>
          <w:szCs w:val="21"/>
        </w:rPr>
        <w:t xml:space="preserve">middle-class size; current café or coffee market data; FCCPC franchise rules; NAFDAC food registration; Starbucks 10-K figures; World Bank and Heritage indicators for Nigeria; official Hofstede scores.</w:t>
      </w:r>
    </w:p>
    <w:p>
      <w:pPr>
        <w:pStyle w:val="Heading1"/>
        <w:spacing w:after="120" w:before="300"/>
      </w:pPr>
      <w:r>
        <w:rPr>
          <w:rFonts w:ascii="Calibri" w:cs="Calibri" w:eastAsia="Calibri" w:hAnsi="Calibri"/>
          <w:b/>
          <w:bCs/>
          <w:color w:val="1F3864"/>
          <w:sz w:val="30"/>
          <w:szCs w:val="30"/>
        </w:rPr>
        <w:t xml:space="preserve">6. Visuals and appendices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5138"/>
      </w:tblGrid>
      <w:tr>
        <w:trPr>
          <w:tblHeader/>
        </w:trPr>
        <w:tc>
          <w:tcPr>
            <w:tcW w:type="dxa" w:w="2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Item</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Location</w:t>
            </w:r>
          </w:p>
        </w:tc>
        <w:tc>
          <w:tcPr>
            <w:tcW w:type="dxa" w:w="51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Notes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Figure 1: Hofstede bar chart</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Body (2b)</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Nigeria vs UK and US; caption, number and citation; do not split across pages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Table 1: VRIO matrix</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Body or Appendix B</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Depends on how word count treats tables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A: country scoring matrix</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Nigeria vs 2–3 comparators; record the Starbucks-presence check and the Kenya and Tanzania issues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C: Nigeria indicator table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Section 5 above, with full sources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D: phased entry Gantt</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(optional)</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Year 0–3: partner search and due diligence; regulatory approvals; pilot Lagos stores; review; scale. The rubric does not reward it, so spend no body words on it</w:t>
            </w:r>
          </w:p>
        </w:tc>
      </w:tr>
    </w:tbl>
    <w:p>
      <w:pPr>
        <w:spacing w:after="100"/>
        <w:rPr>
          <w:i/>
          <w:iCs/>
        </w:rPr>
      </w:pPr>
      <w:r>
        <w:rPr>
          <w:rFonts w:ascii="Calibri" w:cs="Calibri" w:eastAsia="Calibri" w:hAnsi="Calibri"/>
          <w:i/>
          <w:iCs/>
          <w:sz w:val="21"/>
          <w:szCs w:val="21"/>
        </w:rPr>
        <w:t xml:space="preserve">The body argument must not depend on appendices; the marker may not read them.</w:t>
      </w:r>
    </w:p>
    <w:p>
      <w:pPr>
        <w:pStyle w:val="Heading1"/>
        <w:spacing w:after="120" w:before="300"/>
      </w:pPr>
      <w:r>
        <w:rPr>
          <w:rFonts w:ascii="Calibri" w:cs="Calibri" w:eastAsia="Calibri" w:hAnsi="Calibri"/>
          <w:b/>
          <w:bCs/>
          <w:color w:val="1F3864"/>
          <w:sz w:val="30"/>
          <w:szCs w:val="30"/>
        </w:rPr>
        <w:t xml:space="preserve">7. Harsh-marker checklist</w:t>
      </w:r>
    </w:p>
    <w:p>
      <w:pPr>
        <w:pStyle w:val="Heading3"/>
        <w:spacing w:after="80" w:before="140"/>
      </w:pPr>
      <w:r>
        <w:rPr>
          <w:rFonts w:ascii="Calibri" w:cs="Calibri" w:eastAsia="Calibri" w:hAnsi="Calibri"/>
          <w:b/>
          <w:bCs/>
          <w:sz w:val="22"/>
          <w:szCs w:val="22"/>
        </w:rPr>
        <w:t xml:space="preserve">Include</w:t>
      </w:r>
    </w:p>
    <w:p>
      <w:pPr>
        <w:pStyle w:val="ListParagraph"/>
        <w:numPr>
          <w:ilvl w:val="0"/>
          <w:numId w:val="2"/>
        </w:numPr>
        <w:spacing w:after="60"/>
      </w:pPr>
      <w:r>
        <w:rPr>
          <w:rFonts w:ascii="Calibri" w:cs="Calibri" w:eastAsia="Calibri" w:hAnsi="Calibri"/>
          <w:sz w:val="21"/>
          <w:szCs w:val="21"/>
        </w:rPr>
        <w:t xml:space="preserve">Recommendation and thesis within the first 30 words.</w:t>
      </w:r>
    </w:p>
    <w:p>
      <w:pPr>
        <w:pStyle w:val="ListParagraph"/>
        <w:numPr>
          <w:ilvl w:val="0"/>
          <w:numId w:val="2"/>
        </w:numPr>
        <w:spacing w:after="60"/>
      </w:pPr>
      <w:r>
        <w:rPr>
          <w:rFonts w:ascii="Calibri" w:cs="Calibri" w:eastAsia="Calibri" w:hAnsi="Calibri"/>
          <w:sz w:val="21"/>
          <w:szCs w:val="21"/>
        </w:rPr>
        <w:t xml:space="preserve">ONE framework for internal analysis, as the brief demands.</w:t>
      </w:r>
    </w:p>
    <w:p>
      <w:pPr>
        <w:pStyle w:val="ListParagraph"/>
        <w:numPr>
          <w:ilvl w:val="0"/>
          <w:numId w:val="2"/>
        </w:numPr>
        <w:spacing w:after="60"/>
      </w:pPr>
      <w:r>
        <w:rPr>
          <w:rFonts w:ascii="Calibri" w:cs="Calibri" w:eastAsia="Calibri" w:hAnsi="Calibri"/>
          <w:sz w:val="21"/>
          <w:szCs w:val="21"/>
        </w:rPr>
        <w:t xml:space="preserve">Theory applied to Starbucks facts, not defined in the abstract.</w:t>
      </w:r>
    </w:p>
    <w:p>
      <w:pPr>
        <w:pStyle w:val="ListParagraph"/>
        <w:numPr>
          <w:ilvl w:val="0"/>
          <w:numId w:val="2"/>
        </w:numPr>
        <w:spacing w:after="60"/>
      </w:pPr>
      <w:r>
        <w:rPr>
          <w:rFonts w:ascii="Calibri" w:cs="Calibri" w:eastAsia="Calibri" w:hAnsi="Calibri"/>
          <w:sz w:val="21"/>
          <w:szCs w:val="21"/>
        </w:rPr>
        <w:t xml:space="preserve">A limitation for every major theory.</w:t>
      </w:r>
    </w:p>
    <w:p>
      <w:pPr>
        <w:pStyle w:val="ListParagraph"/>
        <w:numPr>
          <w:ilvl w:val="0"/>
          <w:numId w:val="2"/>
        </w:numPr>
        <w:spacing w:after="60"/>
      </w:pPr>
      <w:r>
        <w:rPr>
          <w:rFonts w:ascii="Calibri" w:cs="Calibri" w:eastAsia="Calibri" w:hAnsi="Calibri"/>
          <w:sz w:val="21"/>
          <w:szCs w:val="21"/>
        </w:rPr>
        <w:t xml:space="preserve">A number plus a consequence for every data point.</w:t>
      </w:r>
    </w:p>
    <w:p>
      <w:pPr>
        <w:pStyle w:val="ListParagraph"/>
        <w:numPr>
          <w:ilvl w:val="0"/>
          <w:numId w:val="2"/>
        </w:numPr>
        <w:spacing w:after="60"/>
      </w:pPr>
      <w:r>
        <w:rPr>
          <w:rFonts w:ascii="Calibri" w:cs="Calibri" w:eastAsia="Calibri" w:hAnsi="Calibri"/>
          <w:sz w:val="21"/>
          <w:szCs w:val="21"/>
        </w:rPr>
        <w:t xml:space="preserve">All six Hofstede dimensions.</w:t>
      </w:r>
    </w:p>
    <w:p>
      <w:pPr>
        <w:pStyle w:val="ListParagraph"/>
        <w:numPr>
          <w:ilvl w:val="0"/>
          <w:numId w:val="2"/>
        </w:numPr>
        <w:spacing w:after="60"/>
      </w:pPr>
      <w:r>
        <w:rPr>
          <w:rFonts w:ascii="Calibri" w:cs="Calibri" w:eastAsia="Calibri" w:hAnsi="Calibri"/>
          <w:sz w:val="21"/>
          <w:szCs w:val="21"/>
        </w:rPr>
        <w:t xml:space="preserve">Explicit links between sections (“This is why…”, “This tension means…”).</w:t>
      </w:r>
    </w:p>
    <w:p>
      <w:pPr>
        <w:pStyle w:val="ListParagraph"/>
        <w:numPr>
          <w:ilvl w:val="0"/>
          <w:numId w:val="2"/>
        </w:numPr>
        <w:spacing w:after="60"/>
      </w:pPr>
      <w:r>
        <w:rPr>
          <w:rFonts w:ascii="Calibri" w:cs="Calibri" w:eastAsia="Calibri" w:hAnsi="Calibri"/>
          <w:sz w:val="21"/>
          <w:szCs w:val="21"/>
        </w:rPr>
        <w:t xml:space="preserve">Reverse learning from Nigeria.</w:t>
      </w:r>
    </w:p>
    <w:p>
      <w:pPr>
        <w:pStyle w:val="ListParagraph"/>
        <w:numPr>
          <w:ilvl w:val="0"/>
          <w:numId w:val="2"/>
        </w:numPr>
        <w:spacing w:after="60"/>
      </w:pPr>
      <w:r>
        <w:rPr>
          <w:rFonts w:ascii="Calibri" w:cs="Calibri" w:eastAsia="Calibri" w:hAnsi="Calibri"/>
          <w:sz w:val="21"/>
          <w:szCs w:val="21"/>
        </w:rPr>
        <w:t xml:space="preserve">Hedged language (“suggests”, “is likely to”) where the data are uncertain.</w:t>
      </w:r>
    </w:p>
    <w:p>
      <w:pPr>
        <w:pStyle w:val="Heading3"/>
        <w:spacing w:after="80" w:before="140"/>
      </w:pPr>
      <w:r>
        <w:rPr>
          <w:rFonts w:ascii="Calibri" w:cs="Calibri" w:eastAsia="Calibri" w:hAnsi="Calibri"/>
          <w:b/>
          <w:bCs/>
          <w:sz w:val="22"/>
          <w:szCs w:val="22"/>
        </w:rPr>
        <w:t xml:space="preserve">Remove or avoid</w:t>
      </w:r>
    </w:p>
    <w:p>
      <w:pPr>
        <w:pStyle w:val="ListParagraph"/>
        <w:numPr>
          <w:ilvl w:val="0"/>
          <w:numId w:val="2"/>
        </w:numPr>
        <w:spacing w:after="60"/>
      </w:pPr>
      <w:r>
        <w:rPr>
          <w:rFonts w:ascii="Calibri" w:cs="Calibri" w:eastAsia="Calibri" w:hAnsi="Calibri"/>
          <w:sz w:val="21"/>
          <w:szCs w:val="21"/>
        </w:rPr>
        <w:t xml:space="preserve">Definitions of theories (the marker knows them).</w:t>
      </w:r>
    </w:p>
    <w:p>
      <w:pPr>
        <w:pStyle w:val="ListParagraph"/>
        <w:numPr>
          <w:ilvl w:val="0"/>
          <w:numId w:val="2"/>
        </w:numPr>
        <w:spacing w:after="60"/>
      </w:pPr>
      <w:r>
        <w:rPr>
          <w:rFonts w:ascii="Calibri" w:cs="Calibri" w:eastAsia="Calibri" w:hAnsi="Calibri"/>
          <w:sz w:val="21"/>
          <w:szCs w:val="21"/>
        </w:rPr>
        <w:t xml:space="preserve">Starbucks history (the brief already gives it).</w:t>
      </w:r>
    </w:p>
    <w:p>
      <w:pPr>
        <w:pStyle w:val="ListParagraph"/>
        <w:numPr>
          <w:ilvl w:val="0"/>
          <w:numId w:val="2"/>
        </w:numPr>
        <w:spacing w:after="60"/>
      </w:pPr>
      <w:r>
        <w:rPr>
          <w:rFonts w:ascii="Calibri" w:cs="Calibri" w:eastAsia="Calibri" w:hAnsi="Calibri"/>
          <w:sz w:val="21"/>
          <w:szCs w:val="21"/>
        </w:rPr>
        <w:t xml:space="preserve">Generic lines such as “culture is important”.</w:t>
      </w:r>
    </w:p>
    <w:p>
      <w:pPr>
        <w:pStyle w:val="ListParagraph"/>
        <w:numPr>
          <w:ilvl w:val="0"/>
          <w:numId w:val="2"/>
        </w:numPr>
        <w:spacing w:after="60"/>
      </w:pPr>
      <w:r>
        <w:rPr>
          <w:rFonts w:ascii="Calibri" w:cs="Calibri" w:eastAsia="Calibri" w:hAnsi="Calibri"/>
          <w:sz w:val="21"/>
          <w:szCs w:val="21"/>
        </w:rPr>
        <w:t xml:space="preserve">Lists of every Hofstede score without analysis.</w:t>
      </w:r>
    </w:p>
    <w:p>
      <w:pPr>
        <w:pStyle w:val="ListParagraph"/>
        <w:numPr>
          <w:ilvl w:val="0"/>
          <w:numId w:val="2"/>
        </w:numPr>
        <w:spacing w:after="60"/>
      </w:pPr>
      <w:r>
        <w:rPr>
          <w:rFonts w:ascii="Calibri" w:cs="Calibri" w:eastAsia="Calibri" w:hAnsi="Calibri"/>
          <w:sz w:val="21"/>
          <w:szCs w:val="21"/>
        </w:rPr>
        <w:t xml:space="preserve">Unsupported superlatives.</w:t>
      </w:r>
    </w:p>
    <w:p>
      <w:pPr>
        <w:pStyle w:val="ListParagraph"/>
        <w:numPr>
          <w:ilvl w:val="0"/>
          <w:numId w:val="2"/>
        </w:numPr>
        <w:spacing w:after="60"/>
      </w:pPr>
      <w:r>
        <w:rPr>
          <w:rFonts w:ascii="Calibri" w:cs="Calibri" w:eastAsia="Calibri" w:hAnsi="Calibri"/>
          <w:sz w:val="21"/>
          <w:szCs w:val="21"/>
        </w:rPr>
        <w:t xml:space="preserve">New material in the conclusion.</w:t>
      </w:r>
    </w:p>
    <w:p>
      <w:pPr>
        <w:pStyle w:val="ListParagraph"/>
        <w:numPr>
          <w:ilvl w:val="0"/>
          <w:numId w:val="2"/>
        </w:numPr>
        <w:spacing w:after="60"/>
      </w:pPr>
      <w:r>
        <w:rPr>
          <w:rFonts w:ascii="Calibri" w:cs="Calibri" w:eastAsia="Calibri" w:hAnsi="Calibri"/>
          <w:sz w:val="21"/>
          <w:szCs w:val="21"/>
        </w:rPr>
        <w:t xml:space="preserve">Your name or contact details anywhere (SRN only).</w:t>
      </w:r>
    </w:p>
    <w:p>
      <w:pPr>
        <w:pStyle w:val="ListParagraph"/>
        <w:numPr>
          <w:ilvl w:val="0"/>
          <w:numId w:val="2"/>
        </w:numPr>
        <w:spacing w:after="60"/>
      </w:pPr>
      <w:r>
        <w:rPr>
          <w:rFonts w:ascii="Calibri" w:cs="Calibri" w:eastAsia="Calibri" w:hAnsi="Calibri"/>
          <w:sz w:val="21"/>
          <w:szCs w:val="21"/>
        </w:rPr>
        <w:t xml:space="preserve">A word count over 1,000.</w:t>
      </w:r>
    </w:p>
    <w:p>
      <w:pPr>
        <w:pStyle w:val="Heading1"/>
        <w:spacing w:after="120" w:before="300"/>
      </w:pPr>
      <w:r>
        <w:rPr>
          <w:rFonts w:ascii="Calibri" w:cs="Calibri" w:eastAsia="Calibri" w:hAnsi="Calibri"/>
          <w:b/>
          <w:bCs/>
          <w:color w:val="1F3864"/>
          <w:sz w:val="30"/>
          <w:szCs w:val="30"/>
        </w:rPr>
        <w:t xml:space="preserve">8. Compliance checklist</w:t>
      </w:r>
    </w:p>
    <w:p>
      <w:pPr>
        <w:spacing w:after="60"/>
      </w:pPr>
      <w:r>
        <w:rPr>
          <w:rFonts w:ascii="Calibri" w:cs="Calibri" w:eastAsia="Calibri" w:hAnsi="Calibri"/>
          <w:sz w:val="21"/>
          <w:szCs w:val="21"/>
        </w:rPr>
        <w:t xml:space="preserve">☐  Cover sheet completed: SRN, title, date, word count, and the AI declaration.</w:t>
      </w:r>
    </w:p>
    <w:p>
      <w:pPr>
        <w:spacing w:after="60"/>
      </w:pPr>
      <w:r>
        <w:rPr>
          <w:rFonts w:ascii="Calibri" w:cs="Calibri" w:eastAsia="Calibri" w:hAnsi="Calibri"/>
          <w:sz w:val="21"/>
          <w:szCs w:val="21"/>
        </w:rPr>
        <w:t xml:space="preserve">☐  Title page and contents page.</w:t>
      </w:r>
    </w:p>
    <w:p>
      <w:pPr>
        <w:spacing w:after="60"/>
      </w:pPr>
      <w:r>
        <w:rPr>
          <w:rFonts w:ascii="Calibri" w:cs="Calibri" w:eastAsia="Calibri" w:hAnsi="Calibri"/>
          <w:sz w:val="21"/>
          <w:szCs w:val="21"/>
        </w:rPr>
        <w:t xml:space="preserve">☐  Page numbers in the footer.</w:t>
      </w:r>
    </w:p>
    <w:p>
      <w:pPr>
        <w:spacing w:after="60"/>
      </w:pPr>
      <w:r>
        <w:rPr>
          <w:rFonts w:ascii="Calibri" w:cs="Calibri" w:eastAsia="Calibri" w:hAnsi="Calibri"/>
          <w:sz w:val="21"/>
          <w:szCs w:val="21"/>
        </w:rPr>
        <w:t xml:space="preserve">☐  Harvard referencing; alphabetical reference list with access dates.</w:t>
      </w:r>
    </w:p>
    <w:p>
      <w:pPr>
        <w:spacing w:after="60"/>
      </w:pPr>
      <w:r>
        <w:rPr>
          <w:rFonts w:ascii="Calibri" w:cs="Calibri" w:eastAsia="Calibri" w:hAnsi="Calibri"/>
          <w:sz w:val="21"/>
          <w:szCs w:val="21"/>
        </w:rPr>
        <w:t xml:space="preserve">☐  Figures and tables labelled, cited, not split across pages.</w:t>
      </w:r>
    </w:p>
    <w:p>
      <w:pPr>
        <w:spacing w:after="60"/>
      </w:pPr>
      <w:r>
        <w:rPr>
          <w:rFonts w:ascii="Calibri" w:cs="Calibri" w:eastAsia="Calibri" w:hAnsi="Calibri"/>
          <w:sz w:val="21"/>
          <w:szCs w:val="21"/>
        </w:rPr>
        <w:t xml:space="preserve">☐  Submitted through Turnitin only, before the deadline (late work is not marked).</w:t>
      </w:r>
    </w:p>
    <w:p>
      <w:pPr>
        <w:spacing w:after="80"/>
      </w:pPr>
    </w:p>
    <w:p>
      <w:pPr>
        <w:spacing w:after="100"/>
      </w:pPr>
      <w:r>
        <w:rPr>
          <w:rFonts w:ascii="Calibri" w:cs="Calibri" w:eastAsia="Calibri" w:hAnsi="Calibri"/>
          <w:b/>
          <w:bCs/>
          <w:sz w:val="21"/>
          <w:szCs w:val="21"/>
        </w:rPr>
        <w:t xml:space="preserve">AI declaration warning: </w:t>
      </w:r>
      <w:r>
        <w:rPr>
          <w:rFonts w:ascii="Calibri" w:cs="Calibri" w:eastAsia="Calibri" w:hAnsi="Calibri"/>
          <w:sz w:val="21"/>
          <w:szCs w:val="21"/>
        </w:rPr>
        <w:t xml:space="preserve">the brief allows AI only to review a draft or correct language errors, and requires you to declare use and keep your prompts. Check your module’s policy before submitting any text drafted by AI.</w:t>
      </w:r>
    </w:p>
    <w:p>
      <w:pPr>
        <w:pStyle w:val="Heading1"/>
        <w:spacing w:after="120" w:before="300"/>
      </w:pPr>
      <w:r>
        <w:rPr>
          <w:rFonts w:ascii="Calibri" w:cs="Calibri" w:eastAsia="Calibri" w:hAnsi="Calibri"/>
          <w:b/>
          <w:bCs/>
          <w:color w:val="1F3864"/>
          <w:sz w:val="30"/>
          <w:szCs w:val="30"/>
        </w:rPr>
        <w:t xml:space="preserve">9. Working order</w:t>
      </w:r>
    </w:p>
    <w:p>
      <w:pPr>
        <w:pStyle w:val="ListParagraph"/>
        <w:numPr>
          <w:ilvl w:val="0"/>
          <w:numId w:val="3"/>
        </w:numPr>
        <w:spacing w:after="60"/>
      </w:pPr>
      <w:r>
        <w:rPr>
          <w:rFonts w:ascii="Calibri" w:cs="Calibri" w:eastAsia="Calibri" w:hAnsi="Calibri"/>
          <w:sz w:val="21"/>
          <w:szCs w:val="21"/>
        </w:rPr>
        <w:t xml:space="preserve">Verify Nigeria is a new market, then run the scoring matrix (Appendix A).</w:t>
      </w:r>
    </w:p>
    <w:p>
      <w:pPr>
        <w:pStyle w:val="ListParagraph"/>
        <w:numPr>
          <w:ilvl w:val="0"/>
          <w:numId w:val="3"/>
        </w:numPr>
        <w:spacing w:after="60"/>
      </w:pPr>
      <w:r>
        <w:rPr>
          <w:rFonts w:ascii="Calibri" w:cs="Calibri" w:eastAsia="Calibri" w:hAnsi="Calibri"/>
          <w:sz w:val="21"/>
          <w:szCs w:val="21"/>
        </w:rPr>
        <w:t xml:space="preserve">Close the data gaps and confirm the Hofstede scores.</w:t>
      </w:r>
    </w:p>
    <w:p>
      <w:pPr>
        <w:pStyle w:val="ListParagraph"/>
        <w:numPr>
          <w:ilvl w:val="0"/>
          <w:numId w:val="3"/>
        </w:numPr>
        <w:spacing w:after="60"/>
      </w:pPr>
      <w:r>
        <w:rPr>
          <w:rFonts w:ascii="Calibri" w:cs="Calibri" w:eastAsia="Calibri" w:hAnsi="Calibri"/>
          <w:sz w:val="21"/>
          <w:szCs w:val="21"/>
        </w:rPr>
        <w:t xml:space="preserve">Write the VRIO table and OLI argument as notes.</w:t>
      </w:r>
    </w:p>
    <w:p>
      <w:pPr>
        <w:pStyle w:val="ListParagraph"/>
        <w:numPr>
          <w:ilvl w:val="0"/>
          <w:numId w:val="3"/>
        </w:numPr>
        <w:spacing w:after="60"/>
      </w:pPr>
      <w:r>
        <w:rPr>
          <w:rFonts w:ascii="Calibri" w:cs="Calibri" w:eastAsia="Calibri" w:hAnsi="Calibri"/>
          <w:sz w:val="21"/>
          <w:szCs w:val="21"/>
        </w:rPr>
        <w:t xml:space="preserve">Draft AC1 and AC2 with a word count per paragraph.</w:t>
      </w:r>
    </w:p>
    <w:p>
      <w:pPr>
        <w:pStyle w:val="ListParagraph"/>
        <w:numPr>
          <w:ilvl w:val="0"/>
          <w:numId w:val="3"/>
        </w:numPr>
        <w:spacing w:after="60"/>
      </w:pPr>
      <w:r>
        <w:rPr>
          <w:rFonts w:ascii="Calibri" w:cs="Calibri" w:eastAsia="Calibri" w:hAnsi="Calibri"/>
          <w:sz w:val="21"/>
          <w:szCs w:val="21"/>
        </w:rPr>
        <w:t xml:space="preserve">Write the introduction and conclusion last.</w:t>
      </w:r>
    </w:p>
    <w:p>
      <w:pPr>
        <w:pStyle w:val="ListParagraph"/>
        <w:numPr>
          <w:ilvl w:val="0"/>
          <w:numId w:val="3"/>
        </w:numPr>
        <w:spacing w:after="60"/>
      </w:pPr>
      <w:r>
        <w:rPr>
          <w:rFonts w:ascii="Calibri" w:cs="Calibri" w:eastAsia="Calibri" w:hAnsi="Calibri"/>
          <w:sz w:val="21"/>
          <w:szCs w:val="21"/>
        </w:rPr>
        <w:t xml:space="preserve">Cut to 960–990 words; proofread; check every citation against the reference list.</w:t>
      </w:r>
    </w:p>
    <w:p>
      <w:pPr>
        <w:pStyle w:val="Heading1"/>
        <w:spacing w:after="120" w:before="300"/>
      </w:pPr>
      <w:r>
        <w:rPr>
          <w:rFonts w:ascii="Calibri" w:cs="Calibri" w:eastAsia="Calibri" w:hAnsi="Calibri"/>
          <w:b/>
          <w:bCs/>
          <w:color w:val="1F3864"/>
          <w:sz w:val="30"/>
          <w:szCs w:val="30"/>
        </w:rPr>
        <w:t xml:space="preserve">10. Sources</w:t>
      </w:r>
    </w:p>
    <w:p>
      <w:pPr>
        <w:pStyle w:val="ListParagraph"/>
        <w:numPr>
          <w:ilvl w:val="0"/>
          <w:numId w:val="2"/>
        </w:numPr>
        <w:spacing w:after="40"/>
      </w:pPr>
      <w:hyperlink w:history="1" r:id="rIdcj0rrl0kbqb-jhj0i_puo">
        <w:r>
          <w:rPr>
            <w:rStyle w:val="Hyperlink"/>
            <w:rFonts w:ascii="Calibri" w:cs="Calibri" w:eastAsia="Calibri" w:hAnsi="Calibri"/>
            <w:sz w:val="19"/>
            <w:szCs w:val="19"/>
          </w:rPr>
          <w:t xml:space="preserve">Worldometer – Nigeria population</w:t>
        </w:r>
      </w:hyperlink>
    </w:p>
    <w:p>
      <w:pPr>
        <w:pStyle w:val="ListParagraph"/>
        <w:numPr>
          <w:ilvl w:val="0"/>
          <w:numId w:val="2"/>
        </w:numPr>
        <w:spacing w:after="40"/>
      </w:pPr>
      <w:hyperlink w:history="1" r:id="rIdbekn4crpjxuxei5nyila-">
        <w:r>
          <w:rPr>
            <w:rStyle w:val="Hyperlink"/>
            <w:rFonts w:ascii="Calibri" w:cs="Calibri" w:eastAsia="Calibri" w:hAnsi="Calibri"/>
            <w:sz w:val="19"/>
            <w:szCs w:val="19"/>
          </w:rPr>
          <w:t xml:space="preserve">BusinessDay – CPI 2025</w:t>
        </w:r>
      </w:hyperlink>
    </w:p>
    <w:p>
      <w:pPr>
        <w:pStyle w:val="ListParagraph"/>
        <w:numPr>
          <w:ilvl w:val="0"/>
          <w:numId w:val="2"/>
        </w:numPr>
        <w:spacing w:after="40"/>
      </w:pPr>
      <w:hyperlink w:history="1" r:id="rId9juvuldshfq54h36qjszv">
        <w:r>
          <w:rPr>
            <w:rStyle w:val="Hyperlink"/>
            <w:rFonts w:ascii="Calibri" w:cs="Calibri" w:eastAsia="Calibri" w:hAnsi="Calibri"/>
            <w:sz w:val="19"/>
            <w:szCs w:val="19"/>
          </w:rPr>
          <w:t xml:space="preserve">AllAfrica – Nigeria growth projection 2026</w:t>
        </w:r>
      </w:hyperlink>
    </w:p>
    <w:p>
      <w:pPr>
        <w:pStyle w:val="ListParagraph"/>
        <w:numPr>
          <w:ilvl w:val="0"/>
          <w:numId w:val="2"/>
        </w:numPr>
        <w:spacing w:after="40"/>
      </w:pPr>
      <w:hyperlink w:history="1" r:id="rId4bx22elpwzxf2nxfrnb1s">
        <w:r>
          <w:rPr>
            <w:rStyle w:val="Hyperlink"/>
            <w:rFonts w:ascii="Calibri" w:cs="Calibri" w:eastAsia="Calibri" w:hAnsi="Calibri"/>
            <w:sz w:val="19"/>
            <w:szCs w:val="19"/>
          </w:rPr>
          <w:t xml:space="preserve">Nairametrics – H2 2026 outlook</w:t>
        </w:r>
      </w:hyperlink>
    </w:p>
    <w:p>
      <w:pPr>
        <w:pStyle w:val="ListParagraph"/>
        <w:numPr>
          <w:ilvl w:val="0"/>
          <w:numId w:val="2"/>
        </w:numPr>
        <w:spacing w:after="40"/>
      </w:pPr>
      <w:hyperlink w:history="1" r:id="rIdzliu_ldci_3okdsq6bfse">
        <w:r>
          <w:rPr>
            <w:rStyle w:val="Hyperlink"/>
            <w:rFonts w:ascii="Calibri" w:cs="Calibri" w:eastAsia="Calibri" w:hAnsi="Calibri"/>
            <w:sz w:val="19"/>
            <w:szCs w:val="19"/>
          </w:rPr>
          <w:t xml:space="preserve">Proshare – PwC Nigeria Economic Outlook 2026</w:t>
        </w:r>
      </w:hyperlink>
    </w:p>
    <w:p>
      <w:pPr>
        <w:pStyle w:val="ListParagraph"/>
        <w:numPr>
          <w:ilvl w:val="0"/>
          <w:numId w:val="2"/>
        </w:numPr>
        <w:spacing w:after="40"/>
      </w:pPr>
      <w:hyperlink w:history="1" r:id="rIda4jd9mwh445f-wqj5-_4u">
        <w:r>
          <w:rPr>
            <w:rStyle w:val="Hyperlink"/>
            <w:rFonts w:ascii="Calibri" w:cs="Calibri" w:eastAsia="Calibri" w:hAnsi="Calibri"/>
            <w:sz w:val="19"/>
            <w:szCs w:val="19"/>
          </w:rPr>
          <w:t xml:space="preserve">Mondaq – repatriating capital and profits</w:t>
        </w:r>
      </w:hyperlink>
    </w:p>
    <w:p>
      <w:pPr>
        <w:pStyle w:val="ListParagraph"/>
        <w:numPr>
          <w:ilvl w:val="0"/>
          <w:numId w:val="2"/>
        </w:numPr>
        <w:spacing w:after="40"/>
      </w:pPr>
      <w:hyperlink w:history="1" r:id="rIdkz9pfiriamkkjx8ty1mxl">
        <w:r>
          <w:rPr>
            <w:rStyle w:val="Hyperlink"/>
            <w:rFonts w:ascii="Calibri" w:cs="Calibri" w:eastAsia="Calibri" w:hAnsi="Calibri"/>
            <w:sz w:val="19"/>
            <w:szCs w:val="19"/>
          </w:rPr>
          <w:t xml:space="preserve">Mondaq – legal framework for foreign investors</w:t>
        </w:r>
      </w:hyperlink>
    </w:p>
    <w:p>
      <w:pPr>
        <w:pStyle w:val="ListParagraph"/>
        <w:numPr>
          <w:ilvl w:val="0"/>
          <w:numId w:val="2"/>
        </w:numPr>
        <w:spacing w:after="40"/>
      </w:pPr>
      <w:hyperlink w:history="1" r:id="rIdusyiyjdcri18iqxdktnnk">
        <w:r>
          <w:rPr>
            <w:rStyle w:val="Hyperlink"/>
            <w:rFonts w:ascii="Calibri" w:cs="Calibri" w:eastAsia="Calibri" w:hAnsi="Calibri"/>
            <w:sz w:val="19"/>
            <w:szCs w:val="19"/>
          </w:rPr>
          <w:t xml:space="preserve">Cyborlink – Hofstede scores for Nigeria (verify)</w:t>
        </w:r>
      </w:hyperlink>
    </w:p>
    <w:p>
      <w:pPr>
        <w:pStyle w:val="ListParagraph"/>
        <w:numPr>
          <w:ilvl w:val="0"/>
          <w:numId w:val="2"/>
        </w:numPr>
        <w:spacing w:after="40"/>
      </w:pPr>
      <w:hyperlink w:history="1" r:id="rIdmoyka92_4r7eqhxzdhod3">
        <w:r>
          <w:rPr>
            <w:rStyle w:val="Hyperlink"/>
            <w:rFonts w:ascii="Calibri" w:cs="Calibri" w:eastAsia="Calibri" w:hAnsi="Calibri"/>
            <w:sz w:val="19"/>
            <w:szCs w:val="19"/>
          </w:rPr>
          <w:t xml:space="preserve">How We Made It In Africa – Café Neo</w:t>
        </w:r>
      </w:hyperlink>
    </w:p>
    <w:p>
      <w:pPr>
        <w:pStyle w:val="ListParagraph"/>
        <w:numPr>
          <w:ilvl w:val="0"/>
          <w:numId w:val="2"/>
        </w:numPr>
        <w:spacing w:after="40"/>
      </w:pPr>
      <w:hyperlink w:history="1" r:id="rIdykxna4yyj82kiriga1y7b">
        <w:r>
          <w:rPr>
            <w:rStyle w:val="Hyperlink"/>
            <w:rFonts w:ascii="Calibri" w:cs="Calibri" w:eastAsia="Calibri" w:hAnsi="Calibri"/>
            <w:sz w:val="19"/>
            <w:szCs w:val="19"/>
          </w:rPr>
          <w:t xml:space="preserve">Modern Ghana – Starbucks first sub-Saharan café</w:t>
        </w:r>
      </w:hyperlink>
    </w:p>
    <w:p>
      <w:pPr>
        <w:pStyle w:val="ListParagraph"/>
        <w:numPr>
          <w:ilvl w:val="0"/>
          <w:numId w:val="2"/>
        </w:numPr>
        <w:spacing w:after="40"/>
      </w:pPr>
      <w:hyperlink w:history="1" r:id="rIdtiw6ojmapptypaorvb1mh">
        <w:r>
          <w:rPr>
            <w:rStyle w:val="Hyperlink"/>
            <w:rFonts w:ascii="Calibri" w:cs="Calibri" w:eastAsia="Calibri" w:hAnsi="Calibri"/>
            <w:sz w:val="19"/>
            <w:szCs w:val="19"/>
          </w:rPr>
          <w:t xml:space="preserve">Al Jazeera – Starbucks China stake sale</w:t>
        </w:r>
      </w:hyperlink>
    </w:p>
    <w:p>
      <w:pPr>
        <w:pStyle w:val="ListParagraph"/>
        <w:numPr>
          <w:ilvl w:val="0"/>
          <w:numId w:val="2"/>
        </w:numPr>
        <w:spacing w:after="40"/>
      </w:pPr>
      <w:hyperlink w:history="1" r:id="rIdy-xarlglueiairky8nffh">
        <w:r>
          <w:rPr>
            <w:rStyle w:val="Hyperlink"/>
            <w:rFonts w:ascii="Calibri" w:cs="Calibri" w:eastAsia="Calibri" w:hAnsi="Calibri"/>
            <w:sz w:val="19"/>
            <w:szCs w:val="19"/>
          </w:rPr>
          <w:t xml:space="preserve">SEC – Starbucks 10-Q (FY2026)</w:t>
        </w:r>
      </w:hyperlink>
    </w:p>
    <w:p>
      <w:pPr>
        <w:pStyle w:val="ListParagraph"/>
        <w:numPr>
          <w:ilvl w:val="0"/>
          <w:numId w:val="2"/>
        </w:numPr>
        <w:spacing w:after="40"/>
      </w:pPr>
      <w:hyperlink w:history="1" r:id="rIdskhdeznc7gpkwrx2p1chg">
        <w:r>
          <w:rPr>
            <w:rStyle w:val="Hyperlink"/>
            <w:rFonts w:ascii="Calibri" w:cs="Calibri" w:eastAsia="Calibri" w:hAnsi="Calibri"/>
            <w:sz w:val="19"/>
            <w:szCs w:val="19"/>
          </w:rPr>
          <w:t xml:space="preserve">PesaCheck – Starbucks Kenya</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j0rrl0kbqb-jhj0i_puo" Type="http://schemas.openxmlformats.org/officeDocument/2006/relationships/hyperlink" Target="https://www.worldometers.info/world-population/nigeria-population/" TargetMode="External"/><Relationship Id="rIdbekn4crpjxuxei5nyila-" Type="http://schemas.openxmlformats.org/officeDocument/2006/relationships/hyperlink" Target="https://businessday.ng/companies/article/nigeria-ranks-142th-out-of-182-countries-in-2025-corruption-perceptions-index/" TargetMode="External"/><Relationship Id="rId9juvuldshfq54h36qjszv" Type="http://schemas.openxmlformats.org/officeDocument/2006/relationships/hyperlink" Target="https://allafrica.com/stories/202601160069.html" TargetMode="External"/><Relationship Id="rId4bx22elpwzxf2nxfrnb1s" Type="http://schemas.openxmlformats.org/officeDocument/2006/relationships/hyperlink" Target="https://nairametrics.com/2026/06/30/nigeria-economy-slow-gdp-rising-inflation-elections-cloud-h2-2026-outlook/" TargetMode="External"/><Relationship Id="rIdzliu_ldci_3okdsq6bfse" Type="http://schemas.openxmlformats.org/officeDocument/2006/relationships/hyperlink" Target="https://proshare.co/articles/summary-of-pwc-nigeria-economic-outlook-2026-turning-macroeconomic-stability-into-sustainable-growth" TargetMode="External"/><Relationship Id="rIda4jd9mwh445f-wqj5-_4u" Type="http://schemas.openxmlformats.org/officeDocument/2006/relationships/hyperlink" Target="https://www.mondaq.com/nigeria/investment-strategy/1519352/how-to-successfully-repatriate-capital-and-profits-in-nigeria-by-foreign-investors" TargetMode="External"/><Relationship Id="rIdkz9pfiriamkkjx8ty1mxl" Type="http://schemas.openxmlformats.org/officeDocument/2006/relationships/hyperlink" Target="https://mondaq.com/nigeria/inward-foreign-investment/1467934/legal-framework-and-protection-of-foreign-investors-in-nigeria" TargetMode="External"/><Relationship Id="rIdusyiyjdcri18iqxdktnnk" Type="http://schemas.openxmlformats.org/officeDocument/2006/relationships/hyperlink" Target="https://cyborlink.com/besite/nigeria.htm" TargetMode="External"/><Relationship Id="rIdmoyka92_4r7eqhxzdhod3" Type="http://schemas.openxmlformats.org/officeDocument/2006/relationships/hyperlink" Target="https://www.howwemadeitinafrica.com/two-brothers-started-lagos-first-coffee-shop-chain/" TargetMode="External"/><Relationship Id="rIdykxna4yyj82kiriga1y7b" Type="http://schemas.openxmlformats.org/officeDocument/2006/relationships/hyperlink" Target="https://www.modernghana.com/news/687355/starbucks-opens-first-cafe-in-sub-saharan-africa.html" TargetMode="External"/><Relationship Id="rIdtiw6ojmapptypaorvb1mh" Type="http://schemas.openxmlformats.org/officeDocument/2006/relationships/hyperlink" Target="https://www.aljazeera.com/news/2025/11/4/starbucks-sells-majority-stake-in-china-business-as-it-eyes-expansion" TargetMode="External"/><Relationship Id="rIdy-xarlglueiairky8nffh" Type="http://schemas.openxmlformats.org/officeDocument/2006/relationships/hyperlink" Target="https://www.sec.gov/Archives/edgar/data/0000829224/000082922426000080/sbux-20260329.htm" TargetMode="External"/><Relationship Id="rIdskhdeznc7gpkwrx2p1chg" Type="http://schemas.openxmlformats.org/officeDocument/2006/relationships/hyperlink" Target="https://pesacheck.org/false-starbucks-is-not-opening-a-coffee-shop-in-kenya-580fedf6f747"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Nigeria Blueprint</dc:title>
  <dc:creator>Blueprint</dc:creator>
  <cp:lastModifiedBy>Un-named</cp:lastModifiedBy>
  <cp:revision>1</cp:revision>
  <dcterms:created xsi:type="dcterms:W3CDTF">2026-10-14T01:38:54.297Z</dcterms:created>
  <dcterms:modified xsi:type="dcterms:W3CDTF">2026-10-14T01:38:54.304Z</dcterms:modified>
</cp:coreProperties>
</file>

<file path=docProps/custom.xml><?xml version="1.0" encoding="utf-8"?>
<Properties xmlns="http://schemas.openxmlformats.org/officeDocument/2006/custom-properties" xmlns:vt="http://schemas.openxmlformats.org/officeDocument/2006/docPropsVTypes"/>
</file>