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1261" w14:textId="77777777" w:rsidR="00DB1E35" w:rsidRDefault="00000000">
      <w:pPr>
        <w:pStyle w:val="Title"/>
        <w:jc w:val="center"/>
      </w:pPr>
      <w:r>
        <w:t>Promise and proof: does Meliá White House deliver a consistent premium guest experience?</w:t>
      </w:r>
    </w:p>
    <w:p w14:paraId="33770A68" w14:textId="77777777" w:rsidR="00DB1E35" w:rsidRDefault="00000000">
      <w:pPr>
        <w:pStyle w:val="FirstParagraph"/>
        <w:jc w:val="center"/>
      </w:pPr>
      <w:r>
        <w:rPr>
          <w:b w:val="0"/>
          <w:sz w:val="24"/>
        </w:rPr>
      </w:r>
    </w:p>
    <w:p w14:paraId="33770A68" w14:textId="77777777" w:rsidR="00DB1E35" w:rsidRDefault="00000000">
      <w:pPr>
        <w:pStyle w:val="FirstParagraph"/>
        <w:jc w:val="center"/>
      </w:pPr>
      <w:r>
        <w:rPr>
          <w:b/>
          <w:sz w:val="28"/>
        </w:rPr>
        <w:t>MGT2001 Enterprise and Consultancy for Tourism</w:t>
      </w:r>
    </w:p>
    <w:p w14:paraId="33770A68" w14:textId="77777777" w:rsidR="00DB1E35" w:rsidRDefault="00000000">
      <w:pPr>
        <w:pStyle w:val="FirstParagraph"/>
        <w:jc w:val="center"/>
      </w:pPr>
      <w:r>
        <w:rPr>
          <w:b/>
          <w:sz w:val="24"/>
        </w:rPr>
        <w:t>Assessment 2: Consultancy Report</w:t>
      </w:r>
    </w:p>
    <w:p w14:paraId="33770A68" w14:textId="77777777" w:rsidR="00DB1E35" w:rsidRDefault="00000000">
      <w:pPr>
        <w:pStyle w:val="FirstParagraph"/>
        <w:jc w:val="center"/>
      </w:pPr>
      <w:r>
        <w:rPr>
          <w:b w:val="0"/>
          <w:sz w:val="24"/>
        </w:rPr>
        <w:t>University of Sunderland</w:t>
      </w:r>
    </w:p>
    <w:p w14:paraId="33770A68" w14:textId="77777777" w:rsidR="00DB1E35" w:rsidRDefault="00000000">
      <w:pPr>
        <w:pStyle w:val="FirstParagraph"/>
        <w:jc w:val="center"/>
      </w:pPr>
      <w:r>
        <w:rPr>
          <w:b w:val="0"/>
          <w:sz w:val="24"/>
        </w:rPr>
        <w:t>Student name: ______________________________</w:t>
      </w:r>
    </w:p>
    <w:p w14:paraId="33770A68" w14:textId="77777777" w:rsidR="00DB1E35" w:rsidRDefault="00000000">
      <w:pPr>
        <w:pStyle w:val="FirstParagraph"/>
        <w:jc w:val="center"/>
      </w:pPr>
      <w:r>
        <w:rPr>
          <w:b w:val="0"/>
          <w:sz w:val="24"/>
        </w:rPr>
        <w:t>Student ID: ______________________________</w:t>
      </w:r>
    </w:p>
    <w:p w14:paraId="33770A68" w14:textId="77777777" w:rsidR="00DB1E35" w:rsidRDefault="00000000">
      <w:pPr>
        <w:pStyle w:val="FirstParagraph"/>
        <w:jc w:val="center"/>
      </w:pPr>
      <w:r>
        <w:rPr>
          <w:b w:val="0"/>
          <w:sz w:val="24"/>
        </w:rPr>
        <w:t>Submission deadline: Thursday 8 October 2026, 2:00pm</w:t>
      </w:r>
    </w:p>
    <w:p w14:paraId="33770A68" w14:textId="77777777" w:rsidR="00DB1E35" w:rsidRDefault="00000000">
      <w:pPr>
        <w:pStyle w:val="FirstParagraph"/>
        <w:jc w:val="center"/>
      </w:pPr>
      <w:r>
        <w:rPr>
          <w:b/>
          <w:sz w:val="24"/>
        </w:rPr>
        <w:t>Word count (excluding title page, contents, references and appendices): 2,943</w:t>
      </w:r>
    </w:p>
    <w:p w14:paraId="33770A68" w14:textId="77777777" w:rsidR="00DB1E35" w:rsidRDefault="00000000">
      <w:pPr>
        <w:pStyle w:val="FirstParagraph"/>
        <w:jc w:val="center"/>
      </w:pPr>
      <w:r>
        <w:rPr>
          <w:b w:val="0"/>
          <w:sz w:val="24"/>
        </w:rPr>
        <w:br w:type="page"/>
      </w:r>
    </w:p>
    <w:sdt>
      <w:sdtPr>
        <w:rPr>
          <w:rFonts w:asciiTheme="minorHAnsi" w:eastAsiaTheme="minorHAnsi" w:hAnsiTheme="minorHAnsi" w:cstheme="minorBidi"/>
          <w:color w:val="auto"/>
          <w:sz w:val="24"/>
          <w:szCs w:val="24"/>
        </w:rPr>
        <w:id w:val="-494497200"/>
        <w:docPartObj>
          <w:docPartGallery w:val="Table of Contents"/>
          <w:docPartUnique/>
        </w:docPartObj>
      </w:sdtPr>
      <w:sdtContent>
        <w:p w14:paraId="2208FE76" w14:textId="77777777" w:rsidR="00DB1E35" w:rsidRDefault="00000000">
          <w:pPr>
            <w:pStyle w:val="TOCHeading"/>
          </w:pPr>
          <w:r>
            <w:t>Table of Contents</w:t>
          </w:r>
        </w:p>
        <w:p w14:paraId="4E16CC02" w14:textId="77777777" w:rsidR="00793183" w:rsidRDefault="00000000">
          <w:pPr>
            <w:pStyle w:val="TOC1"/>
            <w:tabs>
              <w:tab w:val="right" w:leader="dot" w:pos="9350"/>
            </w:tabs>
            <w:rPr>
              <w:noProof/>
            </w:rPr>
          </w:pPr>
          <w:r>
            <w:fldChar w:fldCharType="begin"/>
          </w:r>
          <w:r>
            <w:instrText>TOC \o "1-2" \h \z \u</w:instrText>
          </w:r>
          <w:r>
            <w:fldChar w:fldCharType="separate"/>
          </w:r>
          <w:hyperlink w:anchor="_Toc242368057" w:history="1">
            <w:r w:rsidR="00793183" w:rsidRPr="0091530D">
              <w:rPr>
                <w:rStyle w:val="Hyperlink"/>
                <w:noProof/>
              </w:rPr>
              <w:t>1. Introduction</w:t>
            </w:r>
            <w:r w:rsidR="00793183">
              <w:rPr>
                <w:noProof/>
                <w:webHidden/>
              </w:rPr>
              <w:tab/>
            </w:r>
            <w:r w:rsidR="00793183">
              <w:rPr>
                <w:noProof/>
                <w:webHidden/>
              </w:rPr>
              <w:fldChar w:fldCharType="begin"/>
            </w:r>
            <w:r w:rsidR="00793183">
              <w:rPr>
                <w:noProof/>
                <w:webHidden/>
              </w:rPr>
              <w:instrText xml:space="preserve"> PAGEREF _Toc242368057 \h </w:instrText>
            </w:r>
            <w:r w:rsidR="00793183">
              <w:rPr>
                <w:noProof/>
                <w:webHidden/>
              </w:rPr>
            </w:r>
            <w:r w:rsidR="00793183">
              <w:rPr>
                <w:noProof/>
                <w:webHidden/>
              </w:rPr>
              <w:fldChar w:fldCharType="separate"/>
            </w:r>
            <w:r w:rsidR="00793183">
              <w:rPr>
                <w:noProof/>
                <w:webHidden/>
              </w:rPr>
              <w:t>1</w:t>
            </w:r>
            <w:r w:rsidR="00793183">
              <w:rPr>
                <w:noProof/>
                <w:webHidden/>
              </w:rPr>
              <w:fldChar w:fldCharType="end"/>
            </w:r>
          </w:hyperlink>
        </w:p>
        <w:p w14:paraId="5B9D4C15" w14:textId="77777777" w:rsidR="00793183" w:rsidRDefault="00793183">
          <w:pPr>
            <w:pStyle w:val="TOC1"/>
            <w:tabs>
              <w:tab w:val="right" w:leader="dot" w:pos="9350"/>
            </w:tabs>
            <w:rPr>
              <w:noProof/>
            </w:rPr>
          </w:pPr>
          <w:hyperlink w:anchor="_Toc242368058" w:history="1">
            <w:r w:rsidRPr="0091530D">
              <w:rPr>
                <w:rStyle w:val="Hyperlink"/>
                <w:noProof/>
              </w:rPr>
              <w:t>2. Approach and methods</w:t>
            </w:r>
            <w:r>
              <w:rPr>
                <w:noProof/>
                <w:webHidden/>
              </w:rPr>
              <w:tab/>
            </w:r>
            <w:r>
              <w:rPr>
                <w:noProof/>
                <w:webHidden/>
              </w:rPr>
              <w:fldChar w:fldCharType="begin"/>
            </w:r>
            <w:r>
              <w:rPr>
                <w:noProof/>
                <w:webHidden/>
              </w:rPr>
              <w:instrText xml:space="preserve"> PAGEREF _Toc242368058 \h </w:instrText>
            </w:r>
            <w:r>
              <w:rPr>
                <w:noProof/>
                <w:webHidden/>
              </w:rPr>
            </w:r>
            <w:r>
              <w:rPr>
                <w:noProof/>
                <w:webHidden/>
              </w:rPr>
              <w:fldChar w:fldCharType="separate"/>
            </w:r>
            <w:r>
              <w:rPr>
                <w:noProof/>
                <w:webHidden/>
              </w:rPr>
              <w:t>1</w:t>
            </w:r>
            <w:r>
              <w:rPr>
                <w:noProof/>
                <w:webHidden/>
              </w:rPr>
              <w:fldChar w:fldCharType="end"/>
            </w:r>
          </w:hyperlink>
        </w:p>
        <w:p w14:paraId="3C7C95EC" w14:textId="77777777" w:rsidR="00793183" w:rsidRDefault="00793183">
          <w:pPr>
            <w:pStyle w:val="TOC1"/>
            <w:tabs>
              <w:tab w:val="right" w:leader="dot" w:pos="9350"/>
            </w:tabs>
            <w:rPr>
              <w:noProof/>
            </w:rPr>
          </w:pPr>
          <w:hyperlink w:anchor="_Toc242368059" w:history="1">
            <w:r w:rsidRPr="0091530D">
              <w:rPr>
                <w:rStyle w:val="Hyperlink"/>
                <w:noProof/>
              </w:rPr>
              <w:t>3. Six lenses</w:t>
            </w:r>
            <w:r>
              <w:rPr>
                <w:noProof/>
                <w:webHidden/>
              </w:rPr>
              <w:tab/>
            </w:r>
            <w:r>
              <w:rPr>
                <w:noProof/>
                <w:webHidden/>
              </w:rPr>
              <w:fldChar w:fldCharType="begin"/>
            </w:r>
            <w:r>
              <w:rPr>
                <w:noProof/>
                <w:webHidden/>
              </w:rPr>
              <w:instrText xml:space="preserve"> PAGEREF _Toc242368059 \h </w:instrText>
            </w:r>
            <w:r>
              <w:rPr>
                <w:noProof/>
                <w:webHidden/>
              </w:rPr>
            </w:r>
            <w:r>
              <w:rPr>
                <w:noProof/>
                <w:webHidden/>
              </w:rPr>
              <w:fldChar w:fldCharType="separate"/>
            </w:r>
            <w:r>
              <w:rPr>
                <w:noProof/>
                <w:webHidden/>
              </w:rPr>
              <w:t>1</w:t>
            </w:r>
            <w:r>
              <w:rPr>
                <w:noProof/>
                <w:webHidden/>
              </w:rPr>
              <w:fldChar w:fldCharType="end"/>
            </w:r>
          </w:hyperlink>
        </w:p>
        <w:p w14:paraId="129065D7" w14:textId="77777777" w:rsidR="00793183" w:rsidRDefault="00793183">
          <w:pPr>
            <w:pStyle w:val="TOC1"/>
            <w:tabs>
              <w:tab w:val="right" w:leader="dot" w:pos="9350"/>
            </w:tabs>
            <w:rPr>
              <w:noProof/>
            </w:rPr>
          </w:pPr>
          <w:hyperlink w:anchor="_Toc242368060" w:history="1">
            <w:r w:rsidRPr="0091530D">
              <w:rPr>
                <w:rStyle w:val="Hyperlink"/>
                <w:noProof/>
              </w:rPr>
              <w:t>4. Four decisions analysed</w:t>
            </w:r>
            <w:r>
              <w:rPr>
                <w:noProof/>
                <w:webHidden/>
              </w:rPr>
              <w:tab/>
            </w:r>
            <w:r>
              <w:rPr>
                <w:noProof/>
                <w:webHidden/>
              </w:rPr>
              <w:fldChar w:fldCharType="begin"/>
            </w:r>
            <w:r>
              <w:rPr>
                <w:noProof/>
                <w:webHidden/>
              </w:rPr>
              <w:instrText xml:space="preserve"> PAGEREF _Toc242368060 \h </w:instrText>
            </w:r>
            <w:r>
              <w:rPr>
                <w:noProof/>
                <w:webHidden/>
              </w:rPr>
            </w:r>
            <w:r>
              <w:rPr>
                <w:noProof/>
                <w:webHidden/>
              </w:rPr>
              <w:fldChar w:fldCharType="separate"/>
            </w:r>
            <w:r>
              <w:rPr>
                <w:noProof/>
                <w:webHidden/>
              </w:rPr>
              <w:t>1</w:t>
            </w:r>
            <w:r>
              <w:rPr>
                <w:noProof/>
                <w:webHidden/>
              </w:rPr>
              <w:fldChar w:fldCharType="end"/>
            </w:r>
          </w:hyperlink>
        </w:p>
        <w:p w14:paraId="489F9A2F" w14:textId="77777777" w:rsidR="00793183" w:rsidRDefault="00793183">
          <w:pPr>
            <w:pStyle w:val="TOC1"/>
            <w:tabs>
              <w:tab w:val="right" w:leader="dot" w:pos="9350"/>
            </w:tabs>
            <w:rPr>
              <w:noProof/>
            </w:rPr>
          </w:pPr>
          <w:hyperlink w:anchor="_Toc242368061" w:history="1">
            <w:r w:rsidRPr="0091530D">
              <w:rPr>
                <w:rStyle w:val="Hyperlink"/>
                <w:noProof/>
              </w:rPr>
              <w:t>5. How well is it working?</w:t>
            </w:r>
            <w:r>
              <w:rPr>
                <w:noProof/>
                <w:webHidden/>
              </w:rPr>
              <w:tab/>
            </w:r>
            <w:r>
              <w:rPr>
                <w:noProof/>
                <w:webHidden/>
              </w:rPr>
              <w:fldChar w:fldCharType="begin"/>
            </w:r>
            <w:r>
              <w:rPr>
                <w:noProof/>
                <w:webHidden/>
              </w:rPr>
              <w:instrText xml:space="preserve"> PAGEREF _Toc242368061 \h </w:instrText>
            </w:r>
            <w:r>
              <w:rPr>
                <w:noProof/>
                <w:webHidden/>
              </w:rPr>
            </w:r>
            <w:r>
              <w:rPr>
                <w:noProof/>
                <w:webHidden/>
              </w:rPr>
              <w:fldChar w:fldCharType="separate"/>
            </w:r>
            <w:r>
              <w:rPr>
                <w:noProof/>
                <w:webHidden/>
              </w:rPr>
              <w:t>1</w:t>
            </w:r>
            <w:r>
              <w:rPr>
                <w:noProof/>
                <w:webHidden/>
              </w:rPr>
              <w:fldChar w:fldCharType="end"/>
            </w:r>
          </w:hyperlink>
        </w:p>
        <w:p w14:paraId="2DEAD5F1" w14:textId="77777777" w:rsidR="00793183" w:rsidRDefault="00793183">
          <w:pPr>
            <w:pStyle w:val="TOC1"/>
            <w:tabs>
              <w:tab w:val="right" w:leader="dot" w:pos="9350"/>
            </w:tabs>
            <w:rPr>
              <w:noProof/>
            </w:rPr>
          </w:pPr>
          <w:hyperlink w:anchor="_Toc242368062" w:history="1">
            <w:r w:rsidRPr="0091530D">
              <w:rPr>
                <w:rStyle w:val="Hyperlink"/>
                <w:noProof/>
              </w:rPr>
              <w:t>6. Recommendations</w:t>
            </w:r>
            <w:r>
              <w:rPr>
                <w:noProof/>
                <w:webHidden/>
              </w:rPr>
              <w:tab/>
            </w:r>
            <w:r>
              <w:rPr>
                <w:noProof/>
                <w:webHidden/>
              </w:rPr>
              <w:fldChar w:fldCharType="begin"/>
            </w:r>
            <w:r>
              <w:rPr>
                <w:noProof/>
                <w:webHidden/>
              </w:rPr>
              <w:instrText xml:space="preserve"> PAGEREF _Toc242368062 \h </w:instrText>
            </w:r>
            <w:r>
              <w:rPr>
                <w:noProof/>
                <w:webHidden/>
              </w:rPr>
            </w:r>
            <w:r>
              <w:rPr>
                <w:noProof/>
                <w:webHidden/>
              </w:rPr>
              <w:fldChar w:fldCharType="separate"/>
            </w:r>
            <w:r>
              <w:rPr>
                <w:noProof/>
                <w:webHidden/>
              </w:rPr>
              <w:t>1</w:t>
            </w:r>
            <w:r>
              <w:rPr>
                <w:noProof/>
                <w:webHidden/>
              </w:rPr>
              <w:fldChar w:fldCharType="end"/>
            </w:r>
          </w:hyperlink>
        </w:p>
        <w:p w14:paraId="251E425D" w14:textId="77777777" w:rsidR="00793183" w:rsidRDefault="00793183">
          <w:pPr>
            <w:pStyle w:val="TOC1"/>
            <w:tabs>
              <w:tab w:val="right" w:leader="dot" w:pos="9350"/>
            </w:tabs>
            <w:rPr>
              <w:noProof/>
            </w:rPr>
          </w:pPr>
          <w:hyperlink w:anchor="_Toc242368063" w:history="1">
            <w:r w:rsidRPr="0091530D">
              <w:rPr>
                <w:rStyle w:val="Hyperlink"/>
                <w:noProof/>
              </w:rPr>
              <w:t>7. Conclusion</w:t>
            </w:r>
            <w:r>
              <w:rPr>
                <w:noProof/>
                <w:webHidden/>
              </w:rPr>
              <w:tab/>
            </w:r>
            <w:r>
              <w:rPr>
                <w:noProof/>
                <w:webHidden/>
              </w:rPr>
              <w:fldChar w:fldCharType="begin"/>
            </w:r>
            <w:r>
              <w:rPr>
                <w:noProof/>
                <w:webHidden/>
              </w:rPr>
              <w:instrText xml:space="preserve"> PAGEREF _Toc242368063 \h </w:instrText>
            </w:r>
            <w:r>
              <w:rPr>
                <w:noProof/>
                <w:webHidden/>
              </w:rPr>
            </w:r>
            <w:r>
              <w:rPr>
                <w:noProof/>
                <w:webHidden/>
              </w:rPr>
              <w:fldChar w:fldCharType="separate"/>
            </w:r>
            <w:r>
              <w:rPr>
                <w:noProof/>
                <w:webHidden/>
              </w:rPr>
              <w:t>1</w:t>
            </w:r>
            <w:r>
              <w:rPr>
                <w:noProof/>
                <w:webHidden/>
              </w:rPr>
              <w:fldChar w:fldCharType="end"/>
            </w:r>
          </w:hyperlink>
        </w:p>
        <w:p w14:paraId="14E4AC06" w14:textId="77777777" w:rsidR="00793183" w:rsidRDefault="00793183">
          <w:pPr>
            <w:pStyle w:val="TOC1"/>
            <w:tabs>
              <w:tab w:val="right" w:leader="dot" w:pos="9350"/>
            </w:tabs>
            <w:rPr>
              <w:noProof/>
            </w:rPr>
          </w:pPr>
          <w:hyperlink w:anchor="_Toc242368064" w:history="1">
            <w:r w:rsidRPr="0091530D">
              <w:rPr>
                <w:rStyle w:val="Hyperlink"/>
                <w:noProof/>
              </w:rPr>
              <w:t>References</w:t>
            </w:r>
            <w:r>
              <w:rPr>
                <w:noProof/>
                <w:webHidden/>
              </w:rPr>
              <w:tab/>
            </w:r>
            <w:r>
              <w:rPr>
                <w:noProof/>
                <w:webHidden/>
              </w:rPr>
              <w:fldChar w:fldCharType="begin"/>
            </w:r>
            <w:r>
              <w:rPr>
                <w:noProof/>
                <w:webHidden/>
              </w:rPr>
              <w:instrText xml:space="preserve"> PAGEREF _Toc242368064 \h </w:instrText>
            </w:r>
            <w:r>
              <w:rPr>
                <w:noProof/>
                <w:webHidden/>
              </w:rPr>
            </w:r>
            <w:r>
              <w:rPr>
                <w:noProof/>
                <w:webHidden/>
              </w:rPr>
              <w:fldChar w:fldCharType="separate"/>
            </w:r>
            <w:r>
              <w:rPr>
                <w:noProof/>
                <w:webHidden/>
              </w:rPr>
              <w:t>1</w:t>
            </w:r>
            <w:r>
              <w:rPr>
                <w:noProof/>
                <w:webHidden/>
              </w:rPr>
              <w:fldChar w:fldCharType="end"/>
            </w:r>
          </w:hyperlink>
        </w:p>
        <w:p w14:paraId="23A82B89" w14:textId="77777777" w:rsidR="00793183" w:rsidRDefault="00793183">
          <w:pPr>
            <w:pStyle w:val="TOC1"/>
            <w:tabs>
              <w:tab w:val="right" w:leader="dot" w:pos="9350"/>
            </w:tabs>
            <w:rPr>
              <w:noProof/>
            </w:rPr>
          </w:pPr>
          <w:hyperlink w:anchor="_Toc242368065" w:history="1">
            <w:r w:rsidRPr="0091530D">
              <w:rPr>
                <w:rStyle w:val="Hyperlink"/>
                <w:noProof/>
              </w:rPr>
              <w:t>Appendices</w:t>
            </w:r>
            <w:r>
              <w:rPr>
                <w:noProof/>
                <w:webHidden/>
              </w:rPr>
              <w:tab/>
            </w:r>
            <w:r>
              <w:rPr>
                <w:noProof/>
                <w:webHidden/>
              </w:rPr>
              <w:fldChar w:fldCharType="begin"/>
            </w:r>
            <w:r>
              <w:rPr>
                <w:noProof/>
                <w:webHidden/>
              </w:rPr>
              <w:instrText xml:space="preserve"> PAGEREF _Toc242368065 \h </w:instrText>
            </w:r>
            <w:r>
              <w:rPr>
                <w:noProof/>
                <w:webHidden/>
              </w:rPr>
            </w:r>
            <w:r>
              <w:rPr>
                <w:noProof/>
                <w:webHidden/>
              </w:rPr>
              <w:fldChar w:fldCharType="separate"/>
            </w:r>
            <w:r>
              <w:rPr>
                <w:noProof/>
                <w:webHidden/>
              </w:rPr>
              <w:t>1</w:t>
            </w:r>
            <w:r>
              <w:rPr>
                <w:noProof/>
                <w:webHidden/>
              </w:rPr>
              <w:fldChar w:fldCharType="end"/>
            </w:r>
          </w:hyperlink>
        </w:p>
        <w:p w14:paraId="059AF9F2" w14:textId="77777777" w:rsidR="00793183" w:rsidRDefault="00793183">
          <w:pPr>
            <w:pStyle w:val="TOC2"/>
            <w:tabs>
              <w:tab w:val="right" w:leader="dot" w:pos="9350"/>
            </w:tabs>
            <w:rPr>
              <w:noProof/>
            </w:rPr>
          </w:pPr>
          <w:hyperlink w:anchor="_Toc242368066" w:history="1">
            <w:r w:rsidRPr="0091530D">
              <w:rPr>
                <w:rStyle w:val="Hyperlink"/>
                <w:noProof/>
              </w:rPr>
              <w:t>Appendix 1: Photographs (Figs. 1-9)</w:t>
            </w:r>
            <w:r>
              <w:rPr>
                <w:noProof/>
                <w:webHidden/>
              </w:rPr>
              <w:tab/>
            </w:r>
            <w:r>
              <w:rPr>
                <w:noProof/>
                <w:webHidden/>
              </w:rPr>
              <w:fldChar w:fldCharType="begin"/>
            </w:r>
            <w:r>
              <w:rPr>
                <w:noProof/>
                <w:webHidden/>
              </w:rPr>
              <w:instrText xml:space="preserve"> PAGEREF _Toc242368066 \h </w:instrText>
            </w:r>
            <w:r>
              <w:rPr>
                <w:noProof/>
                <w:webHidden/>
              </w:rPr>
            </w:r>
            <w:r>
              <w:rPr>
                <w:noProof/>
                <w:webHidden/>
              </w:rPr>
              <w:fldChar w:fldCharType="separate"/>
            </w:r>
            <w:r>
              <w:rPr>
                <w:noProof/>
                <w:webHidden/>
              </w:rPr>
              <w:t>1</w:t>
            </w:r>
            <w:r>
              <w:rPr>
                <w:noProof/>
                <w:webHidden/>
              </w:rPr>
              <w:fldChar w:fldCharType="end"/>
            </w:r>
          </w:hyperlink>
        </w:p>
        <w:p w14:paraId="25735DDB" w14:textId="77777777" w:rsidR="00793183" w:rsidRDefault="00793183">
          <w:pPr>
            <w:pStyle w:val="TOC2"/>
            <w:tabs>
              <w:tab w:val="right" w:leader="dot" w:pos="9350"/>
            </w:tabs>
            <w:rPr>
              <w:noProof/>
            </w:rPr>
          </w:pPr>
          <w:hyperlink w:anchor="_Toc242368067" w:history="1">
            <w:r w:rsidRPr="0091530D">
              <w:rPr>
                <w:rStyle w:val="Hyperlink"/>
                <w:noProof/>
              </w:rPr>
              <w:t>Appendix 2: Source map</w:t>
            </w:r>
            <w:r>
              <w:rPr>
                <w:noProof/>
                <w:webHidden/>
              </w:rPr>
              <w:tab/>
            </w:r>
            <w:r>
              <w:rPr>
                <w:noProof/>
                <w:webHidden/>
              </w:rPr>
              <w:fldChar w:fldCharType="begin"/>
            </w:r>
            <w:r>
              <w:rPr>
                <w:noProof/>
                <w:webHidden/>
              </w:rPr>
              <w:instrText xml:space="preserve"> PAGEREF _Toc242368067 \h </w:instrText>
            </w:r>
            <w:r>
              <w:rPr>
                <w:noProof/>
                <w:webHidden/>
              </w:rPr>
            </w:r>
            <w:r>
              <w:rPr>
                <w:noProof/>
                <w:webHidden/>
              </w:rPr>
              <w:fldChar w:fldCharType="separate"/>
            </w:r>
            <w:r>
              <w:rPr>
                <w:noProof/>
                <w:webHidden/>
              </w:rPr>
              <w:t>1</w:t>
            </w:r>
            <w:r>
              <w:rPr>
                <w:noProof/>
                <w:webHidden/>
              </w:rPr>
              <w:fldChar w:fldCharType="end"/>
            </w:r>
          </w:hyperlink>
        </w:p>
        <w:p w14:paraId="44B3B237" w14:textId="77777777" w:rsidR="00793183" w:rsidRDefault="00793183">
          <w:pPr>
            <w:pStyle w:val="TOC2"/>
            <w:tabs>
              <w:tab w:val="right" w:leader="dot" w:pos="9350"/>
            </w:tabs>
            <w:rPr>
              <w:noProof/>
            </w:rPr>
          </w:pPr>
          <w:hyperlink w:anchor="_Toc242368070" w:history="1">
            <w:r w:rsidRPr="0091530D">
              <w:rPr>
                <w:rStyle w:val="Hyperlink"/>
                <w:noProof/>
              </w:rPr>
              <w:t>Appendix 3: Promise-versus-proof ledger</w:t>
            </w:r>
            <w:r>
              <w:rPr>
                <w:noProof/>
                <w:webHidden/>
              </w:rPr>
              <w:tab/>
            </w:r>
            <w:r>
              <w:rPr>
                <w:noProof/>
                <w:webHidden/>
              </w:rPr>
              <w:fldChar w:fldCharType="begin"/>
            </w:r>
            <w:r>
              <w:rPr>
                <w:noProof/>
                <w:webHidden/>
              </w:rPr>
              <w:instrText xml:space="preserve"> PAGEREF _Toc242368070 \h </w:instrText>
            </w:r>
            <w:r>
              <w:rPr>
                <w:noProof/>
                <w:webHidden/>
              </w:rPr>
            </w:r>
            <w:r>
              <w:rPr>
                <w:noProof/>
                <w:webHidden/>
              </w:rPr>
              <w:fldChar w:fldCharType="separate"/>
            </w:r>
            <w:r>
              <w:rPr>
                <w:noProof/>
                <w:webHidden/>
              </w:rPr>
              <w:t>1</w:t>
            </w:r>
            <w:r>
              <w:rPr>
                <w:noProof/>
                <w:webHidden/>
              </w:rPr>
              <w:fldChar w:fldCharType="end"/>
            </w:r>
          </w:hyperlink>
        </w:p>
        <w:p w14:paraId="3CC8D2C1" w14:textId="77777777" w:rsidR="00793183" w:rsidRDefault="00793183">
          <w:pPr>
            <w:pStyle w:val="TOC2"/>
            <w:tabs>
              <w:tab w:val="right" w:leader="dot" w:pos="9350"/>
            </w:tabs>
            <w:rPr>
              <w:noProof/>
            </w:rPr>
          </w:pPr>
          <w:hyperlink w:anchor="_Toc242368071" w:history="1">
            <w:r w:rsidRPr="0091530D">
              <w:rPr>
                <w:rStyle w:val="Hyperlink"/>
                <w:noProof/>
              </w:rPr>
              <w:t>Appendix 4: 90-day timeline (estimates)</w:t>
            </w:r>
            <w:r>
              <w:rPr>
                <w:noProof/>
                <w:webHidden/>
              </w:rPr>
              <w:tab/>
            </w:r>
            <w:r>
              <w:rPr>
                <w:noProof/>
                <w:webHidden/>
              </w:rPr>
              <w:fldChar w:fldCharType="begin"/>
            </w:r>
            <w:r>
              <w:rPr>
                <w:noProof/>
                <w:webHidden/>
              </w:rPr>
              <w:instrText xml:space="preserve"> PAGEREF _Toc242368071 \h </w:instrText>
            </w:r>
            <w:r>
              <w:rPr>
                <w:noProof/>
                <w:webHidden/>
              </w:rPr>
            </w:r>
            <w:r>
              <w:rPr>
                <w:noProof/>
                <w:webHidden/>
              </w:rPr>
              <w:fldChar w:fldCharType="separate"/>
            </w:r>
            <w:r>
              <w:rPr>
                <w:noProof/>
                <w:webHidden/>
              </w:rPr>
              <w:t>1</w:t>
            </w:r>
            <w:r>
              <w:rPr>
                <w:noProof/>
                <w:webHidden/>
              </w:rPr>
              <w:fldChar w:fldCharType="end"/>
            </w:r>
          </w:hyperlink>
        </w:p>
        <w:p w14:paraId="7F4A09BB" w14:textId="77777777" w:rsidR="00DB1E35" w:rsidRDefault="00000000">
          <w:r>
            <w:fldChar w:fldCharType="end"/>
          </w:r>
        </w:p>
      </w:sdtContent>
    </w:sdt>
    <w:p w14:paraId="5EF9E29A" w14:textId="77777777" w:rsidR="00DB1E35" w:rsidRDefault="00000000">
      <w:pPr>
        <w:pStyle w:val="Heading1"/>
      </w:pPr>
      <w:bookmarkStart w:id="0" w:name="introduction"/>
      <w:bookmarkStart w:id="1" w:name="_Toc242368057"/>
      <w:r>
        <w:t>1. Introduction</w:t>
      </w:r>
      <w:bookmarkEnd w:id="1"/>
    </w:p>
    <w:p w14:paraId="33770A68" w14:textId="77777777" w:rsidR="00DB1E35" w:rsidRDefault="00000000">
      <w:pPr>
        <w:pStyle w:val="FirstParagraph"/>
      </w:pPr>
      <w:r>
        <w:t>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14:paraId="78D71729" w14:textId="77777777" w:rsidR="00DB1E35" w:rsidRDefault="00000000">
      <w:pPr>
        <w:pStyle w:val="BodyText"/>
      </w:pPr>
      <w:r>
        <w:t>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14:paraId="6EA088DC" w14:textId="77777777" w:rsidR="00DB1E35" w:rsidRDefault="00000000">
      <w:pPr>
        <w:pStyle w:val="Compact"/>
        <w:numPr>
          <w:ilvl w:val="0"/>
          <w:numId w:val="2"/>
        </w:numPr>
      </w:pPr>
      <w:r>
        <w:t>Which lenses from the literature suit the problem? (Chapter 3)</w:t>
      </w:r>
    </w:p>
    <w:p w14:paraId="1FAF61A0" w14:textId="77777777" w:rsidR="00DB1E35" w:rsidRDefault="00000000">
      <w:pPr>
        <w:pStyle w:val="Compact"/>
        <w:numPr>
          <w:ilvl w:val="0"/>
          <w:numId w:val="2"/>
        </w:numPr>
      </w:pPr>
      <w:r>
        <w:t>Were four management decisions good enterprise choices? (Chapter 4)</w:t>
      </w:r>
    </w:p>
    <w:p w14:paraId="2640FACA" w14:textId="77777777" w:rsidR="00DB1E35" w:rsidRDefault="00000000">
      <w:pPr>
        <w:pStyle w:val="Compact"/>
        <w:numPr>
          <w:ilvl w:val="0"/>
          <w:numId w:val="2"/>
        </w:numPr>
      </w:pPr>
      <w:r>
        <w:lastRenderedPageBreak/>
        <w:t>How well do those decisions work, judged by visit evidence, documents and reviews? (Chapter 5)</w:t>
      </w:r>
    </w:p>
    <w:p w14:paraId="25E1CBAF" w14:textId="77777777" w:rsidR="00DB1E35" w:rsidRDefault="00000000">
      <w:pPr>
        <w:pStyle w:val="Compact"/>
        <w:numPr>
          <w:ilvl w:val="0"/>
          <w:numId w:val="2"/>
        </w:numPr>
      </w:pPr>
      <w:r>
        <w:t>What four fixes are costed, timed and measurable? (Chapter 6)</w:t>
      </w:r>
    </w:p>
    <w:p w14:paraId="624FCA2B" w14:textId="77777777" w:rsidR="00DB1E35" w:rsidRDefault="00000000">
      <w:pPr>
        <w:pStyle w:val="FirstParagraph"/>
      </w:pPr>
      <w:r>
        <w:t>The argument is that the hotel delivers its premium promise where guests look first (public spaces, breakfast, bar) and under-delivers where they look closely (condition and consistency). That gap matters more at a quoted rate near £300 than it would at a budget rate. Chapter 2 sets out the method, Chapters 3 and 4 the tools and the decisions, Chapter 5 the evidence, and Chapters 6 and 7 the recommendations and conclusion.</w:t>
      </w:r>
    </w:p>
    <w:p w14:paraId="2A0BCC68" w14:textId="77777777" w:rsidR="00DB1E35" w:rsidRDefault="00000000">
      <w:pPr>
        <w:pStyle w:val="Heading1"/>
      </w:pPr>
      <w:bookmarkStart w:id="2" w:name="approach-and-methods"/>
      <w:bookmarkStart w:id="3" w:name="_Toc242368058"/>
      <w:bookmarkEnd w:id="0"/>
      <w:r>
        <w:t>2. Approach and methods</w:t>
      </w:r>
      <w:bookmarkEnd w:id="3"/>
    </w:p>
    <w:p w14:paraId="21AD8421" w14:textId="77777777" w:rsidR="00DB1E35" w:rsidRDefault="00000000">
      <w:pPr>
        <w:pStyle w:val="FirstParagraph"/>
      </w:pPr>
      <w:r>
        <w:t>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14:paraId="18B2B15E" w14:textId="77777777" w:rsidR="00DB1E35" w:rsidRDefault="00000000">
      <w:pPr>
        <w:pStyle w:val="BodyText"/>
      </w:pPr>
      <w:r>
        <w:t>The design is a single-case study (Yin, 2018). One hotel gives depth over breadth, which suits a question about consistency across touchpoints, but it limits generalisation.</w:t>
      </w:r>
    </w:p>
    <w:p w14:paraId="1A4B32A6" w14:textId="77777777" w:rsidR="00DB1E35" w:rsidRDefault="00000000">
      <w:pPr>
        <w:pStyle w:val="BodyText"/>
      </w:pPr>
      <w:r>
        <w:t>Primary data came from a hosted visit on 9 September 2025 (Veal, 2017). The visit had three parts. First, the group was seated and each person introduced themselves in turn, followed by a two-way question-and-answer session about hospitality careers, in which staff asked questions as well as answering them.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14:paraId="51E2D96E" w14:textId="77777777" w:rsidR="00DB1E35" w:rsidRDefault="00000000">
      <w:pPr>
        <w:pStyle w:val="BodyText"/>
      </w:pPr>
      <w:r>
        <w:t>The visit was therefore a guided, hospitable one: the first session was about careers, not operations, the route was chosen by the hosts, and the closing drinks may have softened impressions. It showed a managed version of the hotel. Sixteen photographs were taken; five are used as Figures 1 to 5 (Appendix 1), and photographs showing identifiable people were cropped or left out.</w:t>
      </w:r>
    </w:p>
    <w:p w14:paraId="06BC239C" w14:textId="77777777" w:rsidR="00DB1E35" w:rsidRDefault="00000000">
      <w:pPr>
        <w:pStyle w:val="BodyText"/>
      </w:pPr>
      <w:r>
        <w:t>Secondary data comprised Camden Council planning documents, Meliá press material, trade press, ranking coverage from Brand Finance and S&amp;P Global, and published guest reviews. Following Denzin (1978) and Bryman and Bell (2015), each claim is checked against at least two source types.</w:t>
      </w:r>
    </w:p>
    <w:p w14:paraId="7AAED88E" w14:textId="77777777" w:rsidR="00DB1E35" w:rsidRDefault="00000000">
      <w:pPr>
        <w:pStyle w:val="BodyText"/>
      </w:pPr>
      <w:r>
        <w:t>The limits are specific. There was one visit and one managed tour, and management accounts were unavailable. Corporate sources are promotional, and online reviews are self-</w:t>
      </w:r>
      <w:r>
        <w:t>selected, so the reviews are indicative only (Litvin, Goldsmith and Pan, 2008; Sparks and Browning, 2011). Sources also conflict: Meliá’s press material gives 581 bedrooms, while a Camden Council document gives 548 (Camden Council, 2025). Both are reported and neither is chosen silently. The co-working article is from April 2024, so prices may have changed, and the £300 figure is a verbal staff quote of a starting rate, not a published tariff. Findings are therefore indicative. Appendix 2 maps each source.</w:t>
      </w:r>
    </w:p>
    <w:p w14:paraId="20B6CB54" w14:textId="77777777" w:rsidR="00DB1E35" w:rsidRDefault="00000000">
      <w:pPr>
        <w:pStyle w:val="Heading1"/>
      </w:pPr>
      <w:bookmarkStart w:id="4" w:name="six-lenses"/>
      <w:bookmarkStart w:id="5" w:name="_Toc242368059"/>
      <w:bookmarkEnd w:id="2"/>
      <w:r>
        <w:t>3. Six lenses</w:t>
      </w:r>
      <w:bookmarkEnd w:id="5"/>
    </w:p>
    <w:p w14:paraId="1FA32637" w14:textId="77777777" w:rsidR="00DB1E35" w:rsidRDefault="00000000">
      <w:pPr>
        <w:pStyle w:val="FirstParagraph"/>
      </w:pPr>
      <w:r>
        <w:t>Six lenses are used because each reappears in the decisions and recommendations that follow.</w:t>
      </w:r>
    </w:p>
    <w:p w14:paraId="50FDD782" w14:textId="77777777" w:rsidR="00DB1E35" w:rsidRDefault="00000000">
      <w:pPr>
        <w:pStyle w:val="BodyText"/>
      </w:pPr>
      <w:r>
        <w:rPr>
          <w:b/>
          <w:bCs/>
        </w:rPr>
        <w:t>Technical and functional quality.</w:t>
      </w:r>
      <w:r>
        <w:t xml:space="preserve"> 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14:paraId="354173AA" w14:textId="77777777" w:rsidR="00DB1E35" w:rsidRDefault="00000000">
      <w:pPr>
        <w:pStyle w:val="BodyText"/>
      </w:pPr>
      <w:r>
        <w:rPr>
          <w:b/>
          <w:bCs/>
        </w:rPr>
        <w:t>Must-be, performance and delight.</w:t>
      </w:r>
      <w:r>
        <w:t xml:space="preserve"> 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14:paraId="2AFF07A4" w14:textId="77777777" w:rsidR="00DB1E35" w:rsidRDefault="00000000">
      <w:pPr>
        <w:pStyle w:val="BodyText"/>
      </w:pPr>
      <w:r>
        <w:rPr>
          <w:b/>
          <w:bCs/>
        </w:rPr>
        <w:t>The setting.</w:t>
      </w:r>
      <w:r>
        <w:t xml:space="preserve"> 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14:paraId="14D4F1FA" w14:textId="77777777" w:rsidR="00DB1E35" w:rsidRDefault="00000000">
      <w:pPr>
        <w:pStyle w:val="BodyText"/>
      </w:pPr>
      <w:r>
        <w:rPr>
          <w:b/>
          <w:bCs/>
        </w:rPr>
        <w:t>Value and fairness.</w:t>
      </w:r>
      <w:r>
        <w:t xml:space="preserve"> Zeithaml (1988) places value in the guest’s head, so it differs between guests. Xia, Monroe and Cox (2004) add that price differences are judged for fairness, and Kimes (2002) notes that yield pricing is rational for the hotel yet can feel unfair. Rooms quoted at about £300 on the visit, a level online listings also suggest, set a high yardstick. The same lift door can be forgiven at a budget price and resented at a premium one.</w:t>
      </w:r>
    </w:p>
    <w:p w14:paraId="4853BDAA" w14:textId="77777777" w:rsidR="00DB1E35" w:rsidRDefault="00000000">
      <w:pPr>
        <w:pStyle w:val="BodyText"/>
      </w:pPr>
      <w:r>
        <w:rPr>
          <w:b/>
          <w:bCs/>
        </w:rPr>
        <w:t>Positioning.</w:t>
      </w:r>
      <w:r>
        <w:t xml:space="preserve"> 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14:paraId="4FA0054A" w14:textId="77777777" w:rsidR="00DB1E35" w:rsidRDefault="00000000">
      <w:pPr>
        <w:pStyle w:val="BodyText"/>
      </w:pPr>
      <w:r>
        <w:rPr>
          <w:b/>
          <w:bCs/>
        </w:rPr>
        <w:t>Service recovery.</w:t>
      </w:r>
      <w:r>
        <w:t xml:space="preserve"> Smith, Bolton and Wagner (1999) show that how a failure is put right shapes later satisfaction, yet McCollough, Berry and Yadav (2000) caution that recovery </w:t>
      </w:r>
      <w:r>
        <w:lastRenderedPageBreak/>
        <w:t>cannot substitute for reliability. The lens is applied to breakfast, the hotel’s most visible service. No failure was seen on the visit, so it is used to shape a precautionary protocol and not to judge past performance.</w:t>
      </w:r>
    </w:p>
    <w:p w14:paraId="48F7BC40" w14:textId="77777777" w:rsidR="00DB1E35" w:rsidRDefault="00000000">
      <w:pPr>
        <w:pStyle w:val="BodyText"/>
      </w:pPr>
      <w:r>
        <w:t>Together: Grönroos classifies what was seen, Kano ranks it, setting and value explain why it matters at this price, positioning asks whether the strategy holds, and recovery asks how failure is handled.</w:t>
      </w:r>
    </w:p>
    <w:p w14:paraId="62FDD151" w14:textId="77777777" w:rsidR="00DB1E35" w:rsidRDefault="00000000">
      <w:pPr>
        <w:pStyle w:val="Heading1"/>
      </w:pPr>
      <w:bookmarkStart w:id="6" w:name="four-decisions-analysed"/>
      <w:bookmarkStart w:id="7" w:name="_Toc242368060"/>
      <w:bookmarkEnd w:id="4"/>
      <w:r>
        <w:t>4. Four decisions analysed</w:t>
      </w:r>
      <w:bookmarkEnd w:id="7"/>
    </w:p>
    <w:p w14:paraId="3E540A1C" w14:textId="77777777" w:rsidR="00DB1E35" w:rsidRDefault="00000000">
      <w:pPr>
        <w:pStyle w:val="FirstParagraph"/>
      </w:pPr>
      <w:r>
        <w:rPr>
          <w:b/>
          <w:bCs/>
        </w:rPr>
        <w:t>Decision 1: the big bet.</w:t>
      </w:r>
      <w:r>
        <w:t xml:space="preserve"> Meliá reports £40m invested over five years while the hotel stayed open (Hospitality Net, 2023). Grant (1991) would treat a Grade II listed building as a scarce resource that rivals cannot copy. Eisenhardt and Martin (2000) suggest renovating while trading can be read as a capability, because revenue and learning continue. The corridors and gym show the heritage carried through: cornice detail runs through the fitness area and the lift lobby pairs black marble with a pedimented surround (Fig. 1). Yet Poria et al. (2003) suggest heritage appeals through a personal link with the past, which a neglected finish does not support, and the lift lobby shows how quickly it turns into a liability when not maintained. The lift door has a dull, uneven finish, and the air-conditioning grille above the cornice is visibly dusty. Camden filings also show works continuing in 2025, including a Wing A refurbishment and a basement conversion (Camden Council, 2025). The verdict is that the asset justified the bet, but trading through works moved some cost onto guests, and a £40m spend only protects value if standards are then sustained. The renovation creates an obligation to maintain, not merely to reach a standard once.</w:t>
      </w:r>
    </w:p>
    <w:p w14:paraId="3914AD6A" w14:textId="77777777" w:rsidR="00DB1E35" w:rsidRDefault="00000000">
      <w:pPr>
        <w:pStyle w:val="BodyText"/>
      </w:pPr>
      <w:r>
        <w:rPr>
          <w:b/>
          <w:bCs/>
        </w:rPr>
        <w:t>Decision 2: the Spanish signature.</w:t>
      </w:r>
      <w:r>
        <w:t xml:space="preserve"> 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The concept breaks in the room. The tea and coffee tray holds Nescafé Original sachets and portion milk, on a black marble top with visible water marks and smears (Fig. 4), which contradicts the Spanish, premium identity. The verdict is a good bet undermined by a fixable inconsistency. Gentile, Spiller and Noci (2007) explain why it matters: experience is built from many components, so a weak one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14:paraId="694D7BCB" w14:textId="77777777" w:rsidR="00DB1E35" w:rsidRDefault="00000000">
      <w:pPr>
        <w:pStyle w:val="BodyText"/>
      </w:pPr>
      <w:r>
        <w:rPr>
          <w:b/>
          <w:bCs/>
        </w:rPr>
        <w:t>Decision 3: The Level and public co-working.</w:t>
      </w:r>
      <w:r>
        <w:t xml:space="preserve"> 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w:t>
      </w:r>
      <w:r>
        <w:t>and Tse (2008) add that diversification should reinforce the core. The photograph shows a long timber table with power-ready seating beside softer café-style tables facing a garden (Fig. 3), and the visit also took in a dark-wood, red-velvet ’35 Bar,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so the scheme is better read as a way of drawing local professionals into Arado and ’35 Bar than as a major revenue line, and without redemption data the discount cannot be judged.</w:t>
      </w:r>
    </w:p>
    <w:p w14:paraId="5C93151A" w14:textId="77777777" w:rsidR="00DB1E35" w:rsidRDefault="00000000">
      <w:pPr>
        <w:pStyle w:val="BodyText"/>
      </w:pPr>
      <w:r>
        <w:rPr>
          <w:b/>
          <w:bCs/>
        </w:rPr>
        <w:t>Decision 4: the premium badge.</w:t>
      </w:r>
      <w:r>
        <w:t xml:space="preserve"> 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Manaktola and Jauhari (2007) find that guests’ green attitudes do not always translate into choices, so sustainability should be supporting value, not the lead. The only sustainability cue seen on the visit was the organic cava. A brand that wanted guests to credit its green record would need visible, repeated cues, and one organic product offers little. The verdict is that the badge is a promise the hotel must now prove room by room, and the group claims say little about this property.</w:t>
      </w:r>
    </w:p>
    <w:p w14:paraId="119D780A" w14:textId="77777777" w:rsidR="00DB1E35" w:rsidRDefault="00000000">
      <w:pPr>
        <w:pStyle w:val="Heading1"/>
      </w:pPr>
      <w:bookmarkStart w:id="8" w:name="how-well-is-it-working"/>
      <w:bookmarkStart w:id="9" w:name="_Toc242368061"/>
      <w:bookmarkEnd w:id="6"/>
      <w:r>
        <w:t>5. How well is it working?</w:t>
      </w:r>
      <w:bookmarkEnd w:id="9"/>
    </w:p>
    <w:p w14:paraId="6112D932" w14:textId="77777777" w:rsidR="00DB1E35" w:rsidRDefault="00000000">
      <w:pPr>
        <w:pStyle w:val="FirstParagraph"/>
      </w:pPr>
      <w:r>
        <w:t>The evidence types agree on the pattern. The photographs, the documents and the reviews point to strength in public spaces, breakfast and the bar, and weakness in condition and consistency. Where they disagree, repeated guest accounts outweigh a single promotional claim. They disagree on scale: the photographs show small, visible faults, whereas the press material promises that the hotel exceeds expectations. Triangulation here is a credibility check, not statistical proof.</w:t>
      </w:r>
    </w:p>
    <w:p w14:paraId="2B232A88" w14:textId="77777777" w:rsidR="00DB1E35" w:rsidRDefault="00000000">
      <w:pPr>
        <w:pStyle w:val="BodyText"/>
      </w:pPr>
      <w:r>
        <w:t>The photographs show a clear split (evidence log in Appendix 1). In the public areas the design intent is consistent and the finish is high: the buffet (Fig. 2), the drinks station, the lounge (Fig. 3), the ’35 Bar and a guest room with walnut headboard, bay window and a framed motorcycle artwork (Fig. 5) all read as premium. The faults sit in surfaces guests touch or look up at: the lift door (Fig. 1), the marble tray top and instant-coffee sachets (Fig. 4), the grille beside the cornice and a corridor where an open service door shows a laundry cart. The corridor point is minor and may reflect tour timing.</w:t>
      </w:r>
    </w:p>
    <w:p w14:paraId="0E57F945" w14:textId="77777777" w:rsidR="00DB1E35" w:rsidRDefault="00000000">
      <w:pPr>
        <w:pStyle w:val="BodyText"/>
      </w:pPr>
      <w:r>
        <w:t>Appendix 3 sets promise against proof. The row that matters most sets the premium promise against the dull lift door and dusty grille (Fig. 1), rated amber. These are small things, and at a £300 rate they are costly, because Zeithaml (1988) implies the guest paying more expects more. Using Kano’s logic, these are must-be failures, which explains why they can outweigh the delight delivered by Arado.</w:t>
      </w:r>
      <w:r/>
    </w:p>
    <w:p w14:paraId="60028DED" w14:textId="4F67DA44" w:rsidR="00DB1E35" w:rsidRDefault="00000000">
      <w:pPr>
        <w:pStyle w:val="BodyText"/>
      </w:pPr>
      <w:r>
        <w:t>Zomerdijk and Voss (2010) treat the journey as a chain of touchpoints, so a weak one can stand out, and one dull lift door may outweigh an excellent breakfast. Schneider and Bowen (1993) link staff experience to guest satisfaction, but the causality is weakly supported, so staff are noted as context only.</w:t>
      </w:r>
    </w:p>
    <w:p w14:paraId="5D0BB056" w14:textId="77777777" w:rsidR="00DB1E35" w:rsidRDefault="00000000">
      <w:pPr>
        <w:pStyle w:val="BodyText"/>
      </w:pPr>
      <w:r>
        <w:t>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p w14:paraId="2478BB05" w14:textId="77777777" w:rsidR="00DB1E35" w:rsidRDefault="00000000">
      <w:pPr>
        <w:pStyle w:val="Heading1"/>
      </w:pPr>
      <w:bookmarkStart w:id="10" w:name="recommendations"/>
      <w:bookmarkStart w:id="11" w:name="_Toc242368062"/>
      <w:bookmarkEnd w:id="8"/>
      <w:r>
        <w:t>6. Recommendations</w:t>
      </w:r>
      <w:bookmarkEnd w:id="11"/>
    </w:p>
    <w:p w14:paraId="46AB783F" w14:textId="77777777" w:rsidR="00DB1E35" w:rsidRDefault="00000000">
      <w:pPr>
        <w:pStyle w:val="FirstParagraph"/>
      </w:pPr>
      <w:r>
        <w:t>All costs and timings are the author’s estimates. Each recommendation is tied to evidence and a lens, and Appendix 4 gives owners, KPIs and timing.</w:t>
      </w:r>
    </w:p>
    <w:p w14:paraId="3B30E307" w14:textId="77777777" w:rsidR="00DB1E35" w:rsidRDefault="00000000">
      <w:pPr>
        <w:pStyle w:val="BodyText"/>
      </w:pPr>
      <w:r>
        <w:rPr>
          <w:b/>
          <w:bCs/>
        </w:rPr>
        <w:t>R1. Must-be sweep and weekly guest-eyes walk.</w:t>
      </w:r>
      <w:r>
        <w:t xml:space="preserve"> Run a 30-day sweep of lifts, grilles, corridors and room details, then a weekly 15-minute manager walk with a short checklist. Figs. 1 and 4 show two of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14:paraId="5D824AB9" w14:textId="77777777" w:rsidR="00DB1E35" w:rsidRDefault="00000000">
      <w:pPr>
        <w:pStyle w:val="BodyText"/>
      </w:pPr>
      <w:r>
        <w:rPr>
          <w:b/>
          <w:bCs/>
        </w:rPr>
        <w:t>R2. Breakfast continuity and recovery playbook.</w:t>
      </w:r>
      <w:r>
        <w:t xml:space="preserve"> Write an outage plan with a backup service area, a scripted apology, a standard make-good such as a drink at ’35 Bar, and a same-day manager follow-up. No failure was seen on the visit, so this is a precaution that protects the strongest touchpoint (Fig. 2).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14:paraId="6A798A79" w14:textId="77777777" w:rsidR="00DB1E35" w:rsidRDefault="00000000">
      <w:pPr>
        <w:pStyle w:val="BodyText"/>
      </w:pPr>
      <w:r>
        <w:rPr>
          <w:b/>
          <w:bCs/>
        </w:rPr>
        <w:t>R3. “Spanish morning” in-room kit.</w:t>
      </w:r>
      <w:r>
        <w:t xml:space="preserve"> Replace instant coffee with a Spanish coffee or tea option and add a local-products card pointing to Arado and ’35 Bar, piloted on one floor. Fig. 4 contrasts with Fig. 2,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14:paraId="53C23A0B" w14:textId="77777777" w:rsidR="00DB1E35" w:rsidRDefault="00000000">
      <w:pPr>
        <w:pStyle w:val="BodyText"/>
      </w:pPr>
      <w:r>
        <w:rPr>
          <w:b/>
          <w:bCs/>
        </w:rPr>
        <w:lastRenderedPageBreak/>
        <w:t>R4. Track The Level.</w:t>
      </w:r>
      <w:r>
        <w:t xml:space="preserve"> Give each day pass a unique code for the 10% discount, then report weekly passes sold, redemption rate and spend per pass-holder. Fig. 3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14:paraId="5D399C06" w14:textId="77777777" w:rsidR="00DB1E35" w:rsidRDefault="00000000">
      <w:pPr>
        <w:pStyle w:val="BodyText"/>
      </w:pPr>
      <w:r>
        <w:t>The priority order, by impact against effort, is R2 and R1 first as the cheapest and most visible, R4 next, and R3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sources so results compare with this study’s baseline, and redesign any item that shows no movement before spending more. A 90-day timeline is in Appendix 5.</w:t>
      </w:r>
    </w:p>
    <w:p w14:paraId="06237ED4" w14:textId="77777777" w:rsidR="00DB1E35" w:rsidRDefault="00000000">
      <w:pPr>
        <w:pStyle w:val="Heading1"/>
      </w:pPr>
      <w:bookmarkStart w:id="12" w:name="conclusion"/>
      <w:bookmarkStart w:id="13" w:name="_Toc242368063"/>
      <w:bookmarkEnd w:id="10"/>
      <w:r>
        <w:t>7. Conclusion</w:t>
      </w:r>
      <w:bookmarkEnd w:id="13"/>
    </w:p>
    <w:p w14:paraId="1AC54D08" w14:textId="77777777" w:rsidR="00DB1E35" w:rsidRDefault="00000000">
      <w:pPr>
        <w:pStyle w:val="FirstParagraph"/>
      </w:pPr>
      <w:r>
        <w:t>Meliá White House largely delivers its premium promise where guests look first, in public spaces, breakfast and the bar, but under-delivers on condition and consistency, which matters more at a rate near £300. These findings rest on one hosted visit, photographic and document evidence and a small number of self-selected guest reviews. The hotel should first fix breakfast continuity and its must-be basics, because they are cheap, fast and protect the investment already made.</w:t>
      </w:r>
    </w:p>
    <w:p w14:paraId="1E28E05C" w14:textId="77777777" w:rsidR="00DB1E35" w:rsidRDefault="00000000">
      <w:pPr>
        <w:pStyle w:val="Heading1"/>
      </w:pPr>
      <w:bookmarkStart w:id="14" w:name="references"/>
      <w:bookmarkStart w:id="15" w:name="_Toc242368064"/>
      <w:bookmarkEnd w:id="12"/>
      <w:r>
        <w:t>References</w:t>
      </w:r>
      <w:bookmarkEnd w:id="15"/>
    </w:p>
    <w:p w14:paraId="5E88AB65" w14:textId="77777777" w:rsidR="00DB1E35" w:rsidRDefault="00000000">
      <w:pPr>
        <w:pStyle w:val="BodyText"/>
      </w:pPr>
      <w:r>
        <w:t xml:space="preserve">Ansoff, H.I. (1957) ‘Strategies for diversification’, </w:t>
      </w:r>
      <w:r>
        <w:rPr>
          <w:i/>
          <w:iCs/>
        </w:rPr>
        <w:t>Harvard Business Review</w:t>
      </w:r>
      <w:r>
        <w:t>, 35(5), pp. 113-124.</w:t>
      </w:r>
    </w:p>
    <w:p w14:paraId="54FE0B80" w14:textId="77777777" w:rsidR="00DB1E35" w:rsidRDefault="00000000">
      <w:pPr>
        <w:pStyle w:val="BodyText"/>
      </w:pPr>
      <w:r>
        <w:t>Breaking Travel News (2026) ‘Meliá recognized in the S&amp;P Global Sustainability Yearbook 2026 for the ninth consecutive year’. Available at: https://www.breakingtravelnews.com/news/article/melia-recognized-in-the-sp-global-sustainability-yearbook-2026-for-the-nint/ (Accessed: 8 October 2026).</w:t>
      </w:r>
    </w:p>
    <w:p w14:paraId="310C2084" w14:textId="77777777" w:rsidR="00DB1E35" w:rsidRDefault="00000000">
      <w:pPr>
        <w:pStyle w:val="BodyText"/>
      </w:pPr>
      <w:r>
        <w:t xml:space="preserve">Bryman, A. and Bell, E. (2015) </w:t>
      </w:r>
      <w:r>
        <w:rPr>
          <w:i/>
          <w:iCs/>
        </w:rPr>
        <w:t>Business Research Methods</w:t>
      </w:r>
      <w:r>
        <w:t>. 4th edn. Oxford: Oxford University Press.</w:t>
      </w:r>
    </w:p>
    <w:p w14:paraId="39483AD3" w14:textId="77777777" w:rsidR="00DB1E35" w:rsidRDefault="00000000">
      <w:pPr>
        <w:pStyle w:val="BodyText"/>
      </w:pPr>
      <w:r>
        <w:t>Business Traveller (2024) ‘London’s Meliá White House introduces co-working spaces’, 21 April. Available at: https://www.businesstraveller.com/business-</w:t>
      </w:r>
      <w:r>
        <w:lastRenderedPageBreak/>
        <w:t>travel/2024/04/21/londons-melia-white-house-introduces-co-working-spaces/ (Accessed: 8 October 2026).</w:t>
      </w:r>
    </w:p>
    <w:p w14:paraId="23058673" w14:textId="77777777" w:rsidR="00DB1E35" w:rsidRDefault="00000000">
      <w:pPr>
        <w:pStyle w:val="BodyText"/>
      </w:pPr>
      <w:r>
        <w:t xml:space="preserve">Camden Council (2025) </w:t>
      </w:r>
      <w:r>
        <w:rPr>
          <w:i/>
          <w:iCs/>
        </w:rPr>
        <w:t>White House Hotel, Albany Street: listed building consent supporting documents</w:t>
      </w:r>
      <w:r>
        <w:t>. Available at: https://camdocs.camden.gov.uk/CMWebDrawer/Record/7286405/file/document (Accessed: 8 October 2026).</w:t>
      </w:r>
    </w:p>
    <w:p w14:paraId="26039C6E" w14:textId="77777777" w:rsidR="00DB1E35" w:rsidRDefault="00000000">
      <w:pPr>
        <w:pStyle w:val="BodyText"/>
      </w:pPr>
      <w:r>
        <w:t xml:space="preserve">Cope, M. (2003) </w:t>
      </w:r>
      <w:r>
        <w:rPr>
          <w:i/>
          <w:iCs/>
        </w:rPr>
        <w:t>The Seven Cs of Consulting</w:t>
      </w:r>
      <w:r>
        <w:t>. 2nd edn. Harlow: FT Prentice Hall.</w:t>
      </w:r>
    </w:p>
    <w:p w14:paraId="7394F9B4" w14:textId="77777777" w:rsidR="00DB1E35" w:rsidRDefault="00000000">
      <w:pPr>
        <w:pStyle w:val="BodyText"/>
      </w:pPr>
      <w:r>
        <w:t xml:space="preserve">Denzin, N.K. (1978) </w:t>
      </w:r>
      <w:r>
        <w:rPr>
          <w:i/>
          <w:iCs/>
        </w:rPr>
        <w:t>The Research Act: A Theoretical Introduction to Sociological Methods</w:t>
      </w:r>
      <w:r>
        <w:t>. 2nd edn. New York: McGraw-Hill.</w:t>
      </w:r>
    </w:p>
    <w:p w14:paraId="353C751D" w14:textId="77777777" w:rsidR="00DB1E35" w:rsidRDefault="00000000">
      <w:pPr>
        <w:pStyle w:val="BodyText"/>
      </w:pPr>
      <w:r>
        <w:t xml:space="preserve">Drucker, P.F. (1985) </w:t>
      </w:r>
      <w:r>
        <w:rPr>
          <w:i/>
          <w:iCs/>
        </w:rPr>
        <w:t>Innovation and Entrepreneurship</w:t>
      </w:r>
      <w:r>
        <w:t>. New York: Harper &amp; Row.</w:t>
      </w:r>
    </w:p>
    <w:p w14:paraId="6B65A3C9" w14:textId="77777777" w:rsidR="00DB1E35" w:rsidRDefault="00000000">
      <w:pPr>
        <w:pStyle w:val="BodyText"/>
      </w:pPr>
      <w:r>
        <w:t xml:space="preserve">Eisenhardt, K.M. and Martin, J.A. (2000) ‘Dynamic capabilities: what are they?’, </w:t>
      </w:r>
      <w:r>
        <w:rPr>
          <w:i/>
          <w:iCs/>
        </w:rPr>
        <w:t>Strategic Management Journal</w:t>
      </w:r>
      <w:r>
        <w:t>, 21(10-11), pp. 1105-1121.</w:t>
      </w:r>
    </w:p>
    <w:p w14:paraId="35495673" w14:textId="77777777" w:rsidR="00DB1E35" w:rsidRDefault="00000000">
      <w:pPr>
        <w:pStyle w:val="BodyText"/>
      </w:pPr>
      <w:r>
        <w:t xml:space="preserve">Gentile, C., Spiller, N. and Noci, G. (2007) ‘How to sustain the customer experience: an overview of experience components that co-create value with the customer’, </w:t>
      </w:r>
      <w:r>
        <w:rPr>
          <w:i/>
          <w:iCs/>
        </w:rPr>
        <w:t>European Management Journal</w:t>
      </w:r>
      <w:r>
        <w:t>, 25(5), pp. 395-410.</w:t>
      </w:r>
    </w:p>
    <w:p w14:paraId="59863A24" w14:textId="77777777" w:rsidR="00DB1E35" w:rsidRDefault="00000000">
      <w:pPr>
        <w:pStyle w:val="BodyText"/>
      </w:pPr>
      <w:r>
        <w:t xml:space="preserve">Grant, R.M. (1991) ‘The resource-based theory of competitive advantage: implications for strategy formulation’, </w:t>
      </w:r>
      <w:r>
        <w:rPr>
          <w:i/>
          <w:iCs/>
        </w:rPr>
        <w:t>California Management Review</w:t>
      </w:r>
      <w:r>
        <w:t>, 33(3), pp. 114-135.</w:t>
      </w:r>
    </w:p>
    <w:p w14:paraId="0D71520B" w14:textId="77777777" w:rsidR="00DB1E35" w:rsidRDefault="00000000">
      <w:pPr>
        <w:pStyle w:val="BodyText"/>
      </w:pPr>
      <w:r>
        <w:t xml:space="preserve">Greiner, L.E. and Metzger, R.O. (1983) </w:t>
      </w:r>
      <w:r>
        <w:rPr>
          <w:i/>
          <w:iCs/>
        </w:rPr>
        <w:t>Consulting to Management</w:t>
      </w:r>
      <w:r>
        <w:t>. Englewood Cliffs, NJ: Prentice-Hall.</w:t>
      </w:r>
    </w:p>
    <w:p w14:paraId="4F65371A" w14:textId="77777777" w:rsidR="00DB1E35" w:rsidRDefault="00000000">
      <w:pPr>
        <w:pStyle w:val="BodyText"/>
      </w:pPr>
      <w:r>
        <w:t xml:space="preserve">Grönroos, C. (1984) ‘A service quality model and its marketing implications’, </w:t>
      </w:r>
      <w:r>
        <w:rPr>
          <w:i/>
          <w:iCs/>
        </w:rPr>
        <w:t>European Journal of Marketing</w:t>
      </w:r>
      <w:r>
        <w:t>, 18(4), pp. 36-44.</w:t>
      </w:r>
    </w:p>
    <w:p w14:paraId="78FFC8BE" w14:textId="77777777" w:rsidR="00DB1E35" w:rsidRDefault="00000000">
      <w:pPr>
        <w:pStyle w:val="BodyText"/>
      </w:pPr>
      <w:r>
        <w:t xml:space="preserve">Historic England (n.d.) </w:t>
      </w:r>
      <w:r>
        <w:rPr>
          <w:i/>
          <w:iCs/>
        </w:rPr>
        <w:t>National Heritage List for England: The White House, Albany Street</w:t>
      </w:r>
      <w:r>
        <w:t>, list entry 1113231. Available at: https://historicengland.org.uk/listing/the-list/list-entry/1113231 (Accessed: 8 October 2026).</w:t>
      </w:r>
    </w:p>
    <w:p w14:paraId="07C51B3C" w14:textId="77777777" w:rsidR="00DB1E35" w:rsidRDefault="00000000">
      <w:pPr>
        <w:pStyle w:val="BodyText"/>
      </w:pPr>
      <w:r>
        <w:t xml:space="preserve">Hospitality Net (2023) </w:t>
      </w:r>
      <w:r>
        <w:rPr>
          <w:i/>
          <w:iCs/>
        </w:rPr>
        <w:t>Meliá White House</w:t>
      </w:r>
      <w:r>
        <w:t xml:space="preserve"> [press release]. Available at: https://www.hospitalitynet.org/announcement/41009454.html (Accessed: 8 October 2026).</w:t>
      </w:r>
    </w:p>
    <w:p w14:paraId="2FB28A2A" w14:textId="77777777" w:rsidR="00DB1E35" w:rsidRDefault="00000000">
      <w:pPr>
        <w:pStyle w:val="BodyText"/>
      </w:pPr>
      <w:r>
        <w:t>Journal des Palaces (2026) ‘Luxury focus drives Meliá into the world’s top 10 strongest hotel brands’, 3 August. Available at: https://www.journaldespalaces.com/en/pressrelease-79079-Luxury-focus-drives-Meliy-into-the-World-s-Top-10-Strongest-Hotel-Brands.html (Accessed: 8 October 2026).</w:t>
      </w:r>
    </w:p>
    <w:p w14:paraId="6F6B3E07" w14:textId="77777777" w:rsidR="00DB1E35" w:rsidRDefault="00000000">
      <w:pPr>
        <w:pStyle w:val="BodyText"/>
      </w:pPr>
      <w:r>
        <w:t xml:space="preserve">Kano, N., Seraku, N., Takahashi, F. and Tsuji, S. (1984) ‘Attractive quality and must-be quality’, </w:t>
      </w:r>
      <w:r>
        <w:rPr>
          <w:i/>
          <w:iCs/>
        </w:rPr>
        <w:t>Journal of the Japanese Society for Quality Control</w:t>
      </w:r>
      <w:r>
        <w:t>, 14(2), pp. 39-48.</w:t>
      </w:r>
    </w:p>
    <w:p w14:paraId="00378B68" w14:textId="77777777" w:rsidR="00DB1E35" w:rsidRDefault="00000000">
      <w:pPr>
        <w:pStyle w:val="BodyText"/>
      </w:pPr>
      <w:r>
        <w:t xml:space="preserve">Kim, W.C. and Mauborgne, R. (2004) ‘Blue ocean strategy’, </w:t>
      </w:r>
      <w:r>
        <w:rPr>
          <w:i/>
          <w:iCs/>
        </w:rPr>
        <w:t>Harvard Business Review</w:t>
      </w:r>
      <w:r>
        <w:t>, 82(10), pp. 76-84.</w:t>
      </w:r>
    </w:p>
    <w:p w14:paraId="6DEBC7CE" w14:textId="77777777" w:rsidR="00DB1E35" w:rsidRDefault="00000000">
      <w:pPr>
        <w:pStyle w:val="BodyText"/>
      </w:pPr>
      <w:r>
        <w:lastRenderedPageBreak/>
        <w:t xml:space="preserve">Kimes, S.E. (2002) ‘Perceived fairness of yield management’, </w:t>
      </w:r>
      <w:r>
        <w:rPr>
          <w:i/>
          <w:iCs/>
        </w:rPr>
        <w:t>Cornell Hotel and Restaurant Administration Quarterly</w:t>
      </w:r>
      <w:r>
        <w:t>, 43(1), pp. 21-30.</w:t>
      </w:r>
    </w:p>
    <w:p w14:paraId="095D1E6E" w14:textId="77777777" w:rsidR="00DB1E35" w:rsidRDefault="00000000">
      <w:pPr>
        <w:pStyle w:val="BodyText"/>
      </w:pPr>
      <w:r>
        <w:t xml:space="preserve">Litvin, S.W., Goldsmith, R.E. and Pan, B. (2008) ‘Electronic word-of-mouth in hospitality and tourism management’, </w:t>
      </w:r>
      <w:r>
        <w:rPr>
          <w:i/>
          <w:iCs/>
        </w:rPr>
        <w:t>Tourism Management</w:t>
      </w:r>
      <w:r>
        <w:t>, 29(3), pp. 458-468.</w:t>
      </w:r>
    </w:p>
    <w:p w14:paraId="546515BC" w14:textId="77777777" w:rsidR="00DB1E35" w:rsidRDefault="00000000">
      <w:pPr>
        <w:pStyle w:val="BodyText"/>
      </w:pPr>
      <w:r>
        <w:t xml:space="preserve">Manaktola, K. and Jauhari, V. (2007) ‘Exploring consumer attitude and behaviour towards green practices in the lodging industry in India’, </w:t>
      </w:r>
      <w:r>
        <w:rPr>
          <w:i/>
          <w:iCs/>
        </w:rPr>
        <w:t>International Journal of Contemporary Hospitality Management</w:t>
      </w:r>
      <w:r>
        <w:t>, 19(5), pp. 364-377.</w:t>
      </w:r>
    </w:p>
    <w:p w14:paraId="44FFBAD8" w14:textId="77777777" w:rsidR="00DB1E35" w:rsidRDefault="00000000">
      <w:pPr>
        <w:pStyle w:val="BodyText"/>
      </w:pPr>
      <w:r>
        <w:t xml:space="preserve">McCollough, M.A., Berry, L.L. and Yadav, M.S. (2000) ‘An empirical investigation of customer satisfaction after service failure and recovery’, </w:t>
      </w:r>
      <w:r>
        <w:rPr>
          <w:i/>
          <w:iCs/>
        </w:rPr>
        <w:t>Journal of Service Research</w:t>
      </w:r>
      <w:r>
        <w:t>, 3(2), pp. 121-137.</w:t>
      </w:r>
    </w:p>
    <w:p w14:paraId="21AFB960" w14:textId="77777777" w:rsidR="00DB1E35" w:rsidRDefault="00000000">
      <w:pPr>
        <w:pStyle w:val="BodyText"/>
      </w:pPr>
      <w:r>
        <w:t xml:space="preserve">Olsen, M.D., West, J.J. and Tse, E.C.-Y. (2008) </w:t>
      </w:r>
      <w:r>
        <w:rPr>
          <w:i/>
          <w:iCs/>
        </w:rPr>
        <w:t>Strategic Management in the Hospitality Industry</w:t>
      </w:r>
      <w:r>
        <w:t>. 3rd edn. Upper Saddle River, NJ: Pearson.</w:t>
      </w:r>
    </w:p>
    <w:p w14:paraId="6D676799" w14:textId="77777777" w:rsidR="00DB1E35" w:rsidRDefault="00000000">
      <w:pPr>
        <w:pStyle w:val="BodyText"/>
      </w:pPr>
      <w:r>
        <w:t xml:space="preserve">Pizam, A. and Ellis, T. (1999) ‘Customer satisfaction and its measurement in hospitality enterprises’, </w:t>
      </w:r>
      <w:r>
        <w:rPr>
          <w:i/>
          <w:iCs/>
        </w:rPr>
        <w:t>International Journal of Contemporary Hospitality Management</w:t>
      </w:r>
      <w:r>
        <w:t>, 11(7), pp. 326-339.</w:t>
      </w:r>
    </w:p>
    <w:p w14:paraId="32FE3C9D" w14:textId="77777777" w:rsidR="00DB1E35" w:rsidRDefault="00000000">
      <w:pPr>
        <w:pStyle w:val="BodyText"/>
      </w:pPr>
      <w:r>
        <w:t xml:space="preserve">Poria, Y., Butler, R. and Airey, D. (2003) ‘The core of heritage tourism’, </w:t>
      </w:r>
      <w:r>
        <w:rPr>
          <w:i/>
          <w:iCs/>
        </w:rPr>
        <w:t>Annals of Tourism Research</w:t>
      </w:r>
      <w:r>
        <w:t>, 30(1), pp. 238-254.</w:t>
      </w:r>
    </w:p>
    <w:p w14:paraId="5E681964" w14:textId="77777777" w:rsidR="00DB1E35" w:rsidRDefault="00000000">
      <w:pPr>
        <w:pStyle w:val="BodyText"/>
      </w:pPr>
      <w:r>
        <w:t xml:space="preserve">Schneider, B. and Bowen, D.E. (1993) ‘The service organization: human resources management is crucial’, </w:t>
      </w:r>
      <w:r>
        <w:rPr>
          <w:i/>
          <w:iCs/>
        </w:rPr>
        <w:t>Organizational Dynamics</w:t>
      </w:r>
      <w:r>
        <w:t>, 21(4), pp. 39-52.</w:t>
      </w:r>
    </w:p>
    <w:p w14:paraId="5AA300AC" w14:textId="77777777" w:rsidR="00DB1E35" w:rsidRDefault="00000000">
      <w:pPr>
        <w:pStyle w:val="BodyText"/>
      </w:pPr>
      <w:r>
        <w:t xml:space="preserve">Smith, A.K., Bolton, R.N. and Wagner, J. (1999) ‘A model of customer satisfaction with service encounters involving failure and recovery’, </w:t>
      </w:r>
      <w:r>
        <w:rPr>
          <w:i/>
          <w:iCs/>
        </w:rPr>
        <w:t>Journal of Marketing Research</w:t>
      </w:r>
      <w:r>
        <w:t>, 36(3), pp. 356-372.</w:t>
      </w:r>
    </w:p>
    <w:p w14:paraId="3A5D9D2D" w14:textId="77777777" w:rsidR="00DB1E35" w:rsidRDefault="00000000">
      <w:pPr>
        <w:pStyle w:val="BodyText"/>
      </w:pPr>
      <w:r>
        <w:t xml:space="preserve">Sparks, B.A. and Browning, V. (2011) ‘The impact of online reviews on hotel booking intentions and perception of trust’, </w:t>
      </w:r>
      <w:r>
        <w:rPr>
          <w:i/>
          <w:iCs/>
        </w:rPr>
        <w:t>Tourism Management</w:t>
      </w:r>
      <w:r>
        <w:t>, 32(6), pp. 1310-1323.</w:t>
      </w:r>
    </w:p>
    <w:p w14:paraId="3463A742" w14:textId="77777777" w:rsidR="00DB1E35" w:rsidRDefault="00000000">
      <w:pPr>
        <w:pStyle w:val="BodyText"/>
      </w:pPr>
      <w:r>
        <w:t xml:space="preserve">Treacy, M. and Wiersema, F. (1993) ‘Customer intimacy and other value disciplines’, </w:t>
      </w:r>
      <w:r>
        <w:rPr>
          <w:i/>
          <w:iCs/>
        </w:rPr>
        <w:t>Harvard Business Review</w:t>
      </w:r>
      <w:r>
        <w:t>, 71(1), pp. 84-93.</w:t>
      </w:r>
    </w:p>
    <w:p w14:paraId="6E1455A2" w14:textId="77777777" w:rsidR="00DB1E35" w:rsidRDefault="00000000">
      <w:pPr>
        <w:pStyle w:val="BodyText"/>
      </w:pPr>
      <w:r>
        <w:t xml:space="preserve">Turley, L.W. and Milliman, R.E. (2000) ‘Atmospheric effects on shopping behavior: a review of the experimental evidence’, </w:t>
      </w:r>
      <w:r>
        <w:rPr>
          <w:i/>
          <w:iCs/>
        </w:rPr>
        <w:t>Journal of Business Research</w:t>
      </w:r>
      <w:r>
        <w:t>, 49(2), pp. 193-211.</w:t>
      </w:r>
    </w:p>
    <w:p w14:paraId="1D260CB5" w14:textId="77777777" w:rsidR="00DB1E35" w:rsidRDefault="00000000">
      <w:pPr>
        <w:pStyle w:val="BodyText"/>
      </w:pPr>
      <w:r>
        <w:t xml:space="preserve">Veal, A.J. (2017) </w:t>
      </w:r>
      <w:r>
        <w:rPr>
          <w:i/>
          <w:iCs/>
        </w:rPr>
        <w:t>Research Methods for Leisure and Tourism</w:t>
      </w:r>
      <w:r>
        <w:t>. 5th edn. Harlow: Pearson.</w:t>
      </w:r>
    </w:p>
    <w:p w14:paraId="57C2421C" w14:textId="77777777" w:rsidR="00DB1E35" w:rsidRDefault="00000000">
      <w:pPr>
        <w:pStyle w:val="BodyText"/>
      </w:pPr>
      <w:r>
        <w:t xml:space="preserve">Xia, L., Monroe, K.B. and Cox, J.L. (2004) ‘The price is unfair! A conceptual framework of price fairness perceptions’, </w:t>
      </w:r>
      <w:r>
        <w:rPr>
          <w:i/>
          <w:iCs/>
        </w:rPr>
        <w:t>Journal of Marketing</w:t>
      </w:r>
      <w:r>
        <w:t>, 68(4), pp. 1-15.</w:t>
      </w:r>
    </w:p>
    <w:p w14:paraId="526F1B84" w14:textId="77777777" w:rsidR="00DB1E35" w:rsidRDefault="00000000">
      <w:pPr>
        <w:pStyle w:val="BodyText"/>
      </w:pPr>
      <w:r>
        <w:t xml:space="preserve">Yin, R.K. (2018) </w:t>
      </w:r>
      <w:r>
        <w:rPr>
          <w:i/>
          <w:iCs/>
        </w:rPr>
        <w:t>Case Study Research and Applications: Design and Methods</w:t>
      </w:r>
      <w:r>
        <w:t>. 6th edn. Thousand Oaks, CA: Sage.</w:t>
      </w:r>
    </w:p>
    <w:p w14:paraId="0B7F6DA6" w14:textId="77777777" w:rsidR="00DB1E35" w:rsidRDefault="00000000">
      <w:pPr>
        <w:pStyle w:val="BodyText"/>
      </w:pPr>
      <w:r>
        <w:t xml:space="preserve">Zeithaml, V.A. (1988) ‘Consumer perceptions of price, quality, and value: a means-end model and synthesis of evidence’, </w:t>
      </w:r>
      <w:r>
        <w:rPr>
          <w:i/>
          <w:iCs/>
        </w:rPr>
        <w:t>Journal of Marketing</w:t>
      </w:r>
      <w:r>
        <w:t>, 52(3), pp. 2-22.</w:t>
      </w:r>
    </w:p>
    <w:p w14:paraId="329E32DA" w14:textId="77777777" w:rsidR="00DB1E35" w:rsidRDefault="00000000">
      <w:pPr>
        <w:pStyle w:val="BodyText"/>
      </w:pPr>
      <w:r>
        <w:lastRenderedPageBreak/>
        <w:t xml:space="preserve">Zomerdijk, L.G. and Voss, C.A. (2010) ‘Service design for experience-centric services’, </w:t>
      </w:r>
      <w:r>
        <w:rPr>
          <w:i/>
          <w:iCs/>
        </w:rPr>
        <w:t>Journal of Service Research</w:t>
      </w:r>
      <w:r>
        <w:t>, 13(1), pp. 67-82.</w:t>
      </w:r>
    </w:p>
    <w:p w14:paraId="7A119BD9" w14:textId="77777777" w:rsidR="00DB1E35" w:rsidRDefault="00000000">
      <w:pPr>
        <w:pStyle w:val="Heading1"/>
      </w:pPr>
      <w:bookmarkStart w:id="16" w:name="appendices"/>
      <w:bookmarkStart w:id="17" w:name="_Toc242368065"/>
      <w:bookmarkEnd w:id="14"/>
      <w:r>
        <w:t>Appendices</w:t>
      </w:r>
      <w:bookmarkEnd w:id="17"/>
    </w:p>
    <w:p w14:paraId="1094DF0D" w14:textId="77777777" w:rsidR="00DB1E35" w:rsidRDefault="00000000">
      <w:pPr>
        <w:pStyle w:val="Heading2"/>
      </w:pPr>
      <w:bookmarkStart w:id="18" w:name="appendix-1-photographs-figs.-1-9"/>
      <w:bookmarkStart w:id="19" w:name="_Toc242368066"/>
      <w:r>
        <w:t>Appendix 1: Photographs (Figs. 1-5)</w:t>
      </w:r>
      <w:bookmarkEnd w:id="19"/>
    </w:p>
    <w:p w14:paraId="3A3DBC15" w14:textId="77777777" w:rsidR="00DB1E35" w:rsidRDefault="00000000">
      <w:pPr>
        <w:pStyle w:val="FirstParagraph"/>
      </w:pPr>
      <w:r>
        <w:t>All photographs were taken by the author on the hosted tour. Photographs showing identifiable people were cropped or excluded.</w:t>
      </w:r>
    </w:p>
    <w:p w14:paraId="6D653A9B" w14:textId="77777777" w:rsidR="00DB1E35" w:rsidRDefault="00000000">
      <w:pPr>
        <w:pStyle w:val="CaptionedFigure"/>
      </w:pPr>
      <w:r>
        <w:rPr>
          <w:noProof/>
        </w:rPr>
        <w:drawing>
          <wp:inline distT="0" distB="0" distL="0" distR="0" wp14:anchorId="7B683D46" wp14:editId="69039C4A">
            <wp:extent cx="2400300" cy="3198399"/>
            <wp:effectExtent l="0" t="0" r="0" b="0"/>
            <wp:docPr id="29" name="Picture" descr="Figure 1. Lift lobby, Meliá White House: black marble surround and brass-coloured door."/>
            <wp:cNvGraphicFramePr/>
            <a:graphic xmlns:a="http://schemas.openxmlformats.org/drawingml/2006/main">
              <a:graphicData uri="http://schemas.openxmlformats.org/drawingml/2006/picture">
                <pic:pic xmlns:pic="http://schemas.openxmlformats.org/drawingml/2006/picture">
                  <pic:nvPicPr>
                    <pic:cNvPr id="30" name="Picture" descr="img/fig1.jpg"/>
                    <pic:cNvPicPr>
                      <a:picLocks noChangeAspect="1" noChangeArrowheads="1"/>
                    </pic:cNvPicPr>
                  </pic:nvPicPr>
                  <pic:blipFill>
                    <a:blip r:embed="rId7"/>
                    <a:stretch>
                      <a:fillRect/>
                    </a:stretch>
                  </pic:blipFill>
                  <pic:spPr bwMode="auto">
                    <a:xfrm>
                      <a:off x="0" y="0"/>
                      <a:ext cx="2400300" cy="3198399"/>
                    </a:xfrm>
                    <a:prstGeom prst="rect">
                      <a:avLst/>
                    </a:prstGeom>
                    <a:noFill/>
                    <a:ln w="9525">
                      <a:noFill/>
                      <a:headEnd/>
                      <a:tailEnd/>
                    </a:ln>
                  </pic:spPr>
                </pic:pic>
              </a:graphicData>
            </a:graphic>
          </wp:inline>
        </w:drawing>
      </w:r>
    </w:p>
    <w:p w14:paraId="5F86495D" w14:textId="77777777" w:rsidR="00DB1E35" w:rsidRDefault="00000000">
      <w:pPr>
        <w:pStyle w:val="ImageCaption"/>
      </w:pPr>
      <w:r>
        <w:t>Figure 1. Lift lobby, Meliá White House: black marble surround and brass-coloured door.</w:t>
      </w:r>
    </w:p>
    <w:p w14:paraId="3DB954C5" w14:textId="77777777" w:rsidR="00DB1E35" w:rsidRDefault="00000000">
      <w:pPr>
        <w:pStyle w:val="CaptionedFigure"/>
      </w:pPr>
      <w:r>
        <w:rPr>
          <w:noProof/>
        </w:rPr>
        <w:lastRenderedPageBreak/>
        <w:drawing>
          <wp:inline distT="0" distB="0" distL="0" distR="0" wp14:anchorId="4A8FB872" wp14:editId="06A3C708">
            <wp:extent cx="2400300" cy="3198399"/>
            <wp:effectExtent l="0" t="0" r="0" b="0"/>
            <wp:docPr id="32" name="Picture" descr="Figure 2. Breakfast buffet counter with lit shelving, GMED oils, hot lamps and linen bread bags."/>
            <wp:cNvGraphicFramePr/>
            <a:graphic xmlns:a="http://schemas.openxmlformats.org/drawingml/2006/main">
              <a:graphicData uri="http://schemas.openxmlformats.org/drawingml/2006/picture">
                <pic:pic xmlns:pic="http://schemas.openxmlformats.org/drawingml/2006/picture">
                  <pic:nvPicPr>
                    <pic:cNvPr id="33" name="Picture" descr="img/fig2.jpg"/>
                    <pic:cNvPicPr>
                      <a:picLocks noChangeAspect="1" noChangeArrowheads="1"/>
                    </pic:cNvPicPr>
                  </pic:nvPicPr>
                  <pic:blipFill>
                    <a:blip r:embed="rId8"/>
                    <a:stretch>
                      <a:fillRect/>
                    </a:stretch>
                  </pic:blipFill>
                  <pic:spPr bwMode="auto">
                    <a:xfrm>
                      <a:off x="0" y="0"/>
                      <a:ext cx="2400300" cy="3198399"/>
                    </a:xfrm>
                    <a:prstGeom prst="rect">
                      <a:avLst/>
                    </a:prstGeom>
                    <a:noFill/>
                    <a:ln w="9525">
                      <a:noFill/>
                      <a:headEnd/>
                      <a:tailEnd/>
                    </a:ln>
                  </pic:spPr>
                </pic:pic>
              </a:graphicData>
            </a:graphic>
          </wp:inline>
        </w:drawing>
      </w:r>
    </w:p>
    <w:p w14:paraId="09F5D732" w14:textId="77777777" w:rsidR="00DB1E35" w:rsidRDefault="00000000">
      <w:pPr>
        <w:pStyle w:val="ImageCaption"/>
      </w:pPr>
      <w:r>
        <w:t>Figure 2. Breakfast buffet counter with lit shelving, GMED oils, hot lamps and linen bread bags.</w:t>
      </w:r>
    </w:p>
    <w:p w14:paraId="56C4DB94" w14:textId="77777777" w:rsidR="00DB1E35" w:rsidRDefault="00000000">
      <w:pPr>
        <w:pStyle w:val="CaptionedFigure"/>
      </w:pPr>
      <w:r>
        <w:rPr>
          <w:noProof/>
        </w:rPr>
        <w:lastRenderedPageBreak/>
        <w:drawing>
          <wp:inline distT="0" distB="0" distL="0" distR="0" wp14:anchorId="27B8F743" wp14:editId="7DF29BA7">
            <wp:extent cx="2400300" cy="3198399"/>
            <wp:effectExtent l="0" t="0" r="0" b="0"/>
            <wp:docPr id="38" name="Picture" descr="Figure 4. Lounge with long timber table and garden-facing café tables."/>
            <wp:cNvGraphicFramePr/>
            <a:graphic xmlns:a="http://schemas.openxmlformats.org/drawingml/2006/main">
              <a:graphicData uri="http://schemas.openxmlformats.org/drawingml/2006/picture">
                <pic:pic xmlns:pic="http://schemas.openxmlformats.org/drawingml/2006/picture">
                  <pic:nvPicPr>
                    <pic:cNvPr id="39" name="Picture" descr="img/fig4.jpg"/>
                    <pic:cNvPicPr>
                      <a:picLocks noChangeAspect="1" noChangeArrowheads="1"/>
                    </pic:cNvPicPr>
                  </pic:nvPicPr>
                  <pic:blipFill>
                    <a:blip r:embed="rId10"/>
                    <a:stretch>
                      <a:fillRect/>
                    </a:stretch>
                  </pic:blipFill>
                  <pic:spPr bwMode="auto">
                    <a:xfrm>
                      <a:off x="0" y="0"/>
                      <a:ext cx="2400300" cy="3198399"/>
                    </a:xfrm>
                    <a:prstGeom prst="rect">
                      <a:avLst/>
                    </a:prstGeom>
                    <a:noFill/>
                    <a:ln w="9525">
                      <a:noFill/>
                      <a:headEnd/>
                      <a:tailEnd/>
                    </a:ln>
                  </pic:spPr>
                </pic:pic>
              </a:graphicData>
            </a:graphic>
          </wp:inline>
        </w:drawing>
      </w:r>
    </w:p>
    <w:p w14:paraId="5928AD75" w14:textId="77777777" w:rsidR="00DB1E35" w:rsidRDefault="00000000">
      <w:pPr>
        <w:pStyle w:val="ImageCaption"/>
      </w:pPr>
      <w:r>
        <w:t>Figure 3. Lounge with long timber table and garden-facing café tables.</w:t>
      </w:r>
    </w:p>
    <w:p w14:paraId="0893428A" w14:textId="77777777" w:rsidR="00DB1E35" w:rsidRDefault="00000000">
      <w:pPr>
        <w:pStyle w:val="CaptionedFigure"/>
      </w:pPr>
      <w:r>
        <w:rPr>
          <w:noProof/>
        </w:rPr>
        <w:drawing>
          <wp:inline distT="0" distB="0" distL="0" distR="0" wp14:anchorId="5F4A5F76" wp14:editId="433D0D34">
            <wp:extent cx="2400300" cy="3199257"/>
            <wp:effectExtent l="0" t="0" r="0" b="0"/>
            <wp:docPr id="41" name="Picture" descr="Figure 5. In-room tea and coffee tray with Nescafé sachets on a marked marble top."/>
            <wp:cNvGraphicFramePr/>
            <a:graphic xmlns:a="http://schemas.openxmlformats.org/drawingml/2006/main">
              <a:graphicData uri="http://schemas.openxmlformats.org/drawingml/2006/picture">
                <pic:pic xmlns:pic="http://schemas.openxmlformats.org/drawingml/2006/picture">
                  <pic:nvPicPr>
                    <pic:cNvPr id="42" name="Picture" descr="img/fig5.jpg"/>
                    <pic:cNvPicPr>
                      <a:picLocks noChangeAspect="1" noChangeArrowheads="1"/>
                    </pic:cNvPicPr>
                  </pic:nvPicPr>
                  <pic:blipFill>
                    <a:blip r:embed="rId11"/>
                    <a:stretch>
                      <a:fillRect/>
                    </a:stretch>
                  </pic:blipFill>
                  <pic:spPr bwMode="auto">
                    <a:xfrm>
                      <a:off x="0" y="0"/>
                      <a:ext cx="2400300" cy="3199257"/>
                    </a:xfrm>
                    <a:prstGeom prst="rect">
                      <a:avLst/>
                    </a:prstGeom>
                    <a:noFill/>
                    <a:ln w="9525">
                      <a:noFill/>
                      <a:headEnd/>
                      <a:tailEnd/>
                    </a:ln>
                  </pic:spPr>
                </pic:pic>
              </a:graphicData>
            </a:graphic>
          </wp:inline>
        </w:drawing>
      </w:r>
    </w:p>
    <w:p w14:paraId="146C643A" w14:textId="77777777" w:rsidR="00DB1E35" w:rsidRDefault="00000000">
      <w:pPr>
        <w:pStyle w:val="ImageCaption"/>
      </w:pPr>
      <w:r>
        <w:t>Figure 4. In-room tea and coffee tray with Nescafé sachets on a marked marble top.</w:t>
      </w:r>
    </w:p>
    <w:p w14:paraId="7923835B" w14:textId="77777777" w:rsidR="00DB1E35" w:rsidRDefault="00000000">
      <w:pPr>
        <w:pStyle w:val="CaptionedFigure"/>
      </w:pPr>
      <w:r>
        <w:rPr>
          <w:noProof/>
        </w:rPr>
        <w:drawing>
          <wp:inline distT="0" distB="0" distL="0" distR="0" wp14:anchorId="694880B7" wp14:editId="1D7ECD37">
            <wp:extent cx="2400300" cy="3199257"/>
            <wp:effectExtent l="0" t="0" r="0" b="0"/>
            <wp:docPr id="53" name="Picture" descr="Figure 9. Guest room with walnut headboard, bay window and artwork."/>
            <wp:cNvGraphicFramePr/>
            <a:graphic xmlns:a="http://schemas.openxmlformats.org/drawingml/2006/main">
              <a:graphicData uri="http://schemas.openxmlformats.org/drawingml/2006/picture">
                <pic:pic xmlns:pic="http://schemas.openxmlformats.org/drawingml/2006/picture">
                  <pic:nvPicPr>
                    <pic:cNvPr id="54" name="Picture" descr="img/fig9.jpg"/>
                    <pic:cNvPicPr>
                      <a:picLocks noChangeAspect="1" noChangeArrowheads="1"/>
                    </pic:cNvPicPr>
                  </pic:nvPicPr>
                  <pic:blipFill>
                    <a:blip r:embed="rId15"/>
                    <a:stretch>
                      <a:fillRect/>
                    </a:stretch>
                  </pic:blipFill>
                  <pic:spPr bwMode="auto">
                    <a:xfrm>
                      <a:off x="0" y="0"/>
                      <a:ext cx="2400300" cy="3199257"/>
                    </a:xfrm>
                    <a:prstGeom prst="rect">
                      <a:avLst/>
                    </a:prstGeom>
                    <a:noFill/>
                    <a:ln w="9525">
                      <a:noFill/>
                      <a:headEnd/>
                      <a:tailEnd/>
                    </a:ln>
                  </pic:spPr>
                </pic:pic>
              </a:graphicData>
            </a:graphic>
          </wp:inline>
        </w:drawing>
      </w:r>
    </w:p>
    <w:p w14:paraId="62733C48" w14:textId="77777777" w:rsidR="00DB1E35" w:rsidRDefault="00000000">
      <w:pPr>
        <w:pStyle w:val="ImageCaption"/>
      </w:pPr>
      <w:r>
        <w:t>Figure 5. Guest room with walnut headboard, bay window and artwork.</w:t>
      </w:r>
    </w:p>
    <w:p w14:paraId="79DC8AAB" w14:textId="77777777" w:rsidR="00DB1E35" w:rsidRDefault="00000000">
      <w:pPr>
        <w:pStyle w:val="BodyText"/>
      </w:pPr>
      <w:r>
        <w:rPr>
          <w:b/>
          <w:bCs/>
        </w:rPr>
        <w:t>Photographic evidence log</w:t>
      </w:r>
    </w:p>
    <w:tbl>
      <w:tblPr>
        <w:tblStyle w:val="Table"/>
        <w:tblW w:w="5000" w:type="pct"/>
        <w:tblLook w:val="0020" w:firstRow="1" w:lastRow="0" w:firstColumn="0" w:lastColumn="0" w:noHBand="0" w:noVBand="0"/>
      </w:tblPr>
      <w:tblGrid>
        <w:gridCol w:w="580"/>
        <w:gridCol w:w="4249"/>
        <w:gridCol w:w="1739"/>
        <w:gridCol w:w="3008"/>
      </w:tblGrid>
      <w:tr w:rsidR="00DB1E35" w14:paraId="23CE932E"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CC0AD45" w14:textId="77777777" w:rsidR="00DB1E35" w:rsidRDefault="00000000">
            <w:pPr>
              <w:pStyle w:val="Compact"/>
            </w:pPr>
            <w:r>
              <w:t>Fig.</w:t>
            </w:r>
          </w:p>
        </w:tc>
        <w:tc>
          <w:tcPr>
            <w:tcW w:w="0" w:type="auto"/>
          </w:tcPr>
          <w:p w14:paraId="26C40051" w14:textId="77777777" w:rsidR="00DB1E35" w:rsidRDefault="00000000">
            <w:pPr>
              <w:pStyle w:val="Compact"/>
            </w:pPr>
            <w:r>
              <w:t>What the photograph shows</w:t>
            </w:r>
          </w:p>
        </w:tc>
        <w:tc>
          <w:tcPr>
            <w:tcW w:w="0" w:type="auto"/>
          </w:tcPr>
          <w:p w14:paraId="484CEB82" w14:textId="77777777" w:rsidR="00DB1E35" w:rsidRDefault="00000000">
            <w:pPr>
              <w:pStyle w:val="Compact"/>
            </w:pPr>
            <w:r>
              <w:t>Kano class</w:t>
            </w:r>
          </w:p>
        </w:tc>
        <w:tc>
          <w:tcPr>
            <w:tcW w:w="0" w:type="auto"/>
          </w:tcPr>
          <w:p w14:paraId="49F3AA06" w14:textId="77777777" w:rsidR="00DB1E35" w:rsidRDefault="00000000">
            <w:pPr>
              <w:pStyle w:val="Compact"/>
            </w:pPr>
            <w:r>
              <w:t>Reading</w:t>
            </w:r>
          </w:p>
        </w:tc>
      </w:tr>
      <w:tr w:rsidR="00DB1E35" w14:paraId="12E5D936" w14:textId="77777777">
        <w:tc>
          <w:tcPr>
            <w:tcW w:w="0" w:type="auto"/>
          </w:tcPr>
          <w:p w14:paraId="46F10DDF" w14:textId="77777777" w:rsidR="00DB1E35" w:rsidRDefault="00000000">
            <w:pPr>
              <w:pStyle w:val="Compact"/>
            </w:pPr>
            <w:r>
              <w:t>1</w:t>
            </w:r>
          </w:p>
        </w:tc>
        <w:tc>
          <w:tcPr>
            <w:tcW w:w="0" w:type="auto"/>
          </w:tcPr>
          <w:p w14:paraId="28AE0CC3" w14:textId="77777777" w:rsidR="00DB1E35" w:rsidRDefault="00000000">
            <w:pPr>
              <w:pStyle w:val="Compact"/>
            </w:pPr>
            <w:r>
              <w:t>Lift lobby: black marble surround, pediment, brass-coloured door</w:t>
            </w:r>
          </w:p>
        </w:tc>
        <w:tc>
          <w:tcPr>
            <w:tcW w:w="0" w:type="auto"/>
          </w:tcPr>
          <w:p w14:paraId="382C6C22" w14:textId="77777777" w:rsidR="00DB1E35" w:rsidRDefault="00000000">
            <w:pPr>
              <w:pStyle w:val="Compact"/>
            </w:pPr>
            <w:r>
              <w:t>Must-be</w:t>
            </w:r>
          </w:p>
        </w:tc>
        <w:tc>
          <w:tcPr>
            <w:tcW w:w="0" w:type="auto"/>
          </w:tcPr>
          <w:p w14:paraId="1B3D1F48" w14:textId="77777777" w:rsidR="00DB1E35" w:rsidRDefault="00000000">
            <w:pPr>
              <w:pStyle w:val="Compact"/>
            </w:pPr>
            <w:r>
              <w:t>Gap: door finish looks dull and uneven</w:t>
            </w:r>
          </w:p>
        </w:tc>
      </w:tr>
      <w:tr w:rsidR="00DB1E35" w14:paraId="68A7FC4B" w14:textId="77777777">
        <w:tc>
          <w:tcPr>
            <w:tcW w:w="0" w:type="auto"/>
          </w:tcPr>
          <w:p w14:paraId="16CAAE1B" w14:textId="77777777" w:rsidR="00DB1E35" w:rsidRDefault="00000000">
            <w:pPr>
              <w:pStyle w:val="Compact"/>
            </w:pPr>
            <w:r>
              <w:t>2</w:t>
            </w:r>
          </w:p>
        </w:tc>
        <w:tc>
          <w:tcPr>
            <w:tcW w:w="0" w:type="auto"/>
          </w:tcPr>
          <w:p w14:paraId="78861234" w14:textId="77777777" w:rsidR="00DB1E35" w:rsidRDefault="00000000">
            <w:pPr>
              <w:pStyle w:val="Compact"/>
            </w:pPr>
            <w:r>
              <w:t>Breakfast counter: lit shelving, GMED oils, hot lamps, linen bread bags, Real Crisps</w:t>
            </w:r>
          </w:p>
        </w:tc>
        <w:tc>
          <w:tcPr>
            <w:tcW w:w="0" w:type="auto"/>
          </w:tcPr>
          <w:p w14:paraId="4A755145" w14:textId="77777777" w:rsidR="00DB1E35" w:rsidRDefault="00000000">
            <w:pPr>
              <w:pStyle w:val="Compact"/>
            </w:pPr>
            <w:r>
              <w:t>Attractive</w:t>
            </w:r>
          </w:p>
        </w:tc>
        <w:tc>
          <w:tcPr>
            <w:tcW w:w="0" w:type="auto"/>
          </w:tcPr>
          <w:p w14:paraId="11BBB1FD" w14:textId="77777777" w:rsidR="00DB1E35" w:rsidRDefault="00000000">
            <w:pPr>
              <w:pStyle w:val="Compact"/>
            </w:pPr>
            <w:r>
              <w:t>Strength</w:t>
            </w:r>
          </w:p>
        </w:tc>
      </w:tr>
      <w:tr w:rsidR="00DB1E35" w14:paraId="468304B9" w14:textId="77777777">
        <w:tc>
          <w:tcPr>
            <w:tcW w:w="0" w:type="auto"/>
          </w:tcPr>
          <w:p w14:paraId="647D8091" w14:textId="77777777" w:rsidR="00DB1E35" w:rsidRDefault="00000000">
            <w:pPr>
              <w:pStyle w:val="Compact"/>
            </w:pPr>
            <w:r>
              <w:t>3</w:t>
            </w:r>
          </w:p>
        </w:tc>
        <w:tc>
          <w:tcPr>
            <w:tcW w:w="0" w:type="auto"/>
          </w:tcPr>
          <w:p w14:paraId="3DBA38EE" w14:textId="77777777" w:rsidR="00DB1E35" w:rsidRDefault="00000000">
            <w:pPr>
              <w:pStyle w:val="Compact"/>
            </w:pPr>
            <w:r>
              <w:t>Lounge: long timber table, garden-facing café tables</w:t>
            </w:r>
          </w:p>
        </w:tc>
        <w:tc>
          <w:tcPr>
            <w:tcW w:w="0" w:type="auto"/>
          </w:tcPr>
          <w:p w14:paraId="2C26DEC6" w14:textId="77777777" w:rsidR="00DB1E35" w:rsidRDefault="00000000">
            <w:pPr>
              <w:pStyle w:val="Compact"/>
            </w:pPr>
            <w:r>
              <w:t>Attractive</w:t>
            </w:r>
          </w:p>
        </w:tc>
        <w:tc>
          <w:tcPr>
            <w:tcW w:w="0" w:type="auto"/>
          </w:tcPr>
          <w:p w14:paraId="6A3D2360" w14:textId="77777777" w:rsidR="00DB1E35" w:rsidRDefault="00000000">
            <w:pPr>
              <w:pStyle w:val="Compact"/>
            </w:pPr>
            <w:r>
              <w:t>Strength: flexible work-and-dine space</w:t>
            </w:r>
          </w:p>
        </w:tc>
      </w:tr>
      <w:tr w:rsidR="00DB1E35" w14:paraId="1FA14D30" w14:textId="77777777">
        <w:tc>
          <w:tcPr>
            <w:tcW w:w="0" w:type="auto"/>
          </w:tcPr>
          <w:p w14:paraId="2B5907CC" w14:textId="77777777" w:rsidR="00DB1E35" w:rsidRDefault="00000000">
            <w:pPr>
              <w:pStyle w:val="Compact"/>
            </w:pPr>
            <w:r>
              <w:t>4</w:t>
            </w:r>
          </w:p>
        </w:tc>
        <w:tc>
          <w:tcPr>
            <w:tcW w:w="0" w:type="auto"/>
          </w:tcPr>
          <w:p w14:paraId="118CE7BE" w14:textId="77777777" w:rsidR="00DB1E35" w:rsidRDefault="00000000">
            <w:pPr>
              <w:pStyle w:val="Compact"/>
            </w:pPr>
            <w:r>
              <w:t>Room tea and coffee tray: Nescafé sachets, portion milk, marked marble</w:t>
            </w:r>
          </w:p>
        </w:tc>
        <w:tc>
          <w:tcPr>
            <w:tcW w:w="0" w:type="auto"/>
          </w:tcPr>
          <w:p w14:paraId="65A31433" w14:textId="77777777" w:rsidR="00DB1E35" w:rsidRDefault="00000000">
            <w:pPr>
              <w:pStyle w:val="Compact"/>
            </w:pPr>
            <w:r>
              <w:t>Must-be and attractive</w:t>
            </w:r>
          </w:p>
        </w:tc>
        <w:tc>
          <w:tcPr>
            <w:tcW w:w="0" w:type="auto"/>
          </w:tcPr>
          <w:p w14:paraId="3C4AE0DD" w14:textId="77777777" w:rsidR="00DB1E35" w:rsidRDefault="00000000">
            <w:pPr>
              <w:pStyle w:val="Compact"/>
            </w:pPr>
            <w:r>
              <w:t>Gap: off-brand coffee, surface marks</w:t>
            </w:r>
          </w:p>
        </w:tc>
      </w:tr>
      <w:tr w:rsidR="00DB1E35" w14:paraId="62DB0452" w14:textId="77777777">
        <w:tc>
          <w:tcPr>
            <w:tcW w:w="0" w:type="auto"/>
          </w:tcPr>
          <w:p w14:paraId="778C1663" w14:textId="77777777" w:rsidR="00DB1E35" w:rsidRDefault="00000000">
            <w:pPr>
              <w:pStyle w:val="Compact"/>
            </w:pPr>
            <w:r>
              <w:t>5</w:t>
            </w:r>
          </w:p>
        </w:tc>
        <w:tc>
          <w:tcPr>
            <w:tcW w:w="0" w:type="auto"/>
          </w:tcPr>
          <w:p w14:paraId="5443C914" w14:textId="77777777" w:rsidR="00DB1E35" w:rsidRDefault="00000000">
            <w:pPr>
              <w:pStyle w:val="Compact"/>
            </w:pPr>
            <w:r>
              <w:t>Guest room: walnut headboard, bay window, artwork</w:t>
            </w:r>
          </w:p>
        </w:tc>
        <w:tc>
          <w:tcPr>
            <w:tcW w:w="0" w:type="auto"/>
          </w:tcPr>
          <w:p w14:paraId="4785DA82" w14:textId="77777777" w:rsidR="00DB1E35" w:rsidRDefault="00000000">
            <w:pPr>
              <w:pStyle w:val="Compact"/>
            </w:pPr>
            <w:r>
              <w:t>Attractive</w:t>
            </w:r>
          </w:p>
        </w:tc>
        <w:tc>
          <w:tcPr>
            <w:tcW w:w="0" w:type="auto"/>
          </w:tcPr>
          <w:p w14:paraId="751C89AF" w14:textId="77777777" w:rsidR="00DB1E35" w:rsidRDefault="00000000">
            <w:pPr>
              <w:pStyle w:val="Compact"/>
            </w:pPr>
            <w:r>
              <w:t>Strength</w:t>
            </w:r>
          </w:p>
        </w:tc>
      </w:tr>
    </w:tbl>
    <w:p w14:paraId="0741A079" w14:textId="77777777" w:rsidR="00DB1E35" w:rsidRDefault="00000000">
      <w:pPr>
        <w:pStyle w:val="Heading2"/>
      </w:pPr>
      <w:bookmarkStart w:id="20" w:name="appendix-2-source-map"/>
      <w:bookmarkStart w:id="21" w:name="_Toc242368067"/>
      <w:bookmarkEnd w:id="18"/>
      <w:r>
        <w:t>Appendix 2: Source map</w:t>
      </w:r>
      <w:bookmarkEnd w:id="21"/>
    </w:p>
    <w:tbl>
      <w:tblPr>
        <w:tblStyle w:val="Table"/>
        <w:tblW w:w="5000" w:type="pct"/>
        <w:tblLook w:val="0020" w:firstRow="1" w:lastRow="0" w:firstColumn="0" w:lastColumn="0" w:noHBand="0" w:noVBand="0"/>
      </w:tblPr>
      <w:tblGrid>
        <w:gridCol w:w="2276"/>
        <w:gridCol w:w="2531"/>
        <w:gridCol w:w="2801"/>
        <w:gridCol w:w="1968"/>
      </w:tblGrid>
      <w:tr w:rsidR="00DB1E35" w14:paraId="7E46D1E7"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5FDE5" w14:textId="77777777" w:rsidR="00DB1E35" w:rsidRDefault="00000000">
            <w:pPr>
              <w:pStyle w:val="Compact"/>
            </w:pPr>
            <w:r>
              <w:t>Source</w:t>
            </w:r>
          </w:p>
        </w:tc>
        <w:tc>
          <w:tcPr>
            <w:tcW w:w="0" w:type="auto"/>
          </w:tcPr>
          <w:p w14:paraId="0FDA4663" w14:textId="77777777" w:rsidR="00DB1E35" w:rsidRDefault="00000000">
            <w:pPr>
              <w:pStyle w:val="Compact"/>
            </w:pPr>
            <w:r>
              <w:t>Can prove</w:t>
            </w:r>
          </w:p>
        </w:tc>
        <w:tc>
          <w:tcPr>
            <w:tcW w:w="0" w:type="auto"/>
          </w:tcPr>
          <w:p w14:paraId="43CAF1BF" w14:textId="77777777" w:rsidR="00DB1E35" w:rsidRDefault="00000000">
            <w:pPr>
              <w:pStyle w:val="Compact"/>
            </w:pPr>
            <w:r>
              <w:t>Cannot prove</w:t>
            </w:r>
          </w:p>
        </w:tc>
        <w:tc>
          <w:tcPr>
            <w:tcW w:w="0" w:type="auto"/>
          </w:tcPr>
          <w:p w14:paraId="5BA9058D" w14:textId="77777777" w:rsidR="00DB1E35" w:rsidRDefault="00000000">
            <w:pPr>
              <w:pStyle w:val="Compact"/>
            </w:pPr>
            <w:r>
              <w:t>Handle with</w:t>
            </w:r>
          </w:p>
        </w:tc>
      </w:tr>
      <w:tr w:rsidR="00DB1E35" w14:paraId="03116C6A" w14:textId="77777777">
        <w:tc>
          <w:tcPr>
            <w:tcW w:w="0" w:type="auto"/>
          </w:tcPr>
          <w:p w14:paraId="7DEF8965" w14:textId="77777777" w:rsidR="00DB1E35" w:rsidRDefault="00000000">
            <w:pPr>
              <w:pStyle w:val="Compact"/>
            </w:pPr>
            <w:r>
              <w:t>Visit observation and photos, 9 September 2025</w:t>
            </w:r>
          </w:p>
        </w:tc>
        <w:tc>
          <w:tcPr>
            <w:tcW w:w="0" w:type="auto"/>
          </w:tcPr>
          <w:p w14:paraId="6976D8E8" w14:textId="77777777" w:rsidR="00DB1E35" w:rsidRDefault="00000000">
            <w:pPr>
              <w:pStyle w:val="Compact"/>
            </w:pPr>
            <w:r>
              <w:t>What a guest sees in public areas on one day</w:t>
            </w:r>
          </w:p>
        </w:tc>
        <w:tc>
          <w:tcPr>
            <w:tcW w:w="0" w:type="auto"/>
          </w:tcPr>
          <w:p w14:paraId="0F6C27CE" w14:textId="77777777" w:rsidR="00DB1E35" w:rsidRDefault="00000000">
            <w:pPr>
              <w:pStyle w:val="Compact"/>
            </w:pPr>
            <w:r>
              <w:t>Typical standards across the year</w:t>
            </w:r>
          </w:p>
        </w:tc>
        <w:tc>
          <w:tcPr>
            <w:tcW w:w="0" w:type="auto"/>
          </w:tcPr>
          <w:p w14:paraId="433FD66A" w14:textId="77777777" w:rsidR="00DB1E35" w:rsidRDefault="00000000">
            <w:pPr>
              <w:pStyle w:val="Compact"/>
            </w:pPr>
            <w:r>
              <w:t>Say “on the day observed”</w:t>
            </w:r>
          </w:p>
        </w:tc>
      </w:tr>
      <w:tr w:rsidR="00DB1E35" w14:paraId="7005F53B" w14:textId="77777777">
        <w:tc>
          <w:tcPr>
            <w:tcW w:w="0" w:type="auto"/>
          </w:tcPr>
          <w:p w14:paraId="4E78D20F" w14:textId="77777777" w:rsidR="00DB1E35" w:rsidRDefault="00000000">
            <w:pPr>
              <w:pStyle w:val="Compact"/>
            </w:pPr>
            <w:r>
              <w:t>Staff session and tour commentary</w:t>
            </w:r>
          </w:p>
        </w:tc>
        <w:tc>
          <w:tcPr>
            <w:tcW w:w="0" w:type="auto"/>
          </w:tcPr>
          <w:p w14:paraId="0C1F6218" w14:textId="77777777" w:rsidR="00DB1E35" w:rsidRDefault="00000000">
            <w:pPr>
              <w:pStyle w:val="Compact"/>
            </w:pPr>
            <w:r>
              <w:t>How staff describe the positioning and the starting rate (about £300 a night)</w:t>
            </w:r>
          </w:p>
        </w:tc>
        <w:tc>
          <w:tcPr>
            <w:tcW w:w="0" w:type="auto"/>
          </w:tcPr>
          <w:p w14:paraId="2B02F8A1" w14:textId="77777777" w:rsidR="00DB1E35" w:rsidRDefault="00000000">
            <w:pPr>
              <w:pStyle w:val="Compact"/>
            </w:pPr>
            <w:r>
              <w:t>Official policy; the session was careers-led and informal</w:t>
            </w:r>
          </w:p>
        </w:tc>
        <w:tc>
          <w:tcPr>
            <w:tcW w:w="0" w:type="auto"/>
          </w:tcPr>
          <w:p w14:paraId="2C08FE06" w14:textId="77777777" w:rsidR="00DB1E35" w:rsidRDefault="00000000">
            <w:pPr>
              <w:pStyle w:val="Compact"/>
            </w:pPr>
            <w:r>
              <w:t>Paraphrase; do not quote as policy</w:t>
            </w:r>
          </w:p>
        </w:tc>
      </w:tr>
      <w:tr w:rsidR="00DB1E35" w14:paraId="08DF4900" w14:textId="77777777">
        <w:tc>
          <w:tcPr>
            <w:tcW w:w="0" w:type="auto"/>
          </w:tcPr>
          <w:p w14:paraId="2F9DDC75" w14:textId="77777777" w:rsidR="00DB1E35" w:rsidRDefault="00000000">
            <w:pPr>
              <w:pStyle w:val="Compact"/>
            </w:pPr>
            <w:r>
              <w:t>Camden planning documents; Historic England list entry</w:t>
            </w:r>
          </w:p>
        </w:tc>
        <w:tc>
          <w:tcPr>
            <w:tcW w:w="0" w:type="auto"/>
          </w:tcPr>
          <w:p w14:paraId="561F5071" w14:textId="77777777" w:rsidR="00DB1E35" w:rsidRDefault="00000000">
            <w:pPr>
              <w:pStyle w:val="Compact"/>
            </w:pPr>
            <w:r>
              <w:t>Listing, building form, room count</w:t>
            </w:r>
          </w:p>
        </w:tc>
        <w:tc>
          <w:tcPr>
            <w:tcW w:w="0" w:type="auto"/>
          </w:tcPr>
          <w:p w14:paraId="0A5DD406" w14:textId="77777777" w:rsidR="00DB1E35" w:rsidRDefault="00000000">
            <w:pPr>
              <w:pStyle w:val="Compact"/>
            </w:pPr>
            <w:r>
              <w:t>Current operations; dates may be unclear</w:t>
            </w:r>
          </w:p>
        </w:tc>
        <w:tc>
          <w:tcPr>
            <w:tcW w:w="0" w:type="auto"/>
          </w:tcPr>
          <w:p w14:paraId="4C9B9CE8" w14:textId="77777777" w:rsidR="00DB1E35" w:rsidRDefault="00000000">
            <w:pPr>
              <w:pStyle w:val="Compact"/>
            </w:pPr>
            <w:r>
              <w:t>Cite date; note the room-count conflict</w:t>
            </w:r>
          </w:p>
        </w:tc>
      </w:tr>
      <w:tr w:rsidR="00DB1E35" w14:paraId="6D233FE3" w14:textId="77777777">
        <w:tc>
          <w:tcPr>
            <w:tcW w:w="0" w:type="auto"/>
          </w:tcPr>
          <w:p w14:paraId="79003ADF" w14:textId="77777777" w:rsidR="00DB1E35" w:rsidRDefault="00000000">
            <w:pPr>
              <w:pStyle w:val="Compact"/>
            </w:pPr>
            <w:r>
              <w:t>Meliá press release (Hospitality Net, 2023)</w:t>
            </w:r>
          </w:p>
        </w:tc>
        <w:tc>
          <w:tcPr>
            <w:tcW w:w="0" w:type="auto"/>
          </w:tcPr>
          <w:p w14:paraId="18DF6DDB" w14:textId="77777777" w:rsidR="00DB1E35" w:rsidRDefault="00000000">
            <w:pPr>
              <w:pStyle w:val="Compact"/>
            </w:pPr>
            <w:r>
              <w:t>The promise the brand makes</w:t>
            </w:r>
          </w:p>
        </w:tc>
        <w:tc>
          <w:tcPr>
            <w:tcW w:w="0" w:type="auto"/>
          </w:tcPr>
          <w:p w14:paraId="4E863350" w14:textId="77777777" w:rsidR="00DB1E35" w:rsidRDefault="00000000">
            <w:pPr>
              <w:pStyle w:val="Compact"/>
            </w:pPr>
            <w:r>
              <w:t>Whether it is kept</w:t>
            </w:r>
          </w:p>
        </w:tc>
        <w:tc>
          <w:tcPr>
            <w:tcW w:w="0" w:type="auto"/>
          </w:tcPr>
          <w:p w14:paraId="0D6B6C37" w14:textId="77777777" w:rsidR="00DB1E35" w:rsidRDefault="00000000">
            <w:pPr>
              <w:pStyle w:val="Compact"/>
            </w:pPr>
            <w:r>
              <w:t>Treat as promotional</w:t>
            </w:r>
          </w:p>
        </w:tc>
      </w:tr>
      <w:tr w:rsidR="00DB1E35" w14:paraId="575FAB32" w14:textId="77777777">
        <w:tc>
          <w:tcPr>
            <w:tcW w:w="0" w:type="auto"/>
          </w:tcPr>
          <w:p w14:paraId="7C56D35C" w14:textId="77777777" w:rsidR="00DB1E35" w:rsidRDefault="00000000">
            <w:pPr>
              <w:pStyle w:val="Compact"/>
            </w:pPr>
            <w:r>
              <w:t>Business Traveller (2024)</w:t>
            </w:r>
          </w:p>
        </w:tc>
        <w:tc>
          <w:tcPr>
            <w:tcW w:w="0" w:type="auto"/>
          </w:tcPr>
          <w:p w14:paraId="29F75FD8" w14:textId="77777777" w:rsidR="00DB1E35" w:rsidRDefault="00000000">
            <w:pPr>
              <w:pStyle w:val="Compact"/>
            </w:pPr>
            <w:r>
              <w:t>Co-working offer and renovation figures from an independent outlet</w:t>
            </w:r>
          </w:p>
        </w:tc>
        <w:tc>
          <w:tcPr>
            <w:tcW w:w="0" w:type="auto"/>
          </w:tcPr>
          <w:p w14:paraId="122498D8" w14:textId="77777777" w:rsidR="00DB1E35" w:rsidRDefault="00000000">
            <w:pPr>
              <w:pStyle w:val="Compact"/>
            </w:pPr>
            <w:r>
              <w:t>Uptake or revenue; possible partner input</w:t>
            </w:r>
          </w:p>
        </w:tc>
        <w:tc>
          <w:tcPr>
            <w:tcW w:w="0" w:type="auto"/>
          </w:tcPr>
          <w:p w14:paraId="210852DD" w14:textId="77777777" w:rsidR="00DB1E35" w:rsidRDefault="00000000">
            <w:pPr>
              <w:pStyle w:val="Compact"/>
            </w:pPr>
            <w:r>
              <w:t>Cite exact date</w:t>
            </w:r>
          </w:p>
        </w:tc>
      </w:tr>
      <w:tr w:rsidR="00DB1E35" w14:paraId="1B163343" w14:textId="77777777">
        <w:tc>
          <w:tcPr>
            <w:tcW w:w="0" w:type="auto"/>
          </w:tcPr>
          <w:p w14:paraId="0C377EE0" w14:textId="77777777" w:rsidR="00DB1E35" w:rsidRDefault="00000000">
            <w:pPr>
              <w:pStyle w:val="Compact"/>
            </w:pPr>
            <w:r>
              <w:t xml:space="preserve">Brand Finance and </w:t>
            </w:r>
            <w:r>
              <w:lastRenderedPageBreak/>
              <w:t>S&amp;P coverage</w:t>
            </w:r>
          </w:p>
        </w:tc>
        <w:tc>
          <w:tcPr>
            <w:tcW w:w="0" w:type="auto"/>
          </w:tcPr>
          <w:p w14:paraId="480B0575" w14:textId="77777777" w:rsidR="00DB1E35" w:rsidRDefault="00000000">
            <w:pPr>
              <w:pStyle w:val="Compact"/>
            </w:pPr>
            <w:r>
              <w:lastRenderedPageBreak/>
              <w:t>Group-level standing</w:t>
            </w:r>
          </w:p>
        </w:tc>
        <w:tc>
          <w:tcPr>
            <w:tcW w:w="0" w:type="auto"/>
          </w:tcPr>
          <w:p w14:paraId="69DD282D" w14:textId="77777777" w:rsidR="00DB1E35" w:rsidRDefault="00000000">
            <w:pPr>
              <w:pStyle w:val="Compact"/>
            </w:pPr>
            <w:r>
              <w:t xml:space="preserve">Anything about this </w:t>
            </w:r>
            <w:r>
              <w:lastRenderedPageBreak/>
              <w:t>hotel</w:t>
            </w:r>
          </w:p>
        </w:tc>
        <w:tc>
          <w:tcPr>
            <w:tcW w:w="0" w:type="auto"/>
          </w:tcPr>
          <w:p w14:paraId="645B3BE9" w14:textId="77777777" w:rsidR="00DB1E35" w:rsidRDefault="00000000">
            <w:pPr>
              <w:pStyle w:val="Compact"/>
            </w:pPr>
            <w:r>
              <w:lastRenderedPageBreak/>
              <w:t xml:space="preserve">Attribute as </w:t>
            </w:r>
            <w:r>
              <w:lastRenderedPageBreak/>
              <w:t>claims, not facts</w:t>
            </w:r>
          </w:p>
        </w:tc>
      </w:tr>
    </w:tbl>
    <w:p w14:paraId="25230361" w14:textId="4C767297" w:rsidR="00DB1E35" w:rsidRDefault="00000000">
      <w:pPr>
        <w:pStyle w:val="Heading2"/>
      </w:pPr>
      <w:bookmarkStart w:id="24" w:name="appendix-5-promise-versus-proof-ledger"/>
      <w:bookmarkStart w:id="25" w:name="_Toc242368070"/>
      <w:bookmarkEnd w:id="22"/>
      <w:r>
        <w:t xml:space="preserve">Appendix </w:t>
      </w:r>
      <w:r w:rsidR="00793183">
        <w:t>3</w:t>
      </w:r>
      <w:r>
        <w:t>: Promise-versus-proof ledger</w:t>
      </w:r>
      <w:bookmarkEnd w:id="25"/>
    </w:p>
    <w:tbl>
      <w:tblPr>
        <w:tblStyle w:val="Table"/>
        <w:tblW w:w="5000" w:type="pct"/>
        <w:tblLook w:val="0020" w:firstRow="1" w:lastRow="0" w:firstColumn="0" w:lastColumn="0" w:noHBand="0" w:noVBand="0"/>
      </w:tblPr>
      <w:tblGrid>
        <w:gridCol w:w="2522"/>
        <w:gridCol w:w="2770"/>
        <w:gridCol w:w="913"/>
        <w:gridCol w:w="1672"/>
        <w:gridCol w:w="1699"/>
      </w:tblGrid>
      <w:tr w:rsidR="00DB1E35" w14:paraId="69F70F8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4B457475" w14:textId="77777777" w:rsidR="00DB1E35" w:rsidRDefault="00000000">
            <w:pPr>
              <w:pStyle w:val="Compact"/>
            </w:pPr>
            <w:r>
              <w:t>Promise</w:t>
            </w:r>
          </w:p>
        </w:tc>
        <w:tc>
          <w:tcPr>
            <w:tcW w:w="0" w:type="auto"/>
          </w:tcPr>
          <w:p w14:paraId="42918CA3" w14:textId="77777777" w:rsidR="00DB1E35" w:rsidRDefault="00000000">
            <w:pPr>
              <w:pStyle w:val="Compact"/>
            </w:pPr>
            <w:r>
              <w:t>Proof seen</w:t>
            </w:r>
          </w:p>
        </w:tc>
        <w:tc>
          <w:tcPr>
            <w:tcW w:w="0" w:type="auto"/>
          </w:tcPr>
          <w:p w14:paraId="64CD24C6" w14:textId="77777777" w:rsidR="00DB1E35" w:rsidRDefault="00000000">
            <w:pPr>
              <w:pStyle w:val="Compact"/>
            </w:pPr>
            <w:r>
              <w:t>Status</w:t>
            </w:r>
          </w:p>
        </w:tc>
        <w:tc>
          <w:tcPr>
            <w:tcW w:w="0" w:type="auto"/>
          </w:tcPr>
          <w:p w14:paraId="2D08BEC9" w14:textId="77777777" w:rsidR="00DB1E35" w:rsidRDefault="00000000">
            <w:pPr>
              <w:pStyle w:val="Compact"/>
            </w:pPr>
            <w:r>
              <w:t>Type</w:t>
            </w:r>
          </w:p>
        </w:tc>
        <w:tc>
          <w:tcPr>
            <w:tcW w:w="0" w:type="auto"/>
          </w:tcPr>
          <w:p w14:paraId="438BEC5A" w14:textId="77777777" w:rsidR="00DB1E35" w:rsidRDefault="00000000">
            <w:pPr>
              <w:pStyle w:val="Compact"/>
            </w:pPr>
            <w:r>
              <w:t>Evidence</w:t>
            </w:r>
          </w:p>
        </w:tc>
      </w:tr>
      <w:tr w:rsidR="00DB1E35" w14:paraId="55F22198" w14:textId="77777777">
        <w:tc>
          <w:tcPr>
            <w:tcW w:w="0" w:type="auto"/>
          </w:tcPr>
          <w:p w14:paraId="461BE89D" w14:textId="77777777" w:rsidR="00DB1E35" w:rsidRDefault="00000000">
            <w:pPr>
              <w:pStyle w:val="Compact"/>
            </w:pPr>
            <w:r>
              <w:t>Premium, “exceeds expectations” (press release)</w:t>
            </w:r>
          </w:p>
        </w:tc>
        <w:tc>
          <w:tcPr>
            <w:tcW w:w="0" w:type="auto"/>
          </w:tcPr>
          <w:p w14:paraId="37B7B3D1" w14:textId="77777777" w:rsidR="00DB1E35" w:rsidRDefault="00000000">
            <w:pPr>
              <w:pStyle w:val="Compact"/>
            </w:pPr>
            <w:r>
              <w:t>Dull lift door, dusty grille, marked tray top</w:t>
            </w:r>
          </w:p>
        </w:tc>
        <w:tc>
          <w:tcPr>
            <w:tcW w:w="0" w:type="auto"/>
          </w:tcPr>
          <w:p w14:paraId="1D7A182B" w14:textId="77777777" w:rsidR="00DB1E35" w:rsidRDefault="00000000">
            <w:pPr>
              <w:pStyle w:val="Compact"/>
            </w:pPr>
            <w:r>
              <w:t>Amber</w:t>
            </w:r>
          </w:p>
        </w:tc>
        <w:tc>
          <w:tcPr>
            <w:tcW w:w="0" w:type="auto"/>
          </w:tcPr>
          <w:p w14:paraId="6FFDE8C8" w14:textId="77777777" w:rsidR="00DB1E35" w:rsidRDefault="00000000">
            <w:pPr>
              <w:pStyle w:val="Compact"/>
            </w:pPr>
            <w:r>
              <w:t>Technical quality</w:t>
            </w:r>
          </w:p>
        </w:tc>
        <w:tc>
          <w:tcPr>
            <w:tcW w:w="0" w:type="auto"/>
          </w:tcPr>
          <w:p w14:paraId="7AD84593" w14:textId="77777777" w:rsidR="00DB1E35" w:rsidRDefault="00000000">
            <w:pPr>
              <w:pStyle w:val="Compact"/>
            </w:pPr>
            <w:r>
              <w:t>Figs. 1, 4</w:t>
            </w:r>
          </w:p>
        </w:tc>
      </w:tr>
      <w:tr w:rsidR="00DB1E35" w14:paraId="0B1CB4D4" w14:textId="77777777">
        <w:tc>
          <w:tcPr>
            <w:tcW w:w="0" w:type="auto"/>
          </w:tcPr>
          <w:p w14:paraId="44FFB489" w14:textId="77777777" w:rsidR="00DB1E35" w:rsidRDefault="00000000">
            <w:pPr>
              <w:pStyle w:val="Compact"/>
            </w:pPr>
            <w:r>
              <w:t>Mediterranean F&amp;B identity</w:t>
            </w:r>
          </w:p>
        </w:tc>
        <w:tc>
          <w:tcPr>
            <w:tcW w:w="0" w:type="auto"/>
          </w:tcPr>
          <w:p w14:paraId="20BDD053" w14:textId="77777777" w:rsidR="00DB1E35" w:rsidRDefault="00000000">
            <w:pPr>
              <w:pStyle w:val="Compact"/>
            </w:pPr>
            <w:r>
              <w:t>Strong at buffet and drinks station; instant coffee in room</w:t>
            </w:r>
          </w:p>
        </w:tc>
        <w:tc>
          <w:tcPr>
            <w:tcW w:w="0" w:type="auto"/>
          </w:tcPr>
          <w:p w14:paraId="2CEDD0DA" w14:textId="77777777" w:rsidR="00DB1E35" w:rsidRDefault="00000000">
            <w:pPr>
              <w:pStyle w:val="Compact"/>
            </w:pPr>
            <w:r>
              <w:t>Amber</w:t>
            </w:r>
          </w:p>
        </w:tc>
        <w:tc>
          <w:tcPr>
            <w:tcW w:w="0" w:type="auto"/>
          </w:tcPr>
          <w:p w14:paraId="3A7206B9" w14:textId="77777777" w:rsidR="00DB1E35" w:rsidRDefault="00000000">
            <w:pPr>
              <w:pStyle w:val="Compact"/>
            </w:pPr>
            <w:r>
              <w:t>Consistency</w:t>
            </w:r>
          </w:p>
        </w:tc>
        <w:tc>
          <w:tcPr>
            <w:tcW w:w="0" w:type="auto"/>
          </w:tcPr>
          <w:p w14:paraId="4378C4A5" w14:textId="77777777" w:rsidR="00DB1E35" w:rsidRDefault="00000000">
            <w:pPr>
              <w:pStyle w:val="Compact"/>
            </w:pPr>
            <w:r>
              <w:t>Figs. 2, 4</w:t>
            </w:r>
          </w:p>
        </w:tc>
      </w:tr>
      <w:tr w:rsidR="00DB1E35" w14:paraId="35125A47" w14:textId="77777777">
        <w:tc>
          <w:tcPr>
            <w:tcW w:w="0" w:type="auto"/>
          </w:tcPr>
          <w:p w14:paraId="62756344" w14:textId="77777777" w:rsidR="00DB1E35" w:rsidRDefault="00000000">
            <w:pPr>
              <w:pStyle w:val="Compact"/>
            </w:pPr>
            <w:r>
              <w:t>Heritage as an asset</w:t>
            </w:r>
          </w:p>
        </w:tc>
        <w:tc>
          <w:tcPr>
            <w:tcW w:w="0" w:type="auto"/>
          </w:tcPr>
          <w:p w14:paraId="4C6E0E5B" w14:textId="77777777" w:rsidR="00DB1E35" w:rsidRDefault="00000000">
            <w:pPr>
              <w:pStyle w:val="Compact"/>
            </w:pPr>
            <w:r>
              <w:t>Cornice and oak detail carried through; grille and door finish let it down</w:t>
            </w:r>
          </w:p>
        </w:tc>
        <w:tc>
          <w:tcPr>
            <w:tcW w:w="0" w:type="auto"/>
          </w:tcPr>
          <w:p w14:paraId="35298D0E" w14:textId="77777777" w:rsidR="00DB1E35" w:rsidRDefault="00000000">
            <w:pPr>
              <w:pStyle w:val="Compact"/>
            </w:pPr>
            <w:r>
              <w:t>Amber</w:t>
            </w:r>
          </w:p>
        </w:tc>
        <w:tc>
          <w:tcPr>
            <w:tcW w:w="0" w:type="auto"/>
          </w:tcPr>
          <w:p w14:paraId="16151D51" w14:textId="77777777" w:rsidR="00DB1E35" w:rsidRDefault="00000000">
            <w:pPr>
              <w:pStyle w:val="Compact"/>
            </w:pPr>
            <w:r>
              <w:t>Setting</w:t>
            </w:r>
          </w:p>
        </w:tc>
        <w:tc>
          <w:tcPr>
            <w:tcW w:w="0" w:type="auto"/>
          </w:tcPr>
          <w:p w14:paraId="43126DFD" w14:textId="77777777" w:rsidR="00DB1E35" w:rsidRDefault="00000000">
            <w:pPr>
              <w:pStyle w:val="Compact"/>
            </w:pPr>
            <w:r>
              <w:t>Fig. 1</w:t>
            </w:r>
          </w:p>
        </w:tc>
      </w:tr>
      <w:tr w:rsidR="00DB1E35" w14:paraId="180D51FA" w14:textId="77777777">
        <w:tc>
          <w:tcPr>
            <w:tcW w:w="0" w:type="auto"/>
          </w:tcPr>
          <w:p w14:paraId="1C1E27B1" w14:textId="77777777" w:rsidR="00DB1E35" w:rsidRDefault="00000000">
            <w:pPr>
              <w:pStyle w:val="Compact"/>
            </w:pPr>
            <w:r>
              <w:t>A place to work and dine</w:t>
            </w:r>
          </w:p>
        </w:tc>
        <w:tc>
          <w:tcPr>
            <w:tcW w:w="0" w:type="auto"/>
          </w:tcPr>
          <w:p w14:paraId="4BE5793B" w14:textId="77777777" w:rsidR="00DB1E35" w:rsidRDefault="00000000">
            <w:pPr>
              <w:pStyle w:val="Compact"/>
            </w:pPr>
            <w:r>
              <w:t>Lounge, communal table; £40 day pass</w:t>
            </w:r>
          </w:p>
        </w:tc>
        <w:tc>
          <w:tcPr>
            <w:tcW w:w="0" w:type="auto"/>
          </w:tcPr>
          <w:p w14:paraId="3D68B4A9" w14:textId="77777777" w:rsidR="00DB1E35" w:rsidRDefault="00000000">
            <w:pPr>
              <w:pStyle w:val="Compact"/>
            </w:pPr>
            <w:r>
              <w:t>Green</w:t>
            </w:r>
          </w:p>
        </w:tc>
        <w:tc>
          <w:tcPr>
            <w:tcW w:w="0" w:type="auto"/>
          </w:tcPr>
          <w:p w14:paraId="74E78445" w14:textId="77777777" w:rsidR="00DB1E35" w:rsidRDefault="00000000">
            <w:pPr>
              <w:pStyle w:val="Compact"/>
            </w:pPr>
            <w:r>
              <w:t>Enterprise</w:t>
            </w:r>
          </w:p>
        </w:tc>
        <w:tc>
          <w:tcPr>
            <w:tcW w:w="0" w:type="auto"/>
          </w:tcPr>
          <w:p w14:paraId="70CA32D7" w14:textId="77777777" w:rsidR="00DB1E35" w:rsidRDefault="00000000">
            <w:pPr>
              <w:pStyle w:val="Compact"/>
            </w:pPr>
            <w:r>
              <w:t>Fig. 3; Business Traveller (2024)</w:t>
            </w:r>
          </w:p>
        </w:tc>
      </w:tr>
      <w:tr w:rsidR="00DB1E35" w14:paraId="64C77331" w14:textId="77777777">
        <w:tc>
          <w:tcPr>
            <w:tcW w:w="0" w:type="auto"/>
          </w:tcPr>
          <w:p w14:paraId="520E9EA3" w14:textId="77777777" w:rsidR="00DB1E35" w:rsidRDefault="00000000">
            <w:pPr>
              <w:pStyle w:val="Compact"/>
            </w:pPr>
            <w:r>
              <w:t>Premium guest room</w:t>
            </w:r>
          </w:p>
        </w:tc>
        <w:tc>
          <w:tcPr>
            <w:tcW w:w="0" w:type="auto"/>
          </w:tcPr>
          <w:p w14:paraId="15E8C39C" w14:textId="77777777" w:rsidR="00DB1E35" w:rsidRDefault="00000000">
            <w:pPr>
              <w:pStyle w:val="Compact"/>
            </w:pPr>
            <w:r>
              <w:t>Walnut headboard, bay window, artwork</w:t>
            </w:r>
          </w:p>
        </w:tc>
        <w:tc>
          <w:tcPr>
            <w:tcW w:w="0" w:type="auto"/>
          </w:tcPr>
          <w:p w14:paraId="1DA4FCD5" w14:textId="77777777" w:rsidR="00DB1E35" w:rsidRDefault="00000000">
            <w:pPr>
              <w:pStyle w:val="Compact"/>
            </w:pPr>
            <w:r>
              <w:t>Green</w:t>
            </w:r>
          </w:p>
        </w:tc>
        <w:tc>
          <w:tcPr>
            <w:tcW w:w="0" w:type="auto"/>
          </w:tcPr>
          <w:p w14:paraId="5D8443F4" w14:textId="77777777" w:rsidR="00DB1E35" w:rsidRDefault="00000000">
            <w:pPr>
              <w:pStyle w:val="Compact"/>
            </w:pPr>
            <w:r>
              <w:t>Technical quality</w:t>
            </w:r>
          </w:p>
        </w:tc>
        <w:tc>
          <w:tcPr>
            <w:tcW w:w="0" w:type="auto"/>
          </w:tcPr>
          <w:p w14:paraId="362FD9E8" w14:textId="77777777" w:rsidR="00DB1E35" w:rsidRDefault="00000000">
            <w:pPr>
              <w:pStyle w:val="Compact"/>
            </w:pPr>
            <w:r>
              <w:t>Fig. 5</w:t>
            </w:r>
          </w:p>
        </w:tc>
      </w:tr>
    </w:tbl>
    <w:p w14:paraId="529B1DCE" w14:textId="42116C34" w:rsidR="00DB1E35" w:rsidRDefault="00000000">
      <w:pPr>
        <w:pStyle w:val="Heading2"/>
      </w:pPr>
      <w:bookmarkStart w:id="26" w:name="appendix-6-90-day-timeline-estimates"/>
      <w:bookmarkStart w:id="27" w:name="_Toc242368071"/>
      <w:bookmarkEnd w:id="24"/>
      <w:r>
        <w:t xml:space="preserve">Appendix </w:t>
      </w:r>
      <w:r w:rsidR="00793183">
        <w:t>4</w:t>
      </w:r>
      <w:r>
        <w:t>: 90-day timeline (estimates)</w:t>
      </w:r>
      <w:bookmarkEnd w:id="27"/>
    </w:p>
    <w:tbl>
      <w:tblPr>
        <w:tblStyle w:val="Table"/>
        <w:tblW w:w="5000" w:type="pct"/>
        <w:tblLook w:val="0020" w:firstRow="1" w:lastRow="0" w:firstColumn="0" w:lastColumn="0" w:noHBand="0" w:noVBand="0"/>
      </w:tblPr>
      <w:tblGrid>
        <w:gridCol w:w="1565"/>
        <w:gridCol w:w="1621"/>
        <w:gridCol w:w="6390"/>
      </w:tblGrid>
      <w:tr w:rsidR="00DB1E35" w14:paraId="09048F9D"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23D33D1B" w14:textId="77777777" w:rsidR="00DB1E35" w:rsidRDefault="00000000">
            <w:pPr>
              <w:pStyle w:val="Compact"/>
            </w:pPr>
            <w:r>
              <w:t>When</w:t>
            </w:r>
          </w:p>
        </w:tc>
        <w:tc>
          <w:tcPr>
            <w:tcW w:w="0" w:type="auto"/>
          </w:tcPr>
          <w:p w14:paraId="79DC0368" w14:textId="77777777" w:rsidR="00DB1E35" w:rsidRDefault="00000000">
            <w:pPr>
              <w:pStyle w:val="Compact"/>
            </w:pPr>
            <w:r>
              <w:t>Action</w:t>
            </w:r>
          </w:p>
        </w:tc>
        <w:tc>
          <w:tcPr>
            <w:tcW w:w="0" w:type="auto"/>
          </w:tcPr>
          <w:p w14:paraId="087B9B61" w14:textId="77777777" w:rsidR="00DB1E35" w:rsidRDefault="00000000">
            <w:pPr>
              <w:pStyle w:val="Compact"/>
            </w:pPr>
            <w:r>
              <w:t>Milestone</w:t>
            </w:r>
          </w:p>
        </w:tc>
      </w:tr>
      <w:tr w:rsidR="00DB1E35" w14:paraId="244CBF4A" w14:textId="77777777">
        <w:tc>
          <w:tcPr>
            <w:tcW w:w="0" w:type="auto"/>
          </w:tcPr>
          <w:p w14:paraId="0F06366E" w14:textId="77777777" w:rsidR="00DB1E35" w:rsidRDefault="00000000">
            <w:pPr>
              <w:pStyle w:val="Compact"/>
            </w:pPr>
            <w:r>
              <w:t>Days 1 to 30</w:t>
            </w:r>
          </w:p>
        </w:tc>
        <w:tc>
          <w:tcPr>
            <w:tcW w:w="0" w:type="auto"/>
          </w:tcPr>
          <w:p w14:paraId="7C62DCDE" w14:textId="77777777" w:rsidR="00DB1E35" w:rsidRDefault="00000000">
            <w:pPr>
              <w:pStyle w:val="Compact"/>
            </w:pPr>
            <w:r>
              <w:t>R2, R1 sweep</w:t>
            </w:r>
          </w:p>
        </w:tc>
        <w:tc>
          <w:tcPr>
            <w:tcW w:w="0" w:type="auto"/>
          </w:tcPr>
          <w:p w14:paraId="77C038B7" w14:textId="77777777" w:rsidR="00DB1E35" w:rsidRDefault="00000000">
            <w:pPr>
              <w:pStyle w:val="Compact"/>
            </w:pPr>
            <w:r>
              <w:t>Playbook signed off; sweep done; weekly walk begins</w:t>
            </w:r>
          </w:p>
        </w:tc>
      </w:tr>
      <w:tr w:rsidR="00DB1E35" w14:paraId="21930835" w14:textId="77777777">
        <w:tc>
          <w:tcPr>
            <w:tcW w:w="0" w:type="auto"/>
          </w:tcPr>
          <w:p w14:paraId="2F5348A2" w14:textId="77777777" w:rsidR="00DB1E35" w:rsidRDefault="00000000">
            <w:pPr>
              <w:pStyle w:val="Compact"/>
            </w:pPr>
            <w:r>
              <w:t>Days 31 to 60</w:t>
            </w:r>
          </w:p>
        </w:tc>
        <w:tc>
          <w:tcPr>
            <w:tcW w:w="0" w:type="auto"/>
          </w:tcPr>
          <w:p w14:paraId="29164505" w14:textId="77777777" w:rsidR="00DB1E35" w:rsidRDefault="00000000">
            <w:pPr>
              <w:pStyle w:val="Compact"/>
            </w:pPr>
            <w:r>
              <w:t>R4, R1 weekly</w:t>
            </w:r>
          </w:p>
        </w:tc>
        <w:tc>
          <w:tcPr>
            <w:tcW w:w="0" w:type="auto"/>
          </w:tcPr>
          <w:p w14:paraId="5662A64F" w14:textId="77777777" w:rsidR="00DB1E35" w:rsidRDefault="00000000">
            <w:pPr>
              <w:pStyle w:val="Compact"/>
            </w:pPr>
            <w:r>
              <w:t>Codes live on day passes; first redemption report</w:t>
            </w:r>
          </w:p>
        </w:tc>
      </w:tr>
      <w:tr w:rsidR="00DB1E35" w14:paraId="0B0C29F7" w14:textId="77777777">
        <w:tc>
          <w:tcPr>
            <w:tcW w:w="0" w:type="auto"/>
          </w:tcPr>
          <w:p w14:paraId="20AE9520" w14:textId="77777777" w:rsidR="00DB1E35" w:rsidRDefault="00000000">
            <w:pPr>
              <w:pStyle w:val="Compact"/>
            </w:pPr>
            <w:r>
              <w:t>Days 61 to 90</w:t>
            </w:r>
          </w:p>
        </w:tc>
        <w:tc>
          <w:tcPr>
            <w:tcW w:w="0" w:type="auto"/>
          </w:tcPr>
          <w:p w14:paraId="649BA51E" w14:textId="77777777" w:rsidR="00DB1E35" w:rsidRDefault="00000000">
            <w:pPr>
              <w:pStyle w:val="Compact"/>
            </w:pPr>
            <w:r>
              <w:t>R3 pilot</w:t>
            </w:r>
          </w:p>
        </w:tc>
        <w:tc>
          <w:tcPr>
            <w:tcW w:w="0" w:type="auto"/>
          </w:tcPr>
          <w:p w14:paraId="421A6E74" w14:textId="77777777" w:rsidR="00DB1E35" w:rsidRDefault="00000000">
            <w:pPr>
              <w:pStyle w:val="Compact"/>
            </w:pPr>
            <w:r>
              <w:t>One-floor pilot; review of mentions and spend; roll-out decision</w:t>
            </w:r>
          </w:p>
        </w:tc>
      </w:tr>
    </w:tbl>
    <w:p w14:paraId="6CB2A9B1" w14:textId="77777777" w:rsidR="00DB1E35" w:rsidRDefault="00000000">
      <w:pPr>
        <w:pStyle w:val="BodyText"/>
      </w:pPr>
      <w:r>
        <w:rPr>
          <w:b/>
          <w:bCs/>
        </w:rPr>
        <w:t>Action plan: owners, KPIs and estimates</w:t>
      </w:r>
    </w:p>
    <w:tbl>
      <w:tblPr>
        <w:tblStyle w:val="Table"/>
        <w:tblW w:w="5000" w:type="pct"/>
        <w:tblLook w:val="0020" w:firstRow="1" w:lastRow="0" w:firstColumn="0" w:lastColumn="0" w:noHBand="0" w:noVBand="0"/>
      </w:tblPr>
      <w:tblGrid>
        <w:gridCol w:w="498"/>
        <w:gridCol w:w="1915"/>
        <w:gridCol w:w="2118"/>
        <w:gridCol w:w="1117"/>
        <w:gridCol w:w="1297"/>
        <w:gridCol w:w="2631"/>
      </w:tblGrid>
      <w:tr w:rsidR="00DB1E35" w14:paraId="521D74B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D24D7A6" w14:textId="77777777" w:rsidR="00DB1E35" w:rsidRDefault="00000000">
            <w:pPr>
              <w:pStyle w:val="Compact"/>
            </w:pPr>
            <w:r>
              <w:t>#</w:t>
            </w:r>
          </w:p>
        </w:tc>
        <w:tc>
          <w:tcPr>
            <w:tcW w:w="0" w:type="auto"/>
          </w:tcPr>
          <w:p w14:paraId="2971C7F5" w14:textId="77777777" w:rsidR="00DB1E35" w:rsidRDefault="00000000">
            <w:pPr>
              <w:pStyle w:val="Compact"/>
            </w:pPr>
            <w:r>
              <w:t>Action</w:t>
            </w:r>
          </w:p>
        </w:tc>
        <w:tc>
          <w:tcPr>
            <w:tcW w:w="0" w:type="auto"/>
          </w:tcPr>
          <w:p w14:paraId="0D10D4E1" w14:textId="77777777" w:rsidR="00DB1E35" w:rsidRDefault="00000000">
            <w:pPr>
              <w:pStyle w:val="Compact"/>
            </w:pPr>
            <w:r>
              <w:t>Owner</w:t>
            </w:r>
          </w:p>
        </w:tc>
        <w:tc>
          <w:tcPr>
            <w:tcW w:w="0" w:type="auto"/>
          </w:tcPr>
          <w:p w14:paraId="59C36B2B" w14:textId="77777777" w:rsidR="00DB1E35" w:rsidRDefault="00000000">
            <w:pPr>
              <w:pStyle w:val="Compact"/>
            </w:pPr>
            <w:r>
              <w:t>Timing</w:t>
            </w:r>
          </w:p>
        </w:tc>
        <w:tc>
          <w:tcPr>
            <w:tcW w:w="0" w:type="auto"/>
          </w:tcPr>
          <w:p w14:paraId="38F329A3" w14:textId="77777777" w:rsidR="00DB1E35" w:rsidRDefault="00000000">
            <w:pPr>
              <w:pStyle w:val="Compact"/>
            </w:pPr>
            <w:r>
              <w:t>Cost (est.)</w:t>
            </w:r>
          </w:p>
        </w:tc>
        <w:tc>
          <w:tcPr>
            <w:tcW w:w="0" w:type="auto"/>
          </w:tcPr>
          <w:p w14:paraId="639123F6" w14:textId="77777777" w:rsidR="00DB1E35" w:rsidRDefault="00000000">
            <w:pPr>
              <w:pStyle w:val="Compact"/>
            </w:pPr>
            <w:r>
              <w:t>KPI</w:t>
            </w:r>
          </w:p>
        </w:tc>
      </w:tr>
      <w:tr w:rsidR="00DB1E35" w14:paraId="45305710" w14:textId="77777777">
        <w:tc>
          <w:tcPr>
            <w:tcW w:w="0" w:type="auto"/>
          </w:tcPr>
          <w:p w14:paraId="4F13CDAC" w14:textId="77777777" w:rsidR="00DB1E35" w:rsidRDefault="00000000">
            <w:pPr>
              <w:pStyle w:val="Compact"/>
            </w:pPr>
            <w:r>
              <w:t>R1</w:t>
            </w:r>
          </w:p>
        </w:tc>
        <w:tc>
          <w:tcPr>
            <w:tcW w:w="0" w:type="auto"/>
          </w:tcPr>
          <w:p w14:paraId="45C631FA" w14:textId="77777777" w:rsidR="00DB1E35" w:rsidRDefault="00000000">
            <w:pPr>
              <w:pStyle w:val="Compact"/>
            </w:pPr>
            <w:r>
              <w:t>Must-be sweep and weekly walk</w:t>
            </w:r>
          </w:p>
        </w:tc>
        <w:tc>
          <w:tcPr>
            <w:tcW w:w="0" w:type="auto"/>
          </w:tcPr>
          <w:p w14:paraId="5F780C46" w14:textId="77777777" w:rsidR="00DB1E35" w:rsidRDefault="00000000">
            <w:pPr>
              <w:pStyle w:val="Compact"/>
            </w:pPr>
            <w:r>
              <w:t>Housekeeping / engineering</w:t>
            </w:r>
          </w:p>
        </w:tc>
        <w:tc>
          <w:tcPr>
            <w:tcW w:w="0" w:type="auto"/>
          </w:tcPr>
          <w:p w14:paraId="1B7BCC13" w14:textId="77777777" w:rsidR="00DB1E35" w:rsidRDefault="00000000">
            <w:pPr>
              <w:pStyle w:val="Compact"/>
            </w:pPr>
            <w:r>
              <w:t>1-3 months</w:t>
            </w:r>
          </w:p>
        </w:tc>
        <w:tc>
          <w:tcPr>
            <w:tcW w:w="0" w:type="auto"/>
          </w:tcPr>
          <w:p w14:paraId="7750A4EE" w14:textId="77777777" w:rsidR="00DB1E35" w:rsidRDefault="00000000">
            <w:pPr>
              <w:pStyle w:val="Compact"/>
            </w:pPr>
            <w:r>
              <w:t>Low</w:t>
            </w:r>
          </w:p>
        </w:tc>
        <w:tc>
          <w:tcPr>
            <w:tcW w:w="0" w:type="auto"/>
          </w:tcPr>
          <w:p w14:paraId="6BD428DB" w14:textId="77777777" w:rsidR="00DB1E35" w:rsidRDefault="00000000">
            <w:pPr>
              <w:pStyle w:val="Compact"/>
            </w:pPr>
            <w:r>
              <w:t>Checklist pass rate; condition mentions in reviews</w:t>
            </w:r>
          </w:p>
        </w:tc>
      </w:tr>
      <w:tr w:rsidR="00DB1E35" w14:paraId="7BFB2652" w14:textId="77777777">
        <w:tc>
          <w:tcPr>
            <w:tcW w:w="0" w:type="auto"/>
          </w:tcPr>
          <w:p w14:paraId="6A88E43D" w14:textId="77777777" w:rsidR="00DB1E35" w:rsidRDefault="00000000">
            <w:pPr>
              <w:pStyle w:val="Compact"/>
            </w:pPr>
            <w:r>
              <w:t>R2</w:t>
            </w:r>
          </w:p>
        </w:tc>
        <w:tc>
          <w:tcPr>
            <w:tcW w:w="0" w:type="auto"/>
          </w:tcPr>
          <w:p w14:paraId="20A8F9CA" w14:textId="77777777" w:rsidR="00DB1E35" w:rsidRDefault="00000000">
            <w:pPr>
              <w:pStyle w:val="Compact"/>
            </w:pPr>
            <w:r>
              <w:t>Breakfast recovery playbook</w:t>
            </w:r>
          </w:p>
        </w:tc>
        <w:tc>
          <w:tcPr>
            <w:tcW w:w="0" w:type="auto"/>
          </w:tcPr>
          <w:p w14:paraId="0D837701" w14:textId="77777777" w:rsidR="00DB1E35" w:rsidRDefault="00000000">
            <w:pPr>
              <w:pStyle w:val="Compact"/>
            </w:pPr>
            <w:r>
              <w:t>F&amp;B / guest services</w:t>
            </w:r>
          </w:p>
        </w:tc>
        <w:tc>
          <w:tcPr>
            <w:tcW w:w="0" w:type="auto"/>
          </w:tcPr>
          <w:p w14:paraId="077912D2" w14:textId="77777777" w:rsidR="00DB1E35" w:rsidRDefault="00000000">
            <w:pPr>
              <w:pStyle w:val="Compact"/>
            </w:pPr>
            <w:r>
              <w:t>~1 month</w:t>
            </w:r>
          </w:p>
        </w:tc>
        <w:tc>
          <w:tcPr>
            <w:tcW w:w="0" w:type="auto"/>
          </w:tcPr>
          <w:p w14:paraId="4AD3B145" w14:textId="77777777" w:rsidR="00DB1E35" w:rsidRDefault="00000000">
            <w:pPr>
              <w:pStyle w:val="Compact"/>
            </w:pPr>
            <w:r>
              <w:t>Low</w:t>
            </w:r>
          </w:p>
        </w:tc>
        <w:tc>
          <w:tcPr>
            <w:tcW w:w="0" w:type="auto"/>
          </w:tcPr>
          <w:p w14:paraId="364479A3" w14:textId="77777777" w:rsidR="00DB1E35" w:rsidRDefault="00000000">
            <w:pPr>
              <w:pStyle w:val="Compact"/>
            </w:pPr>
            <w:r>
              <w:t>Time to first response; make-good rate</w:t>
            </w:r>
          </w:p>
        </w:tc>
      </w:tr>
      <w:tr w:rsidR="00DB1E35" w14:paraId="2D803428" w14:textId="77777777">
        <w:tc>
          <w:tcPr>
            <w:tcW w:w="0" w:type="auto"/>
          </w:tcPr>
          <w:p w14:paraId="6CFA1C43" w14:textId="77777777" w:rsidR="00DB1E35" w:rsidRDefault="00000000">
            <w:pPr>
              <w:pStyle w:val="Compact"/>
            </w:pPr>
            <w:r>
              <w:lastRenderedPageBreak/>
              <w:t>R3</w:t>
            </w:r>
          </w:p>
        </w:tc>
        <w:tc>
          <w:tcPr>
            <w:tcW w:w="0" w:type="auto"/>
          </w:tcPr>
          <w:p w14:paraId="521B1593" w14:textId="77777777" w:rsidR="00DB1E35" w:rsidRDefault="00000000">
            <w:pPr>
              <w:pStyle w:val="Compact"/>
            </w:pPr>
            <w:r>
              <w:t>Spanish in-room kit (pilot floor)</w:t>
            </w:r>
          </w:p>
        </w:tc>
        <w:tc>
          <w:tcPr>
            <w:tcW w:w="0" w:type="auto"/>
          </w:tcPr>
          <w:p w14:paraId="74177D25" w14:textId="77777777" w:rsidR="00DB1E35" w:rsidRDefault="00000000">
            <w:pPr>
              <w:pStyle w:val="Compact"/>
            </w:pPr>
            <w:r>
              <w:t>Rooms division / F&amp;B</w:t>
            </w:r>
          </w:p>
        </w:tc>
        <w:tc>
          <w:tcPr>
            <w:tcW w:w="0" w:type="auto"/>
          </w:tcPr>
          <w:p w14:paraId="4428DEFD" w14:textId="77777777" w:rsidR="00DB1E35" w:rsidRDefault="00000000">
            <w:pPr>
              <w:pStyle w:val="Compact"/>
            </w:pPr>
            <w:r>
              <w:t>~3 months</w:t>
            </w:r>
          </w:p>
        </w:tc>
        <w:tc>
          <w:tcPr>
            <w:tcW w:w="0" w:type="auto"/>
          </w:tcPr>
          <w:p w14:paraId="6EFF7523" w14:textId="77777777" w:rsidR="00DB1E35" w:rsidRDefault="00000000">
            <w:pPr>
              <w:pStyle w:val="Compact"/>
            </w:pPr>
            <w:r>
              <w:t>Low to medium</w:t>
            </w:r>
          </w:p>
        </w:tc>
        <w:tc>
          <w:tcPr>
            <w:tcW w:w="0" w:type="auto"/>
          </w:tcPr>
          <w:p w14:paraId="593DA8C3" w14:textId="77777777" w:rsidR="00DB1E35" w:rsidRDefault="00000000">
            <w:pPr>
              <w:pStyle w:val="Compact"/>
            </w:pPr>
            <w:r>
              <w:t>In-room F&amp;B mentions; minibar spend</w:t>
            </w:r>
          </w:p>
        </w:tc>
      </w:tr>
      <w:tr w:rsidR="00DB1E35" w14:paraId="037FB98A" w14:textId="77777777">
        <w:tc>
          <w:tcPr>
            <w:tcW w:w="0" w:type="auto"/>
          </w:tcPr>
          <w:p w14:paraId="2A5DAAEA" w14:textId="77777777" w:rsidR="00DB1E35" w:rsidRDefault="00000000">
            <w:pPr>
              <w:pStyle w:val="Compact"/>
            </w:pPr>
            <w:r>
              <w:t>R4</w:t>
            </w:r>
          </w:p>
        </w:tc>
        <w:tc>
          <w:tcPr>
            <w:tcW w:w="0" w:type="auto"/>
          </w:tcPr>
          <w:p w14:paraId="66729851" w14:textId="77777777" w:rsidR="00DB1E35" w:rsidRDefault="00000000">
            <w:pPr>
              <w:pStyle w:val="Compact"/>
            </w:pPr>
            <w:r>
              <w:t>Track The Level</w:t>
            </w:r>
          </w:p>
        </w:tc>
        <w:tc>
          <w:tcPr>
            <w:tcW w:w="0" w:type="auto"/>
          </w:tcPr>
          <w:p w14:paraId="554A35F0" w14:textId="77777777" w:rsidR="00DB1E35" w:rsidRDefault="00000000">
            <w:pPr>
              <w:pStyle w:val="Compact"/>
            </w:pPr>
            <w:r>
              <w:t>Revenue / F&amp;B</w:t>
            </w:r>
          </w:p>
        </w:tc>
        <w:tc>
          <w:tcPr>
            <w:tcW w:w="0" w:type="auto"/>
          </w:tcPr>
          <w:p w14:paraId="1B042237" w14:textId="77777777" w:rsidR="00DB1E35" w:rsidRDefault="00000000">
            <w:pPr>
              <w:pStyle w:val="Compact"/>
            </w:pPr>
            <w:r>
              <w:t>~2 months</w:t>
            </w:r>
          </w:p>
        </w:tc>
        <w:tc>
          <w:tcPr>
            <w:tcW w:w="0" w:type="auto"/>
          </w:tcPr>
          <w:p w14:paraId="08A14C49" w14:textId="77777777" w:rsidR="00DB1E35" w:rsidRDefault="00000000">
            <w:pPr>
              <w:pStyle w:val="Compact"/>
            </w:pPr>
            <w:r>
              <w:t>Low</w:t>
            </w:r>
          </w:p>
        </w:tc>
        <w:tc>
          <w:tcPr>
            <w:tcW w:w="0" w:type="auto"/>
          </w:tcPr>
          <w:p w14:paraId="2EF837C1" w14:textId="77777777" w:rsidR="00DB1E35" w:rsidRDefault="00000000">
            <w:pPr>
              <w:pStyle w:val="Compact"/>
            </w:pPr>
            <w:r>
              <w:t>Desk occupancy; redemption rate; spend per pass</w:t>
            </w:r>
          </w:p>
        </w:tc>
      </w:tr>
      <w:bookmarkEnd w:id="16"/>
      <w:bookmarkEnd w:id="26"/>
    </w:tbl>
    <w:p w14:paraId="55FD8F1D" w14:textId="77777777" w:rsidR="004D650D" w:rsidRDefault="004D650D"/>
    <w:sectPr w:rsidR="004D65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32EC" w14:textId="77777777" w:rsidR="004D650D" w:rsidRDefault="004D650D">
      <w:pPr>
        <w:spacing w:after="0"/>
      </w:pPr>
      <w:r>
        <w:separator/>
      </w:r>
    </w:p>
  </w:endnote>
  <w:endnote w:type="continuationSeparator" w:id="0">
    <w:p w14:paraId="611CD9E5" w14:textId="77777777" w:rsidR="004D650D" w:rsidRDefault="004D65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2E62" w14:textId="77777777" w:rsidR="004D650D" w:rsidRDefault="004D650D">
      <w:r>
        <w:separator/>
      </w:r>
    </w:p>
  </w:footnote>
  <w:footnote w:type="continuationSeparator" w:id="0">
    <w:p w14:paraId="12222154" w14:textId="77777777" w:rsidR="004D650D" w:rsidRDefault="004D6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7634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F3EB2F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7646750">
    <w:abstractNumId w:val="0"/>
  </w:num>
  <w:num w:numId="2" w16cid:durableId="1659073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B1E35"/>
    <w:rsid w:val="004D650D"/>
    <w:rsid w:val="00771089"/>
    <w:rsid w:val="00793183"/>
    <w:rsid w:val="00DB1E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27D1"/>
  <w15:docId w15:val="{F269D4EC-2F86-43DC-9A2D-A2136C1F0C6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93183"/>
    <w:pPr>
      <w:spacing w:after="100"/>
    </w:pPr>
  </w:style>
  <w:style w:type="paragraph" w:styleId="TOC2">
    <w:name w:val="toc 2"/>
    <w:basedOn w:val="Normal"/>
    <w:next w:val="Normal"/>
    <w:autoRedefine/>
    <w:uiPriority w:val="39"/>
    <w:rsid w:val="00793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18</Pages>
  <Words>4823</Words>
  <Characters>27494</Characters>
  <Application>Microsoft Office Word</Application>
  <DocSecurity>0</DocSecurity>
  <Lines>229</Lines>
  <Paragraphs>64</Paragraphs>
  <ScaleCrop>false</ScaleCrop>
  <Company/>
  <LinksUpToDate>false</LinksUpToDate>
  <CharactersWithSpaces>32253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cp:lastModifiedBy>TUf</cp:lastModifiedBy>
  <cp:revision>2</cp:revision>
  <dcterms:created xsi:type="dcterms:W3CDTF">2026-10-08T07:45:00Z</dcterms:created>
  <dcterms:modified xsi:type="dcterms:W3CDTF">2026-10-08T10:25:00Z</dcterms:modified>
</cp:coreProperties>
</file>