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f9e0036c23caa47951826953959d09f2c107b3"/>
    <w:p>
      <w:pPr>
        <w:pStyle w:val="Heading1"/>
      </w:pPr>
      <w:r>
        <w:t xml:space="preserve">CW3 Formative Blueprint — Leadership in Practice (BSc Applied Management)</w:t>
      </w:r>
    </w:p>
    <w:p>
      <w:pPr>
        <w:pStyle w:val="FirstParagraph"/>
      </w:pPr>
      <w:r>
        <w:rPr>
          <w:bCs/>
          <w:b/>
        </w:rPr>
        <w:t xml:space="preserve">Status: blueprint only. No submission prose has been written.</w:t>
      </w:r>
      <w:r>
        <w:t xml:space="preserve"> </w:t>
      </w:r>
      <w:r>
        <w:rPr>
          <w:bCs/>
          <w:b/>
        </w:rPr>
        <w:t xml:space="preserve">Items marked ⚠ VERIFY must be checked against the actual source before you cite them.</w:t>
      </w:r>
    </w:p>
    <w:p>
      <w:r>
        <w:pict>
          <v:rect style="width:0;height:1.5pt" o:hralign="center" o:hrstd="t" o:hr="t"/>
        </w:pict>
      </w:r>
    </w:p>
    <w:bookmarkStart w:id="20" w:name="X54b032bb7913560f34c7f9dc9218dd728b00e3b"/>
    <w:p>
      <w:pPr>
        <w:pStyle w:val="Heading2"/>
      </w:pPr>
      <w:r>
        <w:t xml:space="preserve">0. Read this first: what the brief does and does not say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PDF contains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LO1–LO5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the PDF.</w:t>
            </w:r>
            <w:r>
              <w:t xml:space="preserve"> </w:t>
            </w:r>
            <w:r>
              <w:t xml:space="preserve">It mentions only AC1, AC3, AC4 and AS1.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"Higher marks awarded for…" / marking guidelines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the PDF.</w:t>
            </w:r>
            <w:r>
              <w:t xml:space="preserve"> </w:t>
            </w:r>
            <w:r>
              <w:t xml:space="preserve">The formative is</w:t>
            </w:r>
            <w:r>
              <w:t xml:space="preserve"> </w:t>
            </w:r>
            <w:r>
              <w:rPr>
                <w:bCs/>
                <w:b/>
              </w:rPr>
              <w:t xml:space="preserve">Fail / Pass only</w:t>
            </w:r>
            <w:r>
              <w:t xml:space="preserve">, with no grade bands.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85+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 here. The summative will have bands.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Consequences</w:t>
      </w:r>
    </w:p>
    <w:p>
      <w:pPr>
        <w:numPr>
          <w:ilvl w:val="0"/>
          <w:numId w:val="1001"/>
        </w:numPr>
        <w:pStyle w:val="Compact"/>
      </w:pPr>
      <w:r>
        <w:t xml:space="preserve">For this formative, "85+" means:</w:t>
      </w:r>
      <w:r>
        <w:t xml:space="preserve"> </w:t>
      </w:r>
      <w:r>
        <w:rPr>
          <w:iCs/>
          <w:i/>
        </w:rPr>
        <w:t xml:space="preserve">nothing in the Fail column, every Pass descriptor clearly exceeded, and the work already written to first-class summative standard.</w:t>
      </w:r>
      <w:r>
        <w:t xml:space="preserve"> </w:t>
      </w:r>
      <w:r>
        <w:t xml:space="preserve">A harsh marker would then have nothing to push back on, and your feedback would be about refinement.</w:t>
      </w:r>
    </w:p>
    <w:p>
      <w:pPr>
        <w:numPr>
          <w:ilvl w:val="0"/>
          <w:numId w:val="1001"/>
        </w:numPr>
        <w:pStyle w:val="Compact"/>
      </w:pPr>
      <w:r>
        <w:t xml:space="preserve">I have used generic first-class (85+) criteria. A harsh marker typically rewards:</w:t>
      </w:r>
    </w:p>
    <w:p>
      <w:pPr>
        <w:numPr>
          <w:ilvl w:val="1"/>
          <w:numId w:val="1002"/>
        </w:numPr>
        <w:pStyle w:val="Compact"/>
      </w:pPr>
      <w:r>
        <w:t xml:space="preserve">critical evaluation rather than description</w:t>
      </w:r>
    </w:p>
    <w:p>
      <w:pPr>
        <w:numPr>
          <w:ilvl w:val="1"/>
          <w:numId w:val="1002"/>
        </w:numPr>
        <w:pStyle w:val="Compact"/>
      </w:pPr>
      <w:r>
        <w:t xml:space="preserve">synthesis</w:t>
      </w:r>
    </w:p>
    <w:p>
      <w:pPr>
        <w:numPr>
          <w:ilvl w:val="1"/>
          <w:numId w:val="1002"/>
        </w:numPr>
        <w:pStyle w:val="Compact"/>
      </w:pPr>
      <w:r>
        <w:t xml:space="preserve">originality</w:t>
      </w:r>
    </w:p>
    <w:p>
      <w:pPr>
        <w:numPr>
          <w:ilvl w:val="1"/>
          <w:numId w:val="1002"/>
        </w:numPr>
        <w:pStyle w:val="Compact"/>
      </w:pPr>
      <w:r>
        <w:t xml:space="preserve">precise sourcing</w:t>
      </w:r>
    </w:p>
    <w:p>
      <w:pPr>
        <w:numPr>
          <w:ilvl w:val="1"/>
          <w:numId w:val="1002"/>
        </w:numPr>
        <w:pStyle w:val="Compact"/>
      </w:pPr>
      <w:r>
        <w:t xml:space="preserve">self-aware limits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Paste the LO1–LO5 wording and the summative grade-band table</w:t>
      </w:r>
      <w:r>
        <w:t xml:space="preserve"> </w:t>
      </w:r>
      <w:r>
        <w:t xml:space="preserve">(usually in the module handbook) and I will re-map this blueprint to them exactly. Until then, treat the LO mapping in section 2 as provisional.</w:t>
      </w:r>
    </w:p>
    <w:p>
      <w:pPr>
        <w:pStyle w:val="FirstParagraph"/>
      </w:pPr>
      <w:r>
        <w:rPr>
          <w:bCs/>
          <w:b/>
        </w:rPr>
        <w:t xml:space="preserve">Hard constraints from the brief</w:t>
      </w:r>
    </w:p>
    <w:p>
      <w:pPr>
        <w:numPr>
          <w:ilvl w:val="0"/>
          <w:numId w:val="1003"/>
        </w:numPr>
        <w:pStyle w:val="Compact"/>
      </w:pPr>
      <w:r>
        <w:t xml:space="preserve">Total</w:t>
      </w:r>
      <w:r>
        <w:t xml:space="preserve"> </w:t>
      </w:r>
      <w:r>
        <w:rPr>
          <w:bCs/>
          <w:b/>
        </w:rPr>
        <w:t xml:space="preserve">800 words maximum</w:t>
      </w:r>
      <w:r>
        <w:t xml:space="preserve">: Task 1 = 300, Task 2 = 500. Going over is non-compliant. The reference list is excluded, as is the contents table and appendices, per the cover sheet.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 not put your name</w:t>
      </w:r>
      <w:r>
        <w:t xml:space="preserve"> </w:t>
      </w:r>
      <w:r>
        <w:t xml:space="preserve">anywhere. Use only your SRN.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Harvard referencing only.</w:t>
      </w:r>
      <w:r>
        <w:t xml:space="preserve"> </w:t>
      </w:r>
      <w:r>
        <w:t xml:space="preserve">Anything published and uncited counts as plagiarism.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Submit via Turnitin.</w:t>
      </w:r>
      <w:r>
        <w:t xml:space="preserve"> </w:t>
      </w:r>
      <w:r>
        <w:t xml:space="preserve">Late work is not marked.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completed cover sheet</w:t>
      </w:r>
      <w:r>
        <w:t xml:space="preserve"> </w:t>
      </w:r>
      <w:r>
        <w:t xml:space="preserve">is required. Without it the submission may be invalid.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rule:</w:t>
      </w:r>
      <w:r>
        <w:t xml:space="preserve"> </w:t>
      </w:r>
      <w:r>
        <w:t xml:space="preserve">AI may be used only to review a draft or correct language, and only if declared on the cover sheet. You must keep the prompts and responses and attach them in the appendices.</w:t>
      </w:r>
      <w:r>
        <w:t xml:space="preserve"> </w:t>
      </w:r>
      <w:r>
        <w:rPr>
          <w:bCs/>
          <w:b/>
        </w:rPr>
        <w:t xml:space="preserve">The analysis, reflection and wording must be yours.</w:t>
      </w:r>
      <w:r>
        <w:t xml:space="preserve"> </w:t>
      </w:r>
      <w:r>
        <w:t xml:space="preserve">This blueprint is a planning aid. Do not paste generated prose into the submission. You may also face a viva on any source or concept, so only cite what you have actually read.</w:t>
      </w:r>
    </w:p>
    <w:p>
      <w:r>
        <w:pict>
          <v:rect style="width:0;height:1.5pt" o:hralign="center" o:hrstd="t" o:hr="t"/>
        </w:pict>
      </w:r>
    </w:p>
    <w:bookmarkEnd w:id="20"/>
    <w:bookmarkStart w:id="23" w:name="X24ffa69f157689b8690c2bb8216555debf792dd"/>
    <w:p>
      <w:pPr>
        <w:pStyle w:val="Heading2"/>
      </w:pPr>
      <w:r>
        <w:t xml:space="preserve">1. Harsh-marker lens: what to include and what to cut</w:t>
      </w:r>
    </w:p>
    <w:bookmarkStart w:id="21" w:name="what-a-harsh-marker-loves"/>
    <w:p>
      <w:pPr>
        <w:pStyle w:val="Heading3"/>
      </w:pPr>
      <w:r>
        <w:t xml:space="preserve">What a harsh marker loves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Judgement, not summary.</w:t>
      </w:r>
      <w:r>
        <w:t xml:space="preserve"> </w:t>
      </w:r>
      <w:r>
        <w:t xml:space="preserve">Every paragraph answers "so what?" and takes a position.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Theory used as a tool.</w:t>
      </w:r>
      <w:r>
        <w:t xml:space="preserve"> </w:t>
      </w:r>
      <w:r>
        <w:t xml:space="preserve">A theory is applied to a specific behaviour or case, then tested for what it explains and what it misses.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 least one critique per major theory</w:t>
      </w:r>
      <w:r>
        <w:t xml:space="preserve">, cited to a source rather than asserted.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Evidence for every claim about yourself</w:t>
      </w:r>
      <w:r>
        <w:t xml:space="preserve">, such as a concrete incident, feedback received or a result, not "I am empathetic".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Honest weakness stated precisely</w:t>
      </w:r>
      <w:r>
        <w:t xml:space="preserve">, with its consequence for others.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visible change in thinking</w:t>
      </w:r>
      <w:r>
        <w:t xml:space="preserve">: "I used to think X; Week 4 showed Y; therefore I now do Z."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Alignment to the summative.</w:t>
      </w:r>
      <w:r>
        <w:t xml:space="preserve"> </w:t>
      </w:r>
      <w:r>
        <w:t xml:space="preserve">Task 1 feeds AC4 and Task 2 feeds AC1/AC3, and the brief's own wording appears in your structure.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Precision.</w:t>
      </w:r>
      <w:r>
        <w:t xml:space="preserve"> </w:t>
      </w:r>
      <w:r>
        <w:t xml:space="preserve">Authors, years and pages are exact. Figures are only used when you have verified them.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reference list that matches the plan.</w:t>
      </w:r>
      <w:r>
        <w:t xml:space="preserve"> </w:t>
      </w:r>
      <w:r>
        <w:t xml:space="preserve">Every planned claim has a source, and the mix is academic (journal articles, books) plus credible business sources (HBR, company reports).</w:t>
      </w:r>
    </w:p>
    <w:bookmarkEnd w:id="21"/>
    <w:bookmarkStart w:id="22" w:name="what-to-remove"/>
    <w:p>
      <w:pPr>
        <w:pStyle w:val="Heading3"/>
      </w:pPr>
      <w:r>
        <w:t xml:space="preserve">What to remove</w:t>
      </w:r>
    </w:p>
    <w:p>
      <w:pPr>
        <w:numPr>
          <w:ilvl w:val="0"/>
          <w:numId w:val="1005"/>
        </w:numPr>
        <w:pStyle w:val="Compact"/>
      </w:pPr>
      <w:r>
        <w:t xml:space="preserve">Dictionary definitions ("Leadership is the process of…") with no argument attached.</w:t>
      </w:r>
    </w:p>
    <w:p>
      <w:pPr>
        <w:numPr>
          <w:ilvl w:val="0"/>
          <w:numId w:val="1005"/>
        </w:numPr>
        <w:pStyle w:val="Compact"/>
      </w:pPr>
      <w:r>
        <w:t xml:space="preserve">Listing theories without saying why</w:t>
      </w:r>
      <w:r>
        <w:t xml:space="preserve"> </w:t>
      </w:r>
      <w:r>
        <w:rPr>
          <w:iCs/>
          <w:i/>
        </w:rPr>
        <w:t xml:space="preserve">these</w:t>
      </w:r>
      <w:r>
        <w:t xml:space="preserve"> </w:t>
      </w:r>
      <w:r>
        <w:t xml:space="preserve">ones.</w:t>
      </w:r>
    </w:p>
    <w:p>
      <w:pPr>
        <w:numPr>
          <w:ilvl w:val="0"/>
          <w:numId w:val="1005"/>
        </w:numPr>
        <w:pStyle w:val="Compact"/>
      </w:pPr>
      <w:r>
        <w:t xml:space="preserve">Generic self-praise or vague phrases such as "good communicator", "passion", "team player".</w:t>
      </w:r>
    </w:p>
    <w:p>
      <w:pPr>
        <w:numPr>
          <w:ilvl w:val="0"/>
          <w:numId w:val="1005"/>
        </w:numPr>
        <w:pStyle w:val="Compact"/>
      </w:pPr>
      <w:r>
        <w:t xml:space="preserve">Unsupported claims and "studies show" with no citation.</w:t>
      </w:r>
    </w:p>
    <w:p>
      <w:pPr>
        <w:numPr>
          <w:ilvl w:val="0"/>
          <w:numId w:val="1005"/>
        </w:numPr>
        <w:pStyle w:val="Compact"/>
      </w:pPr>
      <w:r>
        <w:t xml:space="preserve">Padding, signposting essays ("This essay will…" beyond one line) and repeating the brief back.</w:t>
      </w:r>
    </w:p>
    <w:p>
      <w:pPr>
        <w:numPr>
          <w:ilvl w:val="0"/>
          <w:numId w:val="1005"/>
        </w:numPr>
        <w:pStyle w:val="Compact"/>
      </w:pPr>
      <w:r>
        <w:t xml:space="preserve">Name-dropping a leader without a rationale, or choosing one for fame rather than fit.</w:t>
      </w:r>
    </w:p>
    <w:p>
      <w:pPr>
        <w:numPr>
          <w:ilvl w:val="0"/>
          <w:numId w:val="1005"/>
        </w:numPr>
        <w:pStyle w:val="Compact"/>
      </w:pPr>
      <w:r>
        <w:t xml:space="preserve">Reference list errors: wrong format, missing years or pages, Wikipedia or blogs, sources never used.</w:t>
      </w:r>
    </w:p>
    <w:p>
      <w:pPr>
        <w:numPr>
          <w:ilvl w:val="0"/>
          <w:numId w:val="1005"/>
        </w:numPr>
        <w:pStyle w:val="Compact"/>
      </w:pPr>
      <w:r>
        <w:t xml:space="preserve">Word-count games: tiny fonts, cutting articles until it reads badly.</w:t>
      </w:r>
    </w:p>
    <w:p>
      <w:pPr>
        <w:numPr>
          <w:ilvl w:val="0"/>
          <w:numId w:val="1005"/>
        </w:numPr>
        <w:pStyle w:val="Compact"/>
      </w:pPr>
      <w:r>
        <w:t xml:space="preserve">Hindsight tidiness. Reflection that is all success and no discomfort reads as untrue.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a86338f70f7d83e4b880e00146a1bd050dea3c"/>
    <w:p>
      <w:pPr>
        <w:pStyle w:val="Heading2"/>
      </w:pPr>
      <w:r>
        <w:t xml:space="preserve">2. Provisional mapping to outcomes and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Summative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must demonstrate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1 (300w)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AC4 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Self-analysis through theory, evaluation of strengths and gaps, evidence-based judgement, evolution of 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2 – AC1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AC1 Understanding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Defining</w:t>
            </w:r>
            <w:r>
              <w:t xml:space="preserve"> </w:t>
            </w:r>
            <w:r>
              <w:rPr>
                <w:iCs/>
                <w:i/>
              </w:rPr>
              <w:t xml:space="preserve">leadership vs management</w:t>
            </w:r>
            <w:r>
              <w:t xml:space="preserve"> </w:t>
            </w:r>
            <w:r>
              <w:t xml:space="preserve">via theories, plus a real-world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2 – AC3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AC3 Diverse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leader from a diverse background, a rationale and a theoretical lens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AS1 Referencing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Harvard, credible sources, evidence of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LO1–LO5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iCs/>
                <w:i/>
              </w:rPr>
              <w:t xml:space="preserve">Not supplied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once you paste them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2" w:name="X37b1726daee42ad1ff3e74e0a66a12149b6eaf6"/>
    <w:p>
      <w:pPr>
        <w:pStyle w:val="Heading2"/>
      </w:pPr>
      <w:r>
        <w:t xml:space="preserve">3. Word budget</w:t>
      </w:r>
    </w:p>
    <w:p>
      <w:pPr>
        <w:pStyle w:val="FirstParagraph"/>
      </w:pPr>
      <w:r>
        <w:rPr>
          <w:bCs/>
          <w:b/>
        </w:rPr>
        <w:t xml:space="preserve">Target: 295 (Task 1) + 495 (Task 2) = 790 words.</w:t>
      </w:r>
      <w:r>
        <w:t xml:space="preserve"> </w:t>
      </w:r>
      <w:r>
        <w:t xml:space="preserve">The 10-word margin guards against counting differences between Word and Turnitin. Do not exceed 800 words.</w:t>
      </w:r>
    </w:p>
    <w:bookmarkStart w:id="25" w:name="task-1-reflective-learning-ac4-300-words"/>
    <w:p>
      <w:pPr>
        <w:pStyle w:val="Heading3"/>
      </w:pPr>
      <w:r>
        <w:t xml:space="preserve">Task 1: Reflective Learning (AC4), 300 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 + 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specific Week 4 moment, and your overall judgement in one sentence.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analysis of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the behaviour to a named framework. Say which component, why, and what the theory misses.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Evaluation: strength vs development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strength and one gap, each with evidence and an impact on others.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your understanding evolved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→ trigger → after. Show a change in thinking, not just in skill.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Judgement + forward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balanced verdict on leadership potential, plus 1–2 SMART actions that preview the AC4 plan.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Content rules</w:t>
      </w:r>
    </w:p>
    <w:p>
      <w:pPr>
        <w:numPr>
          <w:ilvl w:val="0"/>
          <w:numId w:val="1006"/>
        </w:numPr>
        <w:pStyle w:val="Compact"/>
      </w:pPr>
      <w:r>
        <w:t xml:space="preserve">Anchor in your</w:t>
      </w:r>
      <w:r>
        <w:t xml:space="preserve"> </w:t>
      </w:r>
      <w:r>
        <w:rPr>
          <w:bCs/>
          <w:b/>
        </w:rPr>
        <w:t xml:space="preserve">Week 4 activity</w:t>
      </w:r>
      <w:r>
        <w:t xml:space="preserve"> </w:t>
      </w:r>
      <w:r>
        <w:t xml:space="preserve">(EI, EI-based leadership styles, SI, empathy, relational leadership, trust and empowerment, personal development). Use your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score, feedback or scenario, never an invented one.</w:t>
      </w:r>
    </w:p>
    <w:p>
      <w:pPr>
        <w:numPr>
          <w:ilvl w:val="0"/>
          <w:numId w:val="1006"/>
        </w:numPr>
        <w:pStyle w:val="Compact"/>
      </w:pPr>
      <w:r>
        <w:t xml:space="preserve">Pick</w:t>
      </w:r>
      <w:r>
        <w:t xml:space="preserve"> </w:t>
      </w:r>
      <w:r>
        <w:rPr>
          <w:bCs/>
          <w:b/>
        </w:rPr>
        <w:t xml:space="preserve">one lens, with one contrasting critique</w:t>
      </w:r>
      <w:r>
        <w:t xml:space="preserve">, and do not list everything. Strong combinations:</w:t>
      </w:r>
    </w:p>
    <w:p>
      <w:pPr>
        <w:numPr>
          <w:ilvl w:val="1"/>
          <w:numId w:val="1007"/>
        </w:numPr>
        <w:pStyle w:val="Compact"/>
      </w:pPr>
      <w:r>
        <w:t xml:space="preserve">Goleman's EI competencies, plus a critique (Antonakis, Ashkanasy and Dasborough, 2009).</w:t>
      </w:r>
    </w:p>
    <w:p>
      <w:pPr>
        <w:numPr>
          <w:ilvl w:val="1"/>
          <w:numId w:val="1007"/>
        </w:numPr>
        <w:pStyle w:val="Compact"/>
      </w:pPr>
      <w:r>
        <w:t xml:space="preserve">Goleman's leadership styles, with the point that style should</w:t>
      </w:r>
      <w:r>
        <w:t xml:space="preserve"> </w:t>
      </w:r>
      <w:r>
        <w:rPr>
          <w:iCs/>
          <w:i/>
        </w:rPr>
        <w:t xml:space="preserve">fit the context</w:t>
      </w:r>
      <w:r>
        <w:t xml:space="preserve"> </w:t>
      </w:r>
      <w:r>
        <w:t xml:space="preserve">rather than being a trait of yours.</w:t>
      </w:r>
    </w:p>
    <w:p>
      <w:pPr>
        <w:numPr>
          <w:ilvl w:val="0"/>
          <w:numId w:val="1006"/>
        </w:numPr>
        <w:pStyle w:val="Compact"/>
      </w:pPr>
      <w:r>
        <w:t xml:space="preserve">Each claim about yourself should say:</w:t>
      </w:r>
      <w:r>
        <w:t xml:space="preserve"> </w:t>
      </w:r>
      <w:r>
        <w:rPr>
          <w:bCs/>
          <w:b/>
        </w:rPr>
        <w:t xml:space="preserve">what I did → which concept explains it → what that cost or gained the other person → what I will change.</w:t>
      </w:r>
    </w:p>
    <w:p>
      <w:pPr>
        <w:numPr>
          <w:ilvl w:val="0"/>
          <w:numId w:val="1006"/>
        </w:numPr>
        <w:pStyle w:val="Compact"/>
      </w:pPr>
      <w:r>
        <w:t xml:space="preserve">Include</w:t>
      </w:r>
      <w:r>
        <w:t xml:space="preserve"> </w:t>
      </w:r>
      <w:r>
        <w:rPr>
          <w:bCs/>
          <w:b/>
        </w:rPr>
        <w:t xml:space="preserve">one uncomfortable insight</w:t>
      </w:r>
      <w:r>
        <w:t xml:space="preserve">. For example, your empathy may be strong in rapport but weak in challenging poor performance, which means trust is built without accountability. Use whichever is true for you.</w:t>
      </w:r>
    </w:p>
    <w:p>
      <w:pPr>
        <w:numPr>
          <w:ilvl w:val="0"/>
          <w:numId w:val="1006"/>
        </w:numPr>
        <w:pStyle w:val="Compact"/>
      </w:pPr>
      <w:r>
        <w:t xml:space="preserve">A bullet or two of action is fine, but each must be measurable (what, by when, how you will know).</w:t>
      </w:r>
    </w:p>
    <w:bookmarkEnd w:id="25"/>
    <w:bookmarkStart w:id="31" w:name="task-2-summative-plan-ac1--ac3-500-words"/>
    <w:p>
      <w:pPr>
        <w:pStyle w:val="Heading3"/>
      </w:pPr>
      <w:r>
        <w:t xml:space="preserve">Task 2: Summative plan (AC1 + AC3), 500 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overall argument you will make in the summative, in one or two sentences.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AC1: Theories and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theories,</w:t>
            </w:r>
            <w:r>
              <w:t xml:space="preserve"> </w:t>
            </w:r>
            <w:r>
              <w:rPr>
                <w:iCs/>
                <w:i/>
              </w:rPr>
              <w:t xml:space="preserve">why these</w:t>
            </w:r>
            <w:r>
              <w:t xml:space="preserve">, how they will define and separate leadership from management, and what you will critique.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AC1: Real-world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example, why it suits the theory, and what it shows that theory alone cannot.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AC3: Leader +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Who, why (a</w:t>
            </w:r>
            <w:r>
              <w:t xml:space="preserve"> </w:t>
            </w:r>
            <w:r>
              <w:rPr>
                <w:iCs/>
                <w:i/>
              </w:rPr>
              <w:t xml:space="preserve">criterion-based</w:t>
            </w:r>
            <w:r>
              <w:t xml:space="preserve"> </w:t>
            </w:r>
            <w:r>
              <w:t xml:space="preserve">reason), and why not the obvious alternatives.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AC3: Theoretical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lens, how it will be operationalised, and its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and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AC1 theory informs AC3. Source quality and bias risks.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literature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Signposts to the reading: schools of thought and debates you have found.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Note that Section 6 is spread through the text via in-text citations and is not necessarily a separate paragraph. Treat it as a budget of citations, not a heading.</w:t>
      </w:r>
    </w:p>
    <w:bookmarkStart w:id="26" w:name="X679a4fee2fb0098abe4792babb9d0a87757d9ec"/>
    <w:p>
      <w:pPr>
        <w:pStyle w:val="Heading4"/>
      </w:pPr>
      <w:r>
        <w:t xml:space="preserve">Section 1, AC1 theories: recommended spine (⚠ read each before citing)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Leadership vs management</w:t>
      </w:r>
    </w:p>
    <w:p>
      <w:pPr>
        <w:numPr>
          <w:ilvl w:val="1"/>
          <w:numId w:val="1009"/>
        </w:numPr>
        <w:pStyle w:val="Compact"/>
      </w:pPr>
      <w:r>
        <w:t xml:space="preserve">Zaleznik (1977): managers and leaders differ in personality and orientation.</w:t>
      </w:r>
    </w:p>
    <w:p>
      <w:pPr>
        <w:numPr>
          <w:ilvl w:val="1"/>
          <w:numId w:val="1009"/>
        </w:numPr>
        <w:pStyle w:val="Compact"/>
      </w:pPr>
      <w:r>
        <w:t xml:space="preserve">Kotter (1990): management copes with complexity, leadership with change.</w:t>
      </w:r>
    </w:p>
    <w:p>
      <w:pPr>
        <w:numPr>
          <w:ilvl w:val="1"/>
          <w:numId w:val="1009"/>
        </w:numPr>
        <w:pStyle w:val="Compact"/>
      </w:pPr>
      <w:r>
        <w:t xml:space="preserve">Mintzberg (1973): the actual content of managerial work is messier than the roles imply.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Your critical point:</w:t>
      </w:r>
      <w:r>
        <w:t xml:space="preserve"> </w:t>
      </w:r>
      <w:r>
        <w:t xml:space="preserve">the dichotomy is contested. Mintzberg shows managers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lead, so the clean split is more conceptual than practical. State this in one sentence and say how it shapes your definition.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Leadership approaches</w:t>
      </w:r>
    </w:p>
    <w:p>
      <w:pPr>
        <w:numPr>
          <w:ilvl w:val="1"/>
          <w:numId w:val="1010"/>
        </w:numPr>
        <w:pStyle w:val="Compact"/>
      </w:pPr>
      <w:r>
        <w:t xml:space="preserve">Burns (1978) and Bass (1985): transformational vs transactional.</w:t>
      </w:r>
    </w:p>
    <w:p>
      <w:pPr>
        <w:numPr>
          <w:ilvl w:val="1"/>
          <w:numId w:val="1010"/>
        </w:numPr>
        <w:pStyle w:val="Compact"/>
      </w:pPr>
      <w:r>
        <w:t xml:space="preserve">One critique (⚠ choose from Alvesson and Spicer, 2012, or a charisma or "heroic leader" critique that you have read).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this selection:</w:t>
      </w:r>
      <w:r>
        <w:t xml:space="preserve"> </w:t>
      </w:r>
      <w:r>
        <w:t xml:space="preserve">a mix of classic and critical, and it connects directly to the lens in AC3 and the EI focus in Task 1. A harsh marker will ask "why these?", so answer it in a clause.</w:t>
      </w:r>
    </w:p>
    <w:bookmarkEnd w:id="26"/>
    <w:bookmarkStart w:id="27" w:name="section-2-real-world-example"/>
    <w:p>
      <w:pPr>
        <w:pStyle w:val="Heading4"/>
      </w:pPr>
      <w:r>
        <w:t xml:space="preserve">Section 2, real-world example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Recommended: Satya Nadella at Microsoft</w:t>
      </w:r>
      <w:r>
        <w:t xml:space="preserve"> </w:t>
      </w:r>
      <w:r>
        <w:t xml:space="preserve">(the culture shift toward empathy and a growth mindset, and the leadership vs management contrast).</w:t>
      </w:r>
    </w:p>
    <w:p>
      <w:pPr>
        <w:numPr>
          <w:ilvl w:val="1"/>
          <w:numId w:val="1012"/>
        </w:numPr>
        <w:pStyle w:val="Compact"/>
      </w:pPr>
      <w:r>
        <w:t xml:space="preserve">Source options: Nadella's</w:t>
      </w:r>
      <w:r>
        <w:t xml:space="preserve"> </w:t>
      </w:r>
      <w:r>
        <w:rPr>
          <w:iCs/>
          <w:i/>
        </w:rPr>
        <w:t xml:space="preserve">Hit Refresh</w:t>
      </w:r>
      <w:r>
        <w:t xml:space="preserve"> </w:t>
      </w:r>
      <w:r>
        <w:t xml:space="preserve">(2017). It is a first-person account, so treat it as potentially self-serving.</w:t>
      </w:r>
    </w:p>
    <w:p>
      <w:pPr>
        <w:numPr>
          <w:ilvl w:val="1"/>
          <w:numId w:val="1012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critical or independent source</w:t>
      </w:r>
      <w:r>
        <w:t xml:space="preserve"> </w:t>
      </w:r>
      <w:r>
        <w:t xml:space="preserve">(⚠ find a credible business-press or HBR piece) so you are not relying on the leader's own narrative.</w:t>
      </w:r>
    </w:p>
    <w:p>
      <w:pPr>
        <w:numPr>
          <w:ilvl w:val="0"/>
          <w:numId w:val="1011"/>
        </w:numPr>
        <w:pStyle w:val="Compact"/>
      </w:pPr>
      <w:r>
        <w:t xml:space="preserve">Using Nadella here means you</w:t>
      </w:r>
      <w:r>
        <w:t xml:space="preserve"> </w:t>
      </w:r>
      <w:r>
        <w:rPr>
          <w:bCs/>
          <w:b/>
        </w:rPr>
        <w:t xml:space="preserve">do not reuse</w:t>
      </w:r>
      <w:r>
        <w:t xml:space="preserve"> </w:t>
      </w:r>
      <w:r>
        <w:t xml:space="preserve">your AC3 leader, which avoids overlap and wasted words.</w:t>
      </w:r>
    </w:p>
    <w:p>
      <w:pPr>
        <w:numPr>
          <w:ilvl w:val="0"/>
          <w:numId w:val="1011"/>
        </w:numPr>
        <w:pStyle w:val="Compact"/>
      </w:pPr>
      <w:r>
        <w:t xml:space="preserve">Alternative if you prefer a failure case: a leadership failure with a documented outcome. It shows range.</w:t>
      </w:r>
    </w:p>
    <w:bookmarkEnd w:id="27"/>
    <w:bookmarkStart w:id="28" w:name="section-3-ac3-leader-and-rationale"/>
    <w:p>
      <w:pPr>
        <w:pStyle w:val="Heading4"/>
      </w:pPr>
      <w:r>
        <w:t xml:space="preserve">Section 3, AC3 leader and rationale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Recommended: Indra Nooyi</w:t>
      </w:r>
      <w:r>
        <w:t xml:space="preserve"> </w:t>
      </w:r>
      <w:r>
        <w:t xml:space="preserve">(former CEO, PepsiCo; female, Indian-born, immigrant leader in a majority-male, majority-white executive context).</w:t>
      </w:r>
    </w:p>
    <w:p>
      <w:pPr>
        <w:numPr>
          <w:ilvl w:val="1"/>
          <w:numId w:val="1014"/>
        </w:numPr>
        <w:pStyle w:val="Compact"/>
      </w:pPr>
      <w:r>
        <w:t xml:space="preserve">Why she works:</w:t>
      </w:r>
    </w:p>
    <w:p>
      <w:pPr>
        <w:numPr>
          <w:ilvl w:val="2"/>
          <w:numId w:val="1015"/>
        </w:numPr>
        <w:pStyle w:val="Compact"/>
      </w:pPr>
      <w:r>
        <w:t xml:space="preserve">There is a clear intersectional story (gender, ethnicity, immigration).</w:t>
      </w:r>
    </w:p>
    <w:p>
      <w:pPr>
        <w:numPr>
          <w:ilvl w:val="2"/>
          <w:numId w:val="1015"/>
        </w:numPr>
        <w:pStyle w:val="Compact"/>
      </w:pPr>
      <w:r>
        <w:t xml:space="preserve">She has a published, citable leadership philosophy ("Performance with Purpose").</w:t>
      </w:r>
    </w:p>
    <w:p>
      <w:pPr>
        <w:numPr>
          <w:ilvl w:val="2"/>
          <w:numId w:val="1015"/>
        </w:numPr>
        <w:pStyle w:val="Compact"/>
      </w:pPr>
      <w:r>
        <w:t xml:space="preserve">Her record has real strengths and real criticisms (for example the health impact of PepsiCo's products), which gives you something critical to analyse.</w:t>
      </w:r>
    </w:p>
    <w:p>
      <w:pPr>
        <w:numPr>
          <w:ilvl w:val="1"/>
          <w:numId w:val="1014"/>
        </w:numPr>
        <w:pStyle w:val="Compact"/>
      </w:pPr>
      <w:r>
        <w:t xml:space="preserve">Source option: Nooyi (2021)</w:t>
      </w:r>
      <w:r>
        <w:t xml:space="preserve"> </w:t>
      </w:r>
      <w:r>
        <w:rPr>
          <w:iCs/>
          <w:i/>
        </w:rPr>
        <w:t xml:space="preserve">My Life in Full</w:t>
      </w:r>
      <w:r>
        <w:t xml:space="preserve"> </w:t>
      </w:r>
      <w:r>
        <w:t xml:space="preserve">(⚠ confirm details). Again, a self-account, so pair it with independent sources.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Fallback:</w:t>
      </w:r>
      <w:r>
        <w:t xml:space="preserve"> </w:t>
      </w:r>
      <w:r>
        <w:t xml:space="preserve">Satya Nadella, but only if you did not use him in Section 2. Otherwise choose another leader with documented diversity and a record with criticisms.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Rationale must be criterion-based</w:t>
      </w:r>
      <w:r>
        <w:t xml:space="preserve">, for example: documented leadership evidence, credible sources available, diversity dimension relevant to the lens, and enough complexity to evaluate. Add one sentence on why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someone more obvious.</w:t>
      </w:r>
    </w:p>
    <w:p>
      <w:pPr>
        <w:numPr>
          <w:ilvl w:val="0"/>
          <w:numId w:val="1013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assume diversity is the leader's whole story. Say how you will avoid reducing her to her identity.</w:t>
      </w:r>
    </w:p>
    <w:bookmarkEnd w:id="28"/>
    <w:bookmarkStart w:id="29" w:name="section-4-theoretical-lens"/>
    <w:p>
      <w:pPr>
        <w:pStyle w:val="Heading4"/>
      </w:pPr>
      <w:r>
        <w:t xml:space="preserve">Section 4, theoretical lens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Recommended pairing: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Primary: Intersectionality</w:t>
      </w:r>
      <w:r>
        <w:t xml:space="preserve"> </w:t>
      </w:r>
      <w:r>
        <w:t xml:space="preserve">(Crenshaw, 1989), and</w:t>
      </w:r>
      <w:r>
        <w:t xml:space="preserve"> </w:t>
      </w:r>
      <w:r>
        <w:rPr>
          <w:bCs/>
          <w:b/>
        </w:rPr>
        <w:t xml:space="preserve">Rosette et al. (2016)</w:t>
      </w:r>
      <w:r>
        <w:t xml:space="preserve"> </w:t>
      </w:r>
      <w:r>
        <w:t xml:space="preserve">for race and gender effects in leadership evaluation. Together they explain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identity shaped the leader's experience.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Secondary: transformational leadership</w:t>
      </w:r>
      <w:r>
        <w:t xml:space="preserve"> </w:t>
      </w:r>
      <w:r>
        <w:t xml:space="preserve">(Bass, 1985), to analyse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she did. This ties to AC1.</w:t>
      </w:r>
    </w:p>
    <w:p>
      <w:pPr>
        <w:numPr>
          <w:ilvl w:val="1"/>
          <w:numId w:val="1017"/>
        </w:numPr>
        <w:pStyle w:val="Compact"/>
      </w:pPr>
      <w:r>
        <w:t xml:space="preserve">Optional:</w:t>
      </w:r>
      <w:r>
        <w:t xml:space="preserve"> </w:t>
      </w:r>
      <w:r>
        <w:rPr>
          <w:bCs/>
          <w:b/>
        </w:rPr>
        <w:t xml:space="preserve">role congruity</w:t>
      </w:r>
      <w:r>
        <w:t xml:space="preserve"> </w:t>
      </w:r>
      <w:r>
        <w:t xml:space="preserve">(Eagly and Karau, 2002) for why leaders can face penalties when behaviour doesn't fit stereotypes.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State the limits of the lens</w:t>
      </w:r>
      <w:r>
        <w:t xml:space="preserve">, for example:</w:t>
      </w:r>
    </w:p>
    <w:p>
      <w:pPr>
        <w:numPr>
          <w:ilvl w:val="1"/>
          <w:numId w:val="1018"/>
        </w:numPr>
        <w:pStyle w:val="Compact"/>
      </w:pPr>
      <w:r>
        <w:t xml:space="preserve">Intersectionality is hard to apply to a single case.</w:t>
      </w:r>
    </w:p>
    <w:p>
      <w:pPr>
        <w:numPr>
          <w:ilvl w:val="1"/>
          <w:numId w:val="1018"/>
        </w:numPr>
        <w:pStyle w:val="Compact"/>
      </w:pPr>
      <w:r>
        <w:t xml:space="preserve">Evidence is largely retrospective and media-filtered.</w:t>
      </w:r>
    </w:p>
    <w:p>
      <w:pPr>
        <w:numPr>
          <w:ilvl w:val="1"/>
          <w:numId w:val="1018"/>
        </w:numPr>
        <w:pStyle w:val="Compact"/>
      </w:pPr>
      <w:r>
        <w:t xml:space="preserve">Transformational theory has been criticised as leader-centric.</w:t>
      </w:r>
      <w:r>
        <w:t xml:space="preserve"> </w:t>
      </w:r>
      <w:r>
        <w:t xml:space="preserve">A harsh marker rewards you for naming these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they do.</w:t>
      </w:r>
    </w:p>
    <w:p>
      <w:pPr>
        <w:numPr>
          <w:ilvl w:val="0"/>
          <w:numId w:val="1016"/>
        </w:numPr>
        <w:pStyle w:val="Compact"/>
      </w:pPr>
      <w:r>
        <w:t xml:space="preserve">Say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you will operationalise it: what evidence you will look for (decisions, speeches, stakeholder outcomes) and what would count as evidence against your interpretation.</w:t>
      </w:r>
    </w:p>
    <w:bookmarkEnd w:id="29"/>
    <w:bookmarkStart w:id="30" w:name="section-5-integration-and-risk"/>
    <w:p>
      <w:pPr>
        <w:pStyle w:val="Heading4"/>
      </w:pPr>
      <w:r>
        <w:t xml:space="preserve">Section 5, integration and risk</w:t>
      </w:r>
    </w:p>
    <w:p>
      <w:pPr>
        <w:numPr>
          <w:ilvl w:val="0"/>
          <w:numId w:val="1019"/>
        </w:numPr>
        <w:pStyle w:val="Compact"/>
      </w:pPr>
      <w:r>
        <w:t xml:space="preserve">One sentence linking AC1 definitions to the AC3 analysis, so the plan reads as one argument.</w:t>
      </w:r>
    </w:p>
    <w:p>
      <w:pPr>
        <w:numPr>
          <w:ilvl w:val="0"/>
          <w:numId w:val="1019"/>
        </w:numPr>
        <w:pStyle w:val="Compact"/>
      </w:pPr>
      <w:r>
        <w:t xml:space="preserve">Name</w:t>
      </w:r>
      <w:r>
        <w:t xml:space="preserve"> </w:t>
      </w:r>
      <w:r>
        <w:rPr>
          <w:bCs/>
          <w:b/>
        </w:rPr>
        <w:t xml:space="preserve">one methodological risk</w:t>
      </w:r>
      <w:r>
        <w:t xml:space="preserve">: self-authored sources and media hero narratives. Say how you will triangulate (autobiography plus independent academic plus press).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4" w:name="X5cf54245b952ad54d2abae8f4c5c3541465f137"/>
    <w:p>
      <w:pPr>
        <w:pStyle w:val="Heading2"/>
      </w:pPr>
      <w:r>
        <w:t xml:space="preserve">4. Reference list blueprint (AS1)</w:t>
      </w:r>
    </w:p>
    <w:p>
      <w:pPr>
        <w:pStyle w:val="FirstParagraph"/>
      </w:pPr>
      <w:r>
        <w:rPr>
          <w:bCs/>
          <w:b/>
        </w:rPr>
        <w:t xml:space="preserve">Target: 12–16 sources</w:t>
      </w:r>
      <w:r>
        <w:t xml:space="preserve">, since a harsh marker likes breadth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sources tied to planned claims. Mix:</w:t>
      </w:r>
    </w:p>
    <w:p>
      <w:pPr>
        <w:numPr>
          <w:ilvl w:val="0"/>
          <w:numId w:val="1020"/>
        </w:numPr>
        <w:pStyle w:val="Compact"/>
      </w:pPr>
      <w:r>
        <w:t xml:space="preserve">about 60% peer-reviewed journals and academic books</w:t>
      </w:r>
    </w:p>
    <w:p>
      <w:pPr>
        <w:numPr>
          <w:ilvl w:val="0"/>
          <w:numId w:val="1020"/>
        </w:numPr>
        <w:pStyle w:val="Compact"/>
      </w:pPr>
      <w:r>
        <w:t xml:space="preserve">about 25% credible business sources (HBR, company reports, quality business press)</w:t>
      </w:r>
    </w:p>
    <w:p>
      <w:pPr>
        <w:numPr>
          <w:ilvl w:val="0"/>
          <w:numId w:val="1020"/>
        </w:numPr>
        <w:pStyle w:val="Compact"/>
      </w:pPr>
      <w:r>
        <w:t xml:space="preserve">about 15% primary or leader-authored sources (flagged as such in your text)</w:t>
      </w:r>
    </w:p>
    <w:p>
      <w:pPr>
        <w:pStyle w:val="FirstParagraph"/>
      </w:pPr>
      <w:r>
        <w:rPr>
          <w:bCs/>
          <w:b/>
        </w:rPr>
        <w:t xml:space="preserve">Formatting rules (Harvard)</w:t>
      </w:r>
    </w:p>
    <w:p>
      <w:pPr>
        <w:numPr>
          <w:ilvl w:val="0"/>
          <w:numId w:val="1021"/>
        </w:numPr>
        <w:pStyle w:val="Compact"/>
      </w:pPr>
      <w:r>
        <w:t xml:space="preserve">Alphabetical by surname. Use one consistent style throughout.</w:t>
      </w:r>
    </w:p>
    <w:p>
      <w:pPr>
        <w:numPr>
          <w:ilvl w:val="0"/>
          <w:numId w:val="1021"/>
        </w:numPr>
        <w:pStyle w:val="Compact"/>
      </w:pPr>
      <w:r>
        <w:t xml:space="preserve">Include: author, year, title, journal or publisher, volume(issue), pages.</w:t>
      </w:r>
    </w:p>
    <w:p>
      <w:pPr>
        <w:numPr>
          <w:ilvl w:val="0"/>
          <w:numId w:val="1021"/>
        </w:numPr>
        <w:pStyle w:val="Compact"/>
      </w:pPr>
      <w:r>
        <w:t xml:space="preserve">Italicise the book title or journal name according to the BPP guide. Check the BPP LibGuide for the exact convention.</w:t>
      </w:r>
    </w:p>
    <w:p>
      <w:pPr>
        <w:numPr>
          <w:ilvl w:val="0"/>
          <w:numId w:val="1021"/>
        </w:numPr>
        <w:pStyle w:val="Compact"/>
      </w:pPr>
      <w:r>
        <w:t xml:space="preserve">Every in-text citation must appear in the list, and vice versa.</w:t>
      </w:r>
      <w:r>
        <w:t xml:space="preserve"> </w:t>
      </w:r>
      <w:r>
        <w:rPr>
          <w:bCs/>
          <w:b/>
        </w:rPr>
        <w:t xml:space="preserve">Delete any source you haven't used.</w:t>
      </w:r>
    </w:p>
    <w:p>
      <w:pPr>
        <w:numPr>
          <w:ilvl w:val="0"/>
          <w:numId w:val="1021"/>
        </w:numPr>
        <w:pStyle w:val="Compact"/>
      </w:pPr>
      <w:r>
        <w:t xml:space="preserve">Prefer DOI or stable URLs for online sources, with an access date for web pages.</w:t>
      </w:r>
    </w:p>
    <w:bookmarkStart w:id="33" w:name="X82bd15b011cb854eca6e1e9712768d500f4850d"/>
    <w:p>
      <w:pPr>
        <w:pStyle w:val="Heading3"/>
      </w:pPr>
      <w:r>
        <w:t xml:space="preserve">Candidate pool (⚠ every entry: confirm authors, year, volume and pages against the original before use)</w:t>
      </w:r>
    </w:p>
    <w:p>
      <w:pPr>
        <w:pStyle w:val="FirstParagraph"/>
      </w:pPr>
      <w:r>
        <w:rPr>
          <w:iCs/>
          <w:i/>
        </w:rPr>
        <w:t xml:space="preserve">Leadership vs management and approaches</w:t>
      </w:r>
    </w:p>
    <w:p>
      <w:pPr>
        <w:numPr>
          <w:ilvl w:val="0"/>
          <w:numId w:val="1022"/>
        </w:numPr>
        <w:pStyle w:val="Compact"/>
      </w:pPr>
      <w:r>
        <w:t xml:space="preserve">Zaleznik, A. (1977) 'Managers and leaders: are they different?',</w:t>
      </w:r>
      <w:r>
        <w:t xml:space="preserve"> </w:t>
      </w:r>
      <w:r>
        <w:rPr>
          <w:iCs/>
          <w:i/>
        </w:rPr>
        <w:t xml:space="preserve">Harvard Business Review</w:t>
      </w:r>
      <w:r>
        <w:t xml:space="preserve">, 55(5), pp. 67–78.</w:t>
      </w:r>
    </w:p>
    <w:p>
      <w:pPr>
        <w:numPr>
          <w:ilvl w:val="0"/>
          <w:numId w:val="1022"/>
        </w:numPr>
        <w:pStyle w:val="Compact"/>
      </w:pPr>
      <w:r>
        <w:t xml:space="preserve">Kotter, J.P. (1990) 'What leaders really do',</w:t>
      </w:r>
      <w:r>
        <w:t xml:space="preserve"> </w:t>
      </w:r>
      <w:r>
        <w:rPr>
          <w:iCs/>
          <w:i/>
        </w:rPr>
        <w:t xml:space="preserve">Harvard Business Review</w:t>
      </w:r>
      <w:r>
        <w:t xml:space="preserve">, 68(3), pp. 103–111.</w:t>
      </w:r>
    </w:p>
    <w:p>
      <w:pPr>
        <w:numPr>
          <w:ilvl w:val="0"/>
          <w:numId w:val="1022"/>
        </w:numPr>
        <w:pStyle w:val="Compact"/>
      </w:pPr>
      <w:r>
        <w:t xml:space="preserve">Mintzberg, H. (1973)</w:t>
      </w:r>
      <w:r>
        <w:t xml:space="preserve"> </w:t>
      </w:r>
      <w:r>
        <w:rPr>
          <w:iCs/>
          <w:i/>
        </w:rPr>
        <w:t xml:space="preserve">The nature of managerial work</w:t>
      </w:r>
      <w:r>
        <w:t xml:space="preserve">. New York: Harper &amp; Row.</w:t>
      </w:r>
    </w:p>
    <w:p>
      <w:pPr>
        <w:numPr>
          <w:ilvl w:val="0"/>
          <w:numId w:val="1022"/>
        </w:numPr>
        <w:pStyle w:val="Compact"/>
      </w:pPr>
      <w:r>
        <w:t xml:space="preserve">Burns, J.M. (1978)</w:t>
      </w:r>
      <w:r>
        <w:t xml:space="preserve"> </w:t>
      </w:r>
      <w:r>
        <w:rPr>
          <w:iCs/>
          <w:i/>
        </w:rPr>
        <w:t xml:space="preserve">Leadership</w:t>
      </w:r>
      <w:r>
        <w:t xml:space="preserve">. New York: Harper &amp; Row.</w:t>
      </w:r>
    </w:p>
    <w:p>
      <w:pPr>
        <w:numPr>
          <w:ilvl w:val="0"/>
          <w:numId w:val="1022"/>
        </w:numPr>
        <w:pStyle w:val="Compact"/>
      </w:pPr>
      <w:r>
        <w:t xml:space="preserve">Bass, B.M. (1985)</w:t>
      </w:r>
      <w:r>
        <w:t xml:space="preserve"> </w:t>
      </w:r>
      <w:r>
        <w:rPr>
          <w:iCs/>
          <w:i/>
        </w:rPr>
        <w:t xml:space="preserve">Leadership and performance beyond expectations</w:t>
      </w:r>
      <w:r>
        <w:t xml:space="preserve">. New York: Free Press.</w:t>
      </w:r>
    </w:p>
    <w:p>
      <w:pPr>
        <w:numPr>
          <w:ilvl w:val="0"/>
          <w:numId w:val="1022"/>
        </w:numPr>
        <w:pStyle w:val="Compact"/>
      </w:pPr>
      <w:r>
        <w:t xml:space="preserve">Alvesson, M. and Spicer, A. (2012) 'Critical leadership studies: the case for critical performativity',</w:t>
      </w:r>
      <w:r>
        <w:t xml:space="preserve"> </w:t>
      </w:r>
      <w:r>
        <w:rPr>
          <w:iCs/>
          <w:i/>
        </w:rPr>
        <w:t xml:space="preserve">Human Relations</w:t>
      </w:r>
      <w:r>
        <w:t xml:space="preserve">, 65(3), pp. 367–390.</w:t>
      </w:r>
    </w:p>
    <w:p>
      <w:pPr>
        <w:numPr>
          <w:ilvl w:val="0"/>
          <w:numId w:val="1022"/>
        </w:numPr>
        <w:pStyle w:val="Compact"/>
      </w:pPr>
      <w:r>
        <w:t xml:space="preserve">Northouse, P.G.</w:t>
      </w:r>
      <w:r>
        <w:t xml:space="preserve"> </w:t>
      </w:r>
      <w:r>
        <w:rPr>
          <w:iCs/>
          <w:i/>
        </w:rPr>
        <w:t xml:space="preserve">Leadership: theory and practice</w:t>
      </w:r>
      <w:r>
        <w:t xml:space="preserve">. Thousand Oaks: Sage. ⚠ Use the edition</w:t>
      </w:r>
      <w:r>
        <w:t xml:space="preserve"> </w:t>
      </w:r>
      <w:r>
        <w:rPr>
          <w:bCs/>
          <w:b/>
        </w:rPr>
        <w:t xml:space="preserve">you</w:t>
      </w:r>
      <w:r>
        <w:t xml:space="preserve"> </w:t>
      </w:r>
      <w:r>
        <w:t xml:space="preserve">have access to and cite that edition and year.</w:t>
      </w:r>
    </w:p>
    <w:p>
      <w:pPr>
        <w:pStyle w:val="FirstParagraph"/>
      </w:pPr>
      <w:r>
        <w:rPr>
          <w:iCs/>
          <w:i/>
        </w:rPr>
        <w:t xml:space="preserve">Emotional intelligence (Task 1 and AC1)</w:t>
      </w:r>
    </w:p>
    <w:p>
      <w:pPr>
        <w:numPr>
          <w:ilvl w:val="0"/>
          <w:numId w:val="1023"/>
        </w:numPr>
        <w:pStyle w:val="Compact"/>
      </w:pPr>
      <w:r>
        <w:t xml:space="preserve">Goleman, D. (1998) 'What makes a leader?',</w:t>
      </w:r>
      <w:r>
        <w:t xml:space="preserve"> </w:t>
      </w:r>
      <w:r>
        <w:rPr>
          <w:iCs/>
          <w:i/>
        </w:rPr>
        <w:t xml:space="preserve">Harvard Business Review</w:t>
      </w:r>
      <w:r>
        <w:t xml:space="preserve">, 76(6), pp. 93–102.</w:t>
      </w:r>
    </w:p>
    <w:p>
      <w:pPr>
        <w:numPr>
          <w:ilvl w:val="0"/>
          <w:numId w:val="1023"/>
        </w:numPr>
        <w:pStyle w:val="Compact"/>
      </w:pPr>
      <w:r>
        <w:t xml:space="preserve">Goleman, D. (2000) 'Leadership that gets results',</w:t>
      </w:r>
      <w:r>
        <w:t xml:space="preserve"> </w:t>
      </w:r>
      <w:r>
        <w:rPr>
          <w:iCs/>
          <w:i/>
        </w:rPr>
        <w:t xml:space="preserve">Harvard Business Review</w:t>
      </w:r>
      <w:r>
        <w:t xml:space="preserve">, 78(2), pp. 78–90.</w:t>
      </w:r>
    </w:p>
    <w:p>
      <w:pPr>
        <w:numPr>
          <w:ilvl w:val="0"/>
          <w:numId w:val="1023"/>
        </w:numPr>
        <w:pStyle w:val="Compact"/>
      </w:pPr>
      <w:r>
        <w:t xml:space="preserve">Goleman, D., Boyatzis, R. and McKee, A. (2002)</w:t>
      </w:r>
      <w:r>
        <w:t xml:space="preserve"> </w:t>
      </w:r>
      <w:r>
        <w:rPr>
          <w:iCs/>
          <w:i/>
        </w:rPr>
        <w:t xml:space="preserve">Primal leadership</w:t>
      </w:r>
      <w:r>
        <w:t xml:space="preserve">. Boston: Harvard Business School Press.</w:t>
      </w:r>
    </w:p>
    <w:p>
      <w:pPr>
        <w:numPr>
          <w:ilvl w:val="0"/>
          <w:numId w:val="1023"/>
        </w:numPr>
        <w:pStyle w:val="Compact"/>
      </w:pPr>
      <w:r>
        <w:t xml:space="preserve">Antonakis, J., Ashkanasy, N.M. and Dasborough, M.T. (2009) 'Does leadership need emotional intelligence?',</w:t>
      </w:r>
      <w:r>
        <w:t xml:space="preserve"> </w:t>
      </w:r>
      <w:r>
        <w:rPr>
          <w:iCs/>
          <w:i/>
        </w:rPr>
        <w:t xml:space="preserve">The Leadership Quarterly</w:t>
      </w:r>
      <w:r>
        <w:t xml:space="preserve">, 20(2), pp. 247–261.</w:t>
      </w:r>
      <w:r>
        <w:t xml:space="preserve"> </w:t>
      </w:r>
      <w:r>
        <w:rPr>
          <w:iCs/>
          <w:i/>
        </w:rPr>
        <w:t xml:space="preserve">(the critique)</w:t>
      </w:r>
    </w:p>
    <w:p>
      <w:pPr>
        <w:numPr>
          <w:ilvl w:val="0"/>
          <w:numId w:val="1023"/>
        </w:numPr>
        <w:pStyle w:val="Compact"/>
      </w:pPr>
      <w:r>
        <w:t xml:space="preserve">Joseph, D.L. and Newman, D.A. (2010) 'Emotional intelligence: an integrative meta-analysis and cascading model',</w:t>
      </w:r>
      <w:r>
        <w:t xml:space="preserve"> </w:t>
      </w:r>
      <w:r>
        <w:rPr>
          <w:iCs/>
          <w:i/>
        </w:rPr>
        <w:t xml:space="preserve">Journal of Applied Psychology</w:t>
      </w:r>
      <w:r>
        <w:t xml:space="preserve">, 95(1), pp. 54–78.</w:t>
      </w:r>
      <w:r>
        <w:t xml:space="preserve"> </w:t>
      </w:r>
      <w:r>
        <w:rPr>
          <w:iCs/>
          <w:i/>
        </w:rPr>
        <w:t xml:space="preserve">(⚠ read before quoting any finding)</w:t>
      </w:r>
    </w:p>
    <w:p>
      <w:pPr>
        <w:pStyle w:val="FirstParagraph"/>
      </w:pPr>
      <w:r>
        <w:rPr>
          <w:iCs/>
          <w:i/>
        </w:rPr>
        <w:t xml:space="preserve">Trust, empowerment, reflection (Task 1)</w:t>
      </w:r>
    </w:p>
    <w:p>
      <w:pPr>
        <w:numPr>
          <w:ilvl w:val="0"/>
          <w:numId w:val="1024"/>
        </w:numPr>
        <w:pStyle w:val="Compact"/>
      </w:pPr>
      <w:r>
        <w:t xml:space="preserve">Mayer, R.C., Davis, J.H. and Schoorman, F.D. (1995) 'An integrative model of organizational trust',</w:t>
      </w:r>
      <w:r>
        <w:t xml:space="preserve"> </w:t>
      </w:r>
      <w:r>
        <w:rPr>
          <w:iCs/>
          <w:i/>
        </w:rPr>
        <w:t xml:space="preserve">Academy of Management Review</w:t>
      </w:r>
      <w:r>
        <w:t xml:space="preserve">, 20(3), pp. 709–734.</w:t>
      </w:r>
    </w:p>
    <w:p>
      <w:pPr>
        <w:numPr>
          <w:ilvl w:val="0"/>
          <w:numId w:val="1024"/>
        </w:numPr>
        <w:pStyle w:val="Compact"/>
      </w:pPr>
      <w:r>
        <w:t xml:space="preserve">Edmondson, A. (1999) 'Psychological safety and learning behavior in work teams',</w:t>
      </w:r>
      <w:r>
        <w:t xml:space="preserve"> </w:t>
      </w:r>
      <w:r>
        <w:rPr>
          <w:iCs/>
          <w:i/>
        </w:rPr>
        <w:t xml:space="preserve">Administrative Science Quarterly</w:t>
      </w:r>
      <w:r>
        <w:t xml:space="preserve">, 44(2), pp. 350–383.</w:t>
      </w:r>
    </w:p>
    <w:p>
      <w:pPr>
        <w:numPr>
          <w:ilvl w:val="0"/>
          <w:numId w:val="1024"/>
        </w:numPr>
        <w:pStyle w:val="Compact"/>
      </w:pPr>
      <w:r>
        <w:t xml:space="preserve">Gibbs, G. (1988)</w:t>
      </w:r>
      <w:r>
        <w:t xml:space="preserve"> </w:t>
      </w:r>
      <w:r>
        <w:rPr>
          <w:iCs/>
          <w:i/>
        </w:rPr>
        <w:t xml:space="preserve">Learning by doing</w:t>
      </w:r>
      <w:r>
        <w:t xml:space="preserve">. Oxford: Further Education Unit.</w:t>
      </w:r>
      <w:r>
        <w:t xml:space="preserve"> </w:t>
      </w:r>
      <w:r>
        <w:rPr>
          <w:iCs/>
          <w:i/>
        </w:rPr>
        <w:t xml:space="preserve">(only if you use a reflective cycle)</w:t>
      </w:r>
    </w:p>
    <w:p>
      <w:pPr>
        <w:pStyle w:val="FirstParagraph"/>
      </w:pPr>
      <w:r>
        <w:rPr>
          <w:iCs/>
          <w:i/>
        </w:rPr>
        <w:t xml:space="preserve">Diversity and AC3</w:t>
      </w:r>
    </w:p>
    <w:p>
      <w:pPr>
        <w:numPr>
          <w:ilvl w:val="0"/>
          <w:numId w:val="1025"/>
        </w:numPr>
        <w:pStyle w:val="Compact"/>
      </w:pPr>
      <w:r>
        <w:t xml:space="preserve">Crenshaw, K. (1989) 'Demarginalizing the intersection of race and sex',</w:t>
      </w:r>
      <w:r>
        <w:t xml:space="preserve"> </w:t>
      </w:r>
      <w:r>
        <w:rPr>
          <w:iCs/>
          <w:i/>
        </w:rPr>
        <w:t xml:space="preserve">University of Chicago Legal Forum</w:t>
      </w:r>
      <w:r>
        <w:t xml:space="preserve">, 1989(1), pp. 139–167.</w:t>
      </w:r>
    </w:p>
    <w:p>
      <w:pPr>
        <w:numPr>
          <w:ilvl w:val="0"/>
          <w:numId w:val="1025"/>
        </w:numPr>
        <w:pStyle w:val="Compact"/>
      </w:pPr>
      <w:r>
        <w:t xml:space="preserve">Eagly, A.H. and Karau, S.J. (2002) 'Role congruity theory of prejudice toward female leaders',</w:t>
      </w:r>
      <w:r>
        <w:t xml:space="preserve"> </w:t>
      </w:r>
      <w:r>
        <w:rPr>
          <w:iCs/>
          <w:i/>
        </w:rPr>
        <w:t xml:space="preserve">Psychological Review</w:t>
      </w:r>
      <w:r>
        <w:t xml:space="preserve">, 109(3), pp. 573–598.</w:t>
      </w:r>
    </w:p>
    <w:p>
      <w:pPr>
        <w:numPr>
          <w:ilvl w:val="0"/>
          <w:numId w:val="1025"/>
        </w:numPr>
        <w:pStyle w:val="Compact"/>
      </w:pPr>
      <w:r>
        <w:t xml:space="preserve">Rosette, A.S., Koval, C.Z., Ma, A. and Livingston, R. (2016) 'Race matters for women leaders: intersectional effects on agentic deficiencies and penalties',</w:t>
      </w:r>
      <w:r>
        <w:t xml:space="preserve"> </w:t>
      </w:r>
      <w:r>
        <w:rPr>
          <w:iCs/>
          <w:i/>
        </w:rPr>
        <w:t xml:space="preserve">The Leadership Quarterly</w:t>
      </w:r>
      <w:r>
        <w:t xml:space="preserve">, 27(3), pp. 429–445.</w:t>
      </w:r>
    </w:p>
    <w:p>
      <w:pPr>
        <w:numPr>
          <w:ilvl w:val="0"/>
          <w:numId w:val="1025"/>
        </w:numPr>
        <w:pStyle w:val="Compact"/>
      </w:pPr>
      <w:r>
        <w:t xml:space="preserve">Ely, R.J. and Thomas, D.A. (2001) 'Cultural diversity at work',</w:t>
      </w:r>
      <w:r>
        <w:t xml:space="preserve"> </w:t>
      </w:r>
      <w:r>
        <w:rPr>
          <w:iCs/>
          <w:i/>
        </w:rPr>
        <w:t xml:space="preserve">Administrative Science Quarterly</w:t>
      </w:r>
      <w:r>
        <w:t xml:space="preserve">, 46(2), pp. 229–273.</w:t>
      </w:r>
    </w:p>
    <w:p>
      <w:pPr>
        <w:pStyle w:val="FirstParagraph"/>
      </w:pPr>
      <w:r>
        <w:rPr>
          <w:iCs/>
          <w:i/>
        </w:rPr>
        <w:t xml:space="preserve">Leader-specific (⚠ confirm details and edition)</w:t>
      </w:r>
    </w:p>
    <w:p>
      <w:pPr>
        <w:numPr>
          <w:ilvl w:val="0"/>
          <w:numId w:val="1026"/>
        </w:numPr>
        <w:pStyle w:val="Compact"/>
      </w:pPr>
      <w:r>
        <w:t xml:space="preserve">Nadella, S. (2017)</w:t>
      </w:r>
      <w:r>
        <w:t xml:space="preserve"> </w:t>
      </w:r>
      <w:r>
        <w:rPr>
          <w:iCs/>
          <w:i/>
        </w:rPr>
        <w:t xml:space="preserve">Hit refresh</w:t>
      </w:r>
      <w:r>
        <w:t xml:space="preserve">. New York: HarperBusiness.</w:t>
      </w:r>
    </w:p>
    <w:p>
      <w:pPr>
        <w:numPr>
          <w:ilvl w:val="0"/>
          <w:numId w:val="1026"/>
        </w:numPr>
        <w:pStyle w:val="Compact"/>
      </w:pPr>
      <w:r>
        <w:t xml:space="preserve">Nooyi, I. (2021)</w:t>
      </w:r>
      <w:r>
        <w:t xml:space="preserve"> </w:t>
      </w:r>
      <w:r>
        <w:rPr>
          <w:iCs/>
          <w:i/>
        </w:rPr>
        <w:t xml:space="preserve">My life in full</w:t>
      </w:r>
      <w:r>
        <w:t xml:space="preserve">. New York: Portfolio/Penguin.</w:t>
      </w:r>
    </w:p>
    <w:p>
      <w:pPr>
        <w:numPr>
          <w:ilvl w:val="0"/>
          <w:numId w:val="1026"/>
        </w:numPr>
        <w:pStyle w:val="Compact"/>
      </w:pPr>
      <w:r>
        <w:t xml:space="preserve">Plus</w:t>
      </w:r>
      <w:r>
        <w:t xml:space="preserve"> </w:t>
      </w:r>
      <w:r>
        <w:rPr>
          <w:bCs/>
          <w:b/>
        </w:rPr>
        <w:t xml:space="preserve">at least two independent sources</w:t>
      </w:r>
      <w:r>
        <w:t xml:space="preserve"> </w:t>
      </w:r>
      <w:r>
        <w:t xml:space="preserve">about each leader (journal case, HBR or reputable press).</w:t>
      </w:r>
    </w:p>
    <w:p>
      <w:pPr>
        <w:pStyle w:val="FirstParagraph"/>
      </w:pPr>
      <w:r>
        <w:rPr>
          <w:bCs/>
          <w:b/>
        </w:rPr>
        <w:t xml:space="preserve">Trim to fit:</w:t>
      </w:r>
      <w:r>
        <w:t xml:space="preserve"> </w:t>
      </w:r>
      <w:r>
        <w:t xml:space="preserve">if you hit 16, cut the sources you cannot tie to a sentence in your plan.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d9e11d7e2684d6e8d2dc446898b44da1afc9883"/>
    <w:p>
      <w:pPr>
        <w:pStyle w:val="Heading2"/>
      </w:pPr>
      <w:r>
        <w:t xml:space="preserve">5. Cover sheet checklist</w:t>
      </w:r>
    </w:p>
    <w:p>
      <w:pPr>
        <w:numPr>
          <w:ilvl w:val="0"/>
          <w:numId w:val="1027"/>
        </w:numPr>
        <w:pStyle w:val="Compact"/>
      </w:pPr>
      <w:r>
        <w:t xml:space="preserve">☐ SRN filled in, and</w:t>
      </w:r>
      <w:r>
        <w:t xml:space="preserve"> </w:t>
      </w:r>
      <w:r>
        <w:rPr>
          <w:bCs/>
          <w:b/>
        </w:rPr>
        <w:t xml:space="preserve">no name anywhere</w:t>
      </w:r>
      <w:r>
        <w:t xml:space="preserve"> </w:t>
      </w:r>
      <w:r>
        <w:t xml:space="preserve">(header, filename, metadata)</w:t>
      </w:r>
    </w:p>
    <w:p>
      <w:pPr>
        <w:numPr>
          <w:ilvl w:val="0"/>
          <w:numId w:val="1027"/>
        </w:numPr>
        <w:pStyle w:val="Compact"/>
      </w:pPr>
      <w:r>
        <w:t xml:space="preserve">☐ Report title and date of submission</w:t>
      </w:r>
    </w:p>
    <w:p>
      <w:pPr>
        <w:numPr>
          <w:ilvl w:val="0"/>
          <w:numId w:val="1027"/>
        </w:numPr>
        <w:pStyle w:val="Compact"/>
      </w:pPr>
      <w:r>
        <w:t xml:space="preserve">☐ Word count entered</w:t>
      </w:r>
      <w:r>
        <w:t xml:space="preserve"> </w:t>
      </w:r>
      <w:r>
        <w:rPr>
          <w:bCs/>
          <w:b/>
        </w:rPr>
        <w:t xml:space="preserve">accurately</w:t>
      </w:r>
      <w:r>
        <w:t xml:space="preserve"> </w:t>
      </w:r>
      <w:r>
        <w:t xml:space="preserve">(excluding contents table, bibliography and appendices)</w:t>
      </w:r>
    </w:p>
    <w:p>
      <w:pPr>
        <w:numPr>
          <w:ilvl w:val="0"/>
          <w:numId w:val="1027"/>
        </w:numPr>
        <w:pStyle w:val="Compact"/>
      </w:pPr>
      <w:r>
        <w:t xml:space="preserve">☐ AI declaration: tick only what you actually did. If you used AI for review or language correction,</w:t>
      </w:r>
      <w:r>
        <w:t xml:space="preserve"> </w:t>
      </w:r>
      <w:r>
        <w:rPr>
          <w:bCs/>
          <w:b/>
        </w:rPr>
        <w:t xml:space="preserve">attach prompts and responses in the appendices</w:t>
      </w:r>
    </w:p>
    <w:p>
      <w:pPr>
        <w:numPr>
          <w:ilvl w:val="0"/>
          <w:numId w:val="1027"/>
        </w:numPr>
        <w:pStyle w:val="Compact"/>
      </w:pPr>
      <w:r>
        <w:t xml:space="preserve">☐ Cover sheet is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title page</w:t>
      </w:r>
    </w:p>
    <w:p>
      <w:pPr>
        <w:numPr>
          <w:ilvl w:val="0"/>
          <w:numId w:val="1027"/>
        </w:numPr>
        <w:pStyle w:val="Compact"/>
      </w:pPr>
      <w:r>
        <w:t xml:space="preserve">☐ Single Word document, submitted via Turnitin on the BPP Hub</w:t>
      </w:r>
    </w:p>
    <w:p>
      <w:r>
        <w:pict>
          <v:rect style="width:0;height:1.5pt" o:hralign="center" o:hrstd="t" o:hr="t"/>
        </w:pict>
      </w:r>
    </w:p>
    <w:bookmarkEnd w:id="35"/>
    <w:bookmarkStart w:id="36" w:name="Xb101f06ebba2b5d61120a7e74a8f8e7262350cb"/>
    <w:p>
      <w:pPr>
        <w:pStyle w:val="Heading2"/>
      </w:pPr>
      <w:r>
        <w:t xml:space="preserve">6. Pre-submission audit (act as the harsh marker)</w:t>
      </w:r>
    </w:p>
    <w:p>
      <w:pPr>
        <w:pStyle w:val="FirstParagraph"/>
      </w:pPr>
      <w:r>
        <w:rPr>
          <w:bCs/>
          <w:b/>
        </w:rPr>
        <w:t xml:space="preserve">Task 1</w:t>
      </w:r>
    </w:p>
    <w:p>
      <w:pPr>
        <w:numPr>
          <w:ilvl w:val="0"/>
          <w:numId w:val="1028"/>
        </w:numPr>
        <w:pStyle w:val="Compact"/>
      </w:pPr>
      <w:r>
        <w:t xml:space="preserve">☐ Is there a named theory, and is it applied to a specific behaviour, not just mentioned?</w:t>
      </w:r>
    </w:p>
    <w:p>
      <w:pPr>
        <w:numPr>
          <w:ilvl w:val="0"/>
          <w:numId w:val="1028"/>
        </w:numPr>
        <w:pStyle w:val="Compact"/>
      </w:pPr>
      <w:r>
        <w:t xml:space="preserve">☐ Is there a critique or limit of that theory?</w:t>
      </w:r>
    </w:p>
    <w:p>
      <w:pPr>
        <w:numPr>
          <w:ilvl w:val="0"/>
          <w:numId w:val="1028"/>
        </w:numPr>
        <w:pStyle w:val="Compact"/>
      </w:pPr>
      <w:r>
        <w:t xml:space="preserve">☐ Is there at least one strength and one development area, each with</w:t>
      </w:r>
      <w:r>
        <w:t xml:space="preserve"> </w:t>
      </w:r>
      <w:r>
        <w:rPr>
          <w:bCs/>
          <w:b/>
        </w:rPr>
        <w:t xml:space="preserve">evidence</w:t>
      </w:r>
      <w:r>
        <w:t xml:space="preserve">?</w:t>
      </w:r>
    </w:p>
    <w:p>
      <w:pPr>
        <w:numPr>
          <w:ilvl w:val="0"/>
          <w:numId w:val="1028"/>
        </w:numPr>
        <w:pStyle w:val="Compact"/>
      </w:pPr>
      <w:r>
        <w:t xml:space="preserve">☐ Do I show</w:t>
      </w:r>
      <w:r>
        <w:t xml:space="preserve"> </w:t>
      </w:r>
      <w:r>
        <w:rPr>
          <w:iCs/>
          <w:i/>
        </w:rPr>
        <w:t xml:space="preserve">how my thinking changed</w:t>
      </w:r>
      <w:r>
        <w:t xml:space="preserve">, not only what I did?</w:t>
      </w:r>
    </w:p>
    <w:p>
      <w:pPr>
        <w:numPr>
          <w:ilvl w:val="0"/>
          <w:numId w:val="1028"/>
        </w:numPr>
        <w:pStyle w:val="Compact"/>
      </w:pPr>
      <w:r>
        <w:t xml:space="preserve">☐ Are the actions measurable and linked to AC4?</w:t>
      </w:r>
    </w:p>
    <w:p>
      <w:pPr>
        <w:numPr>
          <w:ilvl w:val="0"/>
          <w:numId w:val="1028"/>
        </w:numPr>
        <w:pStyle w:val="Compact"/>
      </w:pPr>
      <w:r>
        <w:t xml:space="preserve">☐ Is there any sentence that could belong to anyone? If so, rewrite or cut it.</w:t>
      </w:r>
    </w:p>
    <w:p>
      <w:pPr>
        <w:pStyle w:val="FirstParagraph"/>
      </w:pPr>
      <w:r>
        <w:rPr>
          <w:bCs/>
          <w:b/>
        </w:rPr>
        <w:t xml:space="preserve">Task 2</w:t>
      </w:r>
    </w:p>
    <w:p>
      <w:pPr>
        <w:numPr>
          <w:ilvl w:val="0"/>
          <w:numId w:val="1029"/>
        </w:numPr>
        <w:pStyle w:val="Compact"/>
      </w:pPr>
      <w:r>
        <w:t xml:space="preserve">☐ Do I say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each theory was chosen?</w:t>
      </w:r>
    </w:p>
    <w:p>
      <w:pPr>
        <w:numPr>
          <w:ilvl w:val="0"/>
          <w:numId w:val="1029"/>
        </w:numPr>
        <w:pStyle w:val="Compact"/>
      </w:pPr>
      <w:r>
        <w:t xml:space="preserve">☐ Is the leadership vs management distinction treated as contested?</w:t>
      </w:r>
    </w:p>
    <w:p>
      <w:pPr>
        <w:numPr>
          <w:ilvl w:val="0"/>
          <w:numId w:val="1029"/>
        </w:numPr>
        <w:pStyle w:val="Compact"/>
      </w:pPr>
      <w:r>
        <w:t xml:space="preserve">☐ Is the real-world example linked to theory and not just described?</w:t>
      </w:r>
    </w:p>
    <w:p>
      <w:pPr>
        <w:numPr>
          <w:ilvl w:val="0"/>
          <w:numId w:val="1029"/>
        </w:numPr>
        <w:pStyle w:val="Compact"/>
      </w:pPr>
      <w:r>
        <w:t xml:space="preserve">☐ Is the leader's selection criterion-based, with alternatives rejected?</w:t>
      </w:r>
    </w:p>
    <w:p>
      <w:pPr>
        <w:numPr>
          <w:ilvl w:val="0"/>
          <w:numId w:val="1029"/>
        </w:numPr>
        <w:pStyle w:val="Compact"/>
      </w:pPr>
      <w:r>
        <w:t xml:space="preserve">☐ Are the lens and its limits explicit?</w:t>
      </w:r>
    </w:p>
    <w:p>
      <w:pPr>
        <w:numPr>
          <w:ilvl w:val="0"/>
          <w:numId w:val="1029"/>
        </w:numPr>
        <w:pStyle w:val="Compact"/>
      </w:pPr>
      <w:r>
        <w:t xml:space="preserve">☐ Does the plan read as a single argument across AC1 and AC3?</w:t>
      </w:r>
    </w:p>
    <w:p>
      <w:pPr>
        <w:pStyle w:val="FirstParagraph"/>
      </w:pPr>
      <w:r>
        <w:rPr>
          <w:bCs/>
          <w:b/>
        </w:rPr>
        <w:t xml:space="preserve">Referencing and format</w:t>
      </w:r>
    </w:p>
    <w:p>
      <w:pPr>
        <w:numPr>
          <w:ilvl w:val="0"/>
          <w:numId w:val="1030"/>
        </w:numPr>
        <w:pStyle w:val="Compact"/>
      </w:pPr>
      <w:r>
        <w:t xml:space="preserve">☐ Every in-text citation is in the list, and every list entry is cited</w:t>
      </w:r>
    </w:p>
    <w:p>
      <w:pPr>
        <w:numPr>
          <w:ilvl w:val="0"/>
          <w:numId w:val="1030"/>
        </w:numPr>
        <w:pStyle w:val="Compact"/>
      </w:pPr>
      <w:r>
        <w:t xml:space="preserve">☐ No unverified statistic appears anywhere</w:t>
      </w:r>
    </w:p>
    <w:p>
      <w:pPr>
        <w:numPr>
          <w:ilvl w:val="0"/>
          <w:numId w:val="1030"/>
        </w:numPr>
        <w:pStyle w:val="Compact"/>
      </w:pPr>
      <w:r>
        <w:t xml:space="preserve">☐ Mix of academic and credible business sources</w:t>
      </w:r>
    </w:p>
    <w:p>
      <w:pPr>
        <w:numPr>
          <w:ilvl w:val="0"/>
          <w:numId w:val="1030"/>
        </w:numPr>
        <w:pStyle w:val="Compact"/>
      </w:pPr>
      <w:r>
        <w:t xml:space="preserve">☐ Harvard format is consistent, and I can explain every source if asked at a viva</w:t>
      </w:r>
    </w:p>
    <w:p>
      <w:pPr>
        <w:numPr>
          <w:ilvl w:val="0"/>
          <w:numId w:val="1030"/>
        </w:numPr>
        <w:pStyle w:val="Compact"/>
      </w:pPr>
      <w:r>
        <w:t xml:space="preserve">☐ Final word count is at most 800</w:t>
      </w:r>
    </w:p>
    <w:p>
      <w:r>
        <w:pict>
          <v:rect style="width:0;height:1.5pt" o:hralign="center" o:hrstd="t" o:hr="t"/>
        </w:pict>
      </w:r>
    </w:p>
    <w:bookmarkEnd w:id="36"/>
    <w:bookmarkStart w:id="37" w:name="X3027559d4b8b04d637affb69809bea62fb83111"/>
    <w:p>
      <w:pPr>
        <w:pStyle w:val="Heading2"/>
      </w:pPr>
      <w:r>
        <w:t xml:space="preserve">7. Suggested workflow</w:t>
      </w:r>
    </w:p>
    <w:p>
      <w:pPr>
        <w:numPr>
          <w:ilvl w:val="0"/>
          <w:numId w:val="1031"/>
        </w:numPr>
        <w:pStyle w:val="Compact"/>
      </w:pPr>
      <w:r>
        <w:t xml:space="preserve">Do the Week 4 evidence-gathering: your notes, scores, feedback. This is your Task 1 raw material.</w:t>
      </w:r>
    </w:p>
    <w:p>
      <w:pPr>
        <w:numPr>
          <w:ilvl w:val="0"/>
          <w:numId w:val="1031"/>
        </w:numPr>
        <w:pStyle w:val="Compact"/>
      </w:pPr>
      <w:r>
        <w:t xml:space="preserve">Read the core sources you will cite (Goleman, Antonakis et al., Kotter, Zaleznik, Crenshaw, Rosette et al.) and note one critique each.</w:t>
      </w:r>
    </w:p>
    <w:p>
      <w:pPr>
        <w:numPr>
          <w:ilvl w:val="0"/>
          <w:numId w:val="1031"/>
        </w:numPr>
        <w:pStyle w:val="Compact"/>
      </w:pPr>
      <w:r>
        <w:t xml:space="preserve">Draft Task 1 at about 320 words, then cut to 295.</w:t>
      </w:r>
    </w:p>
    <w:p>
      <w:pPr>
        <w:numPr>
          <w:ilvl w:val="0"/>
          <w:numId w:val="1031"/>
        </w:numPr>
        <w:pStyle w:val="Compact"/>
      </w:pPr>
      <w:r>
        <w:t xml:space="preserve">Draft Task 2 at about 540 words, then cut to 495.</w:t>
      </w:r>
    </w:p>
    <w:p>
      <w:pPr>
        <w:numPr>
          <w:ilvl w:val="0"/>
          <w:numId w:val="1031"/>
        </w:numPr>
        <w:pStyle w:val="Compact"/>
      </w:pPr>
      <w:r>
        <w:t xml:space="preserve">Build the reference list from what you actually cited.</w:t>
      </w:r>
    </w:p>
    <w:p>
      <w:pPr>
        <w:numPr>
          <w:ilvl w:val="0"/>
          <w:numId w:val="1031"/>
        </w:numPr>
        <w:pStyle w:val="Compact"/>
      </w:pPr>
      <w:r>
        <w:t xml:space="preserve">Run the section 6 audit.</w:t>
      </w:r>
    </w:p>
    <w:p>
      <w:pPr>
        <w:numPr>
          <w:ilvl w:val="0"/>
          <w:numId w:val="1031"/>
        </w:numPr>
        <w:pStyle w:val="Compact"/>
      </w:pPr>
      <w:r>
        <w:t xml:space="preserve">If you use AI, use it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for a draft review or language corrections, keep the prompts, and declare it.</w:t>
      </w:r>
    </w:p>
    <w:p>
      <w:pPr>
        <w:numPr>
          <w:ilvl w:val="0"/>
          <w:numId w:val="1031"/>
        </w:numPr>
        <w:pStyle w:val="Compact"/>
      </w:pPr>
      <w:r>
        <w:t xml:space="preserve">Complete the cover sheet, then submit via Turnitin before the deadline.</w:t>
      </w:r>
    </w:p>
    <w:p>
      <w:r>
        <w:pict>
          <v:rect style="width:0;height:1.5pt" o:hralign="center" o:hrstd="t" o:hr="t"/>
        </w:pict>
      </w:r>
    </w:p>
    <w:bookmarkEnd w:id="37"/>
    <w:bookmarkStart w:id="38" w:name="X55024396e0adb8a29d593d0409d6bce9548dc57"/>
    <w:p>
      <w:pPr>
        <w:pStyle w:val="Heading2"/>
      </w:pPr>
      <w:r>
        <w:t xml:space="preserve">8. Open items for you</w:t>
      </w:r>
    </w:p>
    <w:p>
      <w:pPr>
        <w:numPr>
          <w:ilvl w:val="0"/>
          <w:numId w:val="1032"/>
        </w:numPr>
        <w:pStyle w:val="Compact"/>
      </w:pPr>
      <w:r>
        <w:t xml:space="preserve">Paste</w:t>
      </w:r>
      <w:r>
        <w:t xml:space="preserve"> </w:t>
      </w:r>
      <w:r>
        <w:rPr>
          <w:bCs/>
          <w:b/>
        </w:rPr>
        <w:t xml:space="preserve">LO1–LO5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summative marking bands</w:t>
      </w:r>
      <w:r>
        <w:t xml:space="preserve"> </w:t>
      </w:r>
      <w:r>
        <w:t xml:space="preserve">so I can tighten the mapping.</w:t>
      </w:r>
    </w:p>
    <w:p>
      <w:pPr>
        <w:numPr>
          <w:ilvl w:val="0"/>
          <w:numId w:val="1032"/>
        </w:numPr>
        <w:pStyle w:val="Compact"/>
      </w:pPr>
      <w:r>
        <w:t xml:space="preserve">Confirm</w:t>
      </w:r>
      <w:r>
        <w:t xml:space="preserve"> </w:t>
      </w:r>
      <w:r>
        <w:rPr>
          <w:bCs/>
          <w:b/>
        </w:rPr>
        <w:t xml:space="preserve">your own Week 4 evidence</w:t>
      </w:r>
      <w:r>
        <w:t xml:space="preserve"> </w:t>
      </w:r>
      <w:r>
        <w:t xml:space="preserve">(your EI results, scenario or feedback), because Task 1 must be built from your real experience.</w:t>
      </w:r>
    </w:p>
    <w:p>
      <w:pPr>
        <w:numPr>
          <w:ilvl w:val="0"/>
          <w:numId w:val="1032"/>
        </w:numPr>
        <w:pStyle w:val="Compact"/>
      </w:pPr>
      <w:r>
        <w:t xml:space="preserve">Confirm the</w:t>
      </w:r>
      <w:r>
        <w:t xml:space="preserve"> </w:t>
      </w:r>
      <w:r>
        <w:rPr>
          <w:bCs/>
          <w:b/>
        </w:rPr>
        <w:t xml:space="preserve">leader choice</w:t>
      </w:r>
      <w:r>
        <w:t xml:space="preserve"> </w:t>
      </w:r>
      <w:r>
        <w:t xml:space="preserve">(Nooyi recommended, Nadella as fallback) or tell me yours.</w:t>
      </w:r>
    </w:p>
    <w:p>
      <w:pPr>
        <w:numPr>
          <w:ilvl w:val="0"/>
          <w:numId w:val="1032"/>
        </w:numPr>
        <w:pStyle w:val="Compact"/>
      </w:pPr>
      <w:r>
        <w:t xml:space="preserve">Confirm the</w:t>
      </w:r>
      <w:r>
        <w:t xml:space="preserve"> </w:t>
      </w:r>
      <w:r>
        <w:rPr>
          <w:bCs/>
          <w:b/>
        </w:rPr>
        <w:t xml:space="preserve">edition</w:t>
      </w:r>
      <w:r>
        <w:t xml:space="preserve"> </w:t>
      </w:r>
      <w:r>
        <w:t xml:space="preserve">of your core textbook, so the reference list is exact.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2026-10-14T14:47:50Z</dcterms:created>
  <dcterms:modified xsi:type="dcterms:W3CDTF">2026-10-14T14:47:50Z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