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Policy Handbook</w:t>
      </w:r>
    </w:p>
    <w:p>
      <w:r>
        <w:t>Acme Corp (fictional)</w:t>
      </w:r>
    </w:p>
    <w:p>
      <w:pPr>
        <w:pStyle w:val="Heading1"/>
      </w:pPr>
      <w:r>
        <w:t>Working Hours</w:t>
      </w:r>
    </w:p>
    <w:p>
      <w:r>
        <w:t>Standard hours are 9:30 AM to 6:30 PM, Monday to Friday.</w:t>
      </w:r>
    </w:p>
    <w:p>
      <w:pPr>
        <w:pStyle w:val="ListBullet"/>
      </w:pPr>
      <w:r>
        <w:t>Flexible start between 8:30 and 10:30 AM</w:t>
      </w:r>
    </w:p>
    <w:p>
      <w:pPr>
        <w:pStyle w:val="ListBullet"/>
      </w:pPr>
      <w:r>
        <w:t>Hybrid: up to 2 remote days per week</w:t>
      </w:r>
    </w:p>
    <w:p>
      <w:pPr>
        <w:pStyle w:val="Heading1"/>
      </w:pPr>
      <w:r>
        <w:t>Leave Policy</w:t>
      </w:r>
    </w:p>
    <w:p>
      <w:pPr>
        <w:pStyle w:val="ListBullet"/>
      </w:pPr>
      <w:r>
        <w:t>18 paid leaves per year</w:t>
      </w:r>
    </w:p>
    <w:p>
      <w:pPr>
        <w:pStyle w:val="ListBullet"/>
      </w:pPr>
      <w:r>
        <w:t>10 public holidays</w:t>
      </w:r>
    </w:p>
    <w:p>
      <w:pPr>
        <w:pStyle w:val="ListBullet"/>
      </w:pPr>
      <w:r>
        <w:t>26 weeks maternity, 2 weeks paternity leave</w:t>
      </w:r>
    </w:p>
    <w:p>
      <w:pPr>
        <w:pStyle w:val="Heading1"/>
      </w:pPr>
      <w:r>
        <w:t>Code of Conduct</w:t>
      </w:r>
    </w:p>
    <w:p>
      <w:r>
        <w:t>All employees must treat colleagues with respect and protect confidential company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