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Strategy 2027</w:t>
      </w:r>
    </w:p>
    <w:p>
      <w:r>
        <w:t>Acme Corp (fictional)</w:t>
      </w:r>
    </w:p>
    <w:p>
      <w:pPr>
        <w:pStyle w:val="Heading1"/>
      </w:pPr>
      <w:r>
        <w:t>Goals</w:t>
      </w:r>
    </w:p>
    <w:p>
      <w:pPr>
        <w:pStyle w:val="ListBullet"/>
      </w:pPr>
      <w:r>
        <w:t>Increase qualified leads by 40%</w:t>
      </w:r>
    </w:p>
    <w:p>
      <w:pPr>
        <w:pStyle w:val="ListBullet"/>
      </w:pPr>
      <w:r>
        <w:t>Grow LinkedIn followers to 50k</w:t>
      </w:r>
    </w:p>
    <w:p>
      <w:pPr>
        <w:pStyle w:val="ListBullet"/>
      </w:pPr>
      <w:r>
        <w:t>Launch a customer community</w:t>
      </w:r>
    </w:p>
    <w:p>
      <w:pPr>
        <w:pStyle w:val="Heading1"/>
      </w:pPr>
      <w:r>
        <w:t>Channels</w:t>
      </w:r>
    </w:p>
    <w:p>
      <w:r>
        <w:t>Paid search, LinkedIn, webinars, partner events and content marketing.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