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15A" w:rsidRDefault="004D315A">
      <w:pPr>
        <w:spacing w:after="0" w:line="259" w:lineRule="auto"/>
        <w:ind w:left="-1440" w:right="10801" w:firstLine="0"/>
      </w:pPr>
    </w:p>
    <w:tbl>
      <w:tblPr>
        <w:tblStyle w:val="TableGrid"/>
        <w:tblW w:w="11273" w:type="dxa"/>
        <w:tblInd w:w="-956" w:type="dxa"/>
        <w:tblCellMar>
          <w:top w:w="1019" w:type="dxa"/>
          <w:left w:w="927" w:type="dxa"/>
          <w:bottom w:w="0" w:type="dxa"/>
          <w:right w:w="927" w:type="dxa"/>
        </w:tblCellMar>
        <w:tblLook w:val="04A0" w:firstRow="1" w:lastRow="0" w:firstColumn="1" w:lastColumn="0" w:noHBand="0" w:noVBand="1"/>
      </w:tblPr>
      <w:tblGrid>
        <w:gridCol w:w="11273"/>
      </w:tblGrid>
      <w:tr w:rsidR="004D315A">
        <w:trPr>
          <w:trHeight w:val="14873"/>
        </w:trPr>
        <w:tc>
          <w:tcPr>
            <w:tcW w:w="11273" w:type="dxa"/>
            <w:tcBorders>
              <w:top w:val="single" w:sz="4" w:space="0" w:color="000000"/>
              <w:left w:val="single" w:sz="4" w:space="0" w:color="000000"/>
              <w:bottom w:val="single" w:sz="4" w:space="0" w:color="000000"/>
              <w:right w:val="single" w:sz="4" w:space="0" w:color="000000"/>
            </w:tcBorders>
          </w:tcPr>
          <w:p w:rsidR="004D315A" w:rsidRDefault="00000000">
            <w:pPr>
              <w:spacing w:after="29" w:line="239" w:lineRule="auto"/>
              <w:ind w:left="1469" w:right="3070" w:firstLine="1441"/>
              <w:jc w:val="both"/>
            </w:pPr>
            <w:r>
              <w:rPr>
                <w:b/>
                <w:sz w:val="18"/>
              </w:rPr>
              <w:lastRenderedPageBreak/>
              <w:t xml:space="preserve">Kishore </w:t>
            </w:r>
            <w:proofErr w:type="spellStart"/>
            <w:r>
              <w:rPr>
                <w:b/>
                <w:sz w:val="18"/>
              </w:rPr>
              <w:t>Kesanapally</w:t>
            </w:r>
            <w:proofErr w:type="spellEnd"/>
            <w:r>
              <w:rPr>
                <w:b/>
                <w:sz w:val="18"/>
              </w:rPr>
              <w:t xml:space="preserve"> </w:t>
            </w:r>
            <w:r>
              <w:rPr>
                <w:sz w:val="18"/>
              </w:rPr>
              <w:t>5104619984</w:t>
            </w:r>
            <w:r>
              <w:rPr>
                <w:rFonts w:ascii="Segoe UI Symbol" w:eastAsia="Segoe UI Symbol" w:hAnsi="Segoe UI Symbol" w:cs="Segoe UI Symbol"/>
                <w:sz w:val="18"/>
              </w:rPr>
              <w:t>•</w:t>
            </w:r>
            <w:r>
              <w:rPr>
                <w:sz w:val="18"/>
              </w:rPr>
              <w:t xml:space="preserve"> </w:t>
            </w:r>
            <w:r>
              <w:rPr>
                <w:b/>
                <w:color w:val="0563C1"/>
                <w:sz w:val="18"/>
                <w:u w:val="single" w:color="0563C1"/>
              </w:rPr>
              <w:t>Kishore.AIanalytics@gmail.com</w:t>
            </w:r>
            <w:r>
              <w:rPr>
                <w:rFonts w:ascii="Segoe UI Symbol" w:eastAsia="Segoe UI Symbol" w:hAnsi="Segoe UI Symbol" w:cs="Segoe UI Symbol"/>
                <w:sz w:val="18"/>
              </w:rPr>
              <w:t>•</w:t>
            </w:r>
            <w:r>
              <w:rPr>
                <w:sz w:val="18"/>
              </w:rPr>
              <w:t xml:space="preserve"> Fremont, CA </w:t>
            </w:r>
          </w:p>
          <w:p w:rsidR="004D315A" w:rsidRDefault="00000000">
            <w:pPr>
              <w:spacing w:after="0" w:line="259" w:lineRule="auto"/>
              <w:ind w:left="0" w:right="660" w:firstLine="0"/>
              <w:jc w:val="center"/>
            </w:pPr>
            <w:r>
              <w:rPr>
                <w:rFonts w:ascii="Times New Roman" w:eastAsia="Times New Roman" w:hAnsi="Times New Roman" w:cs="Times New Roman"/>
                <w:sz w:val="24"/>
              </w:rPr>
              <w:t xml:space="preserve"> </w:t>
            </w:r>
          </w:p>
          <w:p w:rsidR="004D315A" w:rsidRDefault="00000000">
            <w:pPr>
              <w:spacing w:after="0" w:line="259" w:lineRule="auto"/>
              <w:ind w:left="29" w:firstLine="0"/>
            </w:pPr>
            <w:r>
              <w:rPr>
                <w:rFonts w:ascii="Times New Roman" w:eastAsia="Times New Roman" w:hAnsi="Times New Roman" w:cs="Times New Roman"/>
                <w:b/>
              </w:rPr>
              <w:t xml:space="preserve">VICE PRESIDENT OF DATA &amp; ANALYTICS/BI </w:t>
            </w:r>
          </w:p>
          <w:p w:rsidR="004D315A" w:rsidRDefault="00000000">
            <w:pPr>
              <w:spacing w:after="31" w:line="259" w:lineRule="auto"/>
              <w:ind w:left="0" w:firstLine="0"/>
            </w:pPr>
            <w:r>
              <w:rPr>
                <w:rFonts w:ascii="Calibri" w:eastAsia="Calibri" w:hAnsi="Calibri" w:cs="Calibri"/>
                <w:noProof/>
                <w:sz w:val="22"/>
              </w:rPr>
              <mc:AlternateContent>
                <mc:Choice Requires="wpg">
                  <w:drawing>
                    <wp:inline distT="0" distB="0" distL="0" distR="0">
                      <wp:extent cx="5981065" cy="9144"/>
                      <wp:effectExtent l="0" t="0" r="0" b="0"/>
                      <wp:docPr id="5359" name="Group 535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73" name="Shape 637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4" name="Shape 6374"/>
                              <wps:cNvSpPr/>
                              <wps:spPr>
                                <a:xfrm>
                                  <a:off x="0" y="609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59" style="width:470.95pt;height:0.719971pt;mso-position-horizontal-relative:char;mso-position-vertical-relative:line" coordsize="59810,91">
                      <v:shape id="Shape 6375" style="position:absolute;width:59810;height:91;left:0;top:0;" coordsize="5981065,9144" path="m0,0l5981065,0l5981065,9144l0,9144l0,0">
                        <v:stroke weight="0pt" endcap="flat" joinstyle="miter" miterlimit="10" on="false" color="#000000" opacity="0"/>
                        <v:fill on="true" color="#000000"/>
                      </v:shape>
                      <v:shape id="Shape 6376" style="position:absolute;width:59810;height:91;left:0;top:60;" coordsize="5981065,9144" path="m0,0l5981065,0l5981065,9144l0,9144l0,0">
                        <v:stroke weight="0pt" endcap="flat" joinstyle="miter" miterlimit="10" on="false" color="#000000" opacity="0"/>
                        <v:fill on="true" color="#000000"/>
                      </v:shape>
                    </v:group>
                  </w:pict>
                </mc:Fallback>
              </mc:AlternateContent>
            </w:r>
          </w:p>
          <w:p w:rsidR="004D315A" w:rsidRDefault="00000000">
            <w:pPr>
              <w:spacing w:after="0" w:line="259" w:lineRule="auto"/>
              <w:ind w:left="29" w:firstLine="0"/>
            </w:pPr>
            <w:r>
              <w:rPr>
                <w:rFonts w:ascii="Times New Roman" w:eastAsia="Times New Roman" w:hAnsi="Times New Roman" w:cs="Times New Roman"/>
                <w:sz w:val="28"/>
              </w:rPr>
              <w:t xml:space="preserve"> </w:t>
            </w:r>
          </w:p>
          <w:p w:rsidR="004D315A" w:rsidRDefault="00000000">
            <w:pPr>
              <w:spacing w:after="0" w:line="259" w:lineRule="auto"/>
              <w:ind w:left="29" w:firstLine="0"/>
            </w:pPr>
            <w:r>
              <w:rPr>
                <w:sz w:val="22"/>
              </w:rPr>
              <w:t xml:space="preserve">Executive Profile </w:t>
            </w:r>
          </w:p>
          <w:p w:rsidR="004D315A" w:rsidRDefault="00000000">
            <w:pPr>
              <w:spacing w:after="71" w:line="259" w:lineRule="auto"/>
              <w:ind w:left="0" w:firstLine="0"/>
            </w:pPr>
            <w:r>
              <w:rPr>
                <w:rFonts w:ascii="Calibri" w:eastAsia="Calibri" w:hAnsi="Calibri" w:cs="Calibri"/>
                <w:noProof/>
                <w:sz w:val="22"/>
              </w:rPr>
              <mc:AlternateContent>
                <mc:Choice Requires="wpg">
                  <w:drawing>
                    <wp:inline distT="0" distB="0" distL="0" distR="0">
                      <wp:extent cx="5981065" cy="9144"/>
                      <wp:effectExtent l="0" t="0" r="0" b="0"/>
                      <wp:docPr id="5360" name="Group 536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77" name="Shape 63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60" style="width:470.95pt;height:0.719971pt;mso-position-horizontal-relative:char;mso-position-vertical-relative:line" coordsize="59810,91">
                      <v:shape id="Shape 637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D315A" w:rsidRDefault="00000000">
            <w:pPr>
              <w:spacing w:after="0" w:line="240" w:lineRule="auto"/>
              <w:ind w:left="29" w:firstLine="0"/>
            </w:pPr>
            <w:r>
              <w:t xml:space="preserve">Data and Analytics business leader with 20 years of experience leveraging data and analytics to drive decision-making in the areas of Semi-Conductor, Retail, sales, marketing and operations, Financial Services. Pioneer of next generation technology solutions (Big Data, Cloud Computing, Data &amp; Analytics, Data Science, Artificial Intelligence, RPA) that reduces costs, promote collaboration or create new financial products. Skilled at leading analytics organizations, developing their skills, upgrading their systems, and harnessing their power to transform business processes. Experienced in managing diversity teams and working across various lines of businesses, C- level executives and stakeholders.  </w:t>
            </w:r>
          </w:p>
          <w:p w:rsidR="004D315A" w:rsidRDefault="00000000">
            <w:pPr>
              <w:spacing w:after="0" w:line="259" w:lineRule="auto"/>
              <w:ind w:left="29" w:firstLine="0"/>
            </w:pPr>
            <w:r>
              <w:rPr>
                <w:b/>
              </w:rPr>
              <w:t xml:space="preserve"> </w:t>
            </w:r>
          </w:p>
          <w:p w:rsidR="004D315A" w:rsidRDefault="00000000">
            <w:pPr>
              <w:spacing w:after="0" w:line="259" w:lineRule="auto"/>
              <w:ind w:left="29" w:firstLine="0"/>
            </w:pPr>
            <w:r>
              <w:rPr>
                <w:b/>
                <w:u w:val="single" w:color="000000"/>
              </w:rPr>
              <w:t>CORE COMPETENCIES:</w:t>
            </w:r>
            <w:r>
              <w:rPr>
                <w:b/>
              </w:rPr>
              <w:t xml:space="preserve"> </w:t>
            </w:r>
          </w:p>
          <w:p w:rsidR="004D315A" w:rsidRDefault="00000000">
            <w:pPr>
              <w:spacing w:after="14" w:line="259" w:lineRule="auto"/>
              <w:ind w:left="29" w:firstLine="0"/>
            </w:pPr>
            <w:r>
              <w:t xml:space="preserve"> </w:t>
            </w:r>
          </w:p>
          <w:p w:rsidR="004D315A" w:rsidRDefault="00000000">
            <w:pPr>
              <w:numPr>
                <w:ilvl w:val="0"/>
                <w:numId w:val="5"/>
              </w:numPr>
              <w:spacing w:after="0" w:line="272" w:lineRule="auto"/>
              <w:ind w:hanging="360"/>
            </w:pPr>
            <w:r>
              <w:t xml:space="preserve">Predictive and Prescriptive analytics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Managing global teams &amp; Staffing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Financial Risk Management, Security and </w:t>
            </w:r>
            <w:r>
              <w:tab/>
              <w:t xml:space="preserve">Resource Management </w:t>
            </w:r>
          </w:p>
          <w:p w:rsidR="004D315A" w:rsidRDefault="00000000">
            <w:pPr>
              <w:tabs>
                <w:tab w:val="center" w:pos="986"/>
                <w:tab w:val="center" w:pos="5476"/>
                <w:tab w:val="center" w:pos="7308"/>
              </w:tabs>
              <w:spacing w:after="14" w:line="259" w:lineRule="auto"/>
              <w:ind w:left="0" w:firstLine="0"/>
            </w:pPr>
            <w:r>
              <w:rPr>
                <w:rFonts w:ascii="Calibri" w:eastAsia="Calibri" w:hAnsi="Calibri" w:cs="Calibri"/>
                <w:sz w:val="22"/>
              </w:rPr>
              <w:tab/>
            </w:r>
            <w:r>
              <w:t xml:space="preserve">Audit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Executive Dashboards &amp; Roadmap </w:t>
            </w:r>
          </w:p>
          <w:p w:rsidR="004D315A" w:rsidRDefault="00000000">
            <w:pPr>
              <w:numPr>
                <w:ilvl w:val="0"/>
                <w:numId w:val="5"/>
              </w:numPr>
              <w:spacing w:after="14" w:line="259" w:lineRule="auto"/>
              <w:ind w:hanging="360"/>
            </w:pPr>
            <w:r>
              <w:t xml:space="preserve">Experience in Semiconductor industries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Budgeting and Financial Management </w:t>
            </w:r>
          </w:p>
          <w:p w:rsidR="004D315A" w:rsidRDefault="00000000">
            <w:pPr>
              <w:tabs>
                <w:tab w:val="center" w:pos="2382"/>
                <w:tab w:val="center" w:pos="5476"/>
                <w:tab w:val="center" w:pos="7287"/>
              </w:tabs>
              <w:spacing w:after="0" w:line="259" w:lineRule="auto"/>
              <w:ind w:left="0" w:firstLine="0"/>
            </w:pPr>
            <w:r>
              <w:rPr>
                <w:rFonts w:ascii="Calibri" w:eastAsia="Calibri" w:hAnsi="Calibri" w:cs="Calibri"/>
                <w:sz w:val="22"/>
              </w:rPr>
              <w:tab/>
            </w:r>
            <w:r>
              <w:t xml:space="preserve">Viavi (JDSU), Lam Research and Cisco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Cloud analytics (Google &amp; AWS &amp; </w:t>
            </w:r>
          </w:p>
          <w:p w:rsidR="004D315A" w:rsidRDefault="00000000">
            <w:pPr>
              <w:tabs>
                <w:tab w:val="center" w:pos="1128"/>
                <w:tab w:val="center" w:pos="6120"/>
              </w:tabs>
              <w:spacing w:after="13" w:line="259" w:lineRule="auto"/>
              <w:ind w:left="0" w:firstLine="0"/>
            </w:pPr>
            <w:r>
              <w:rPr>
                <w:rFonts w:ascii="Calibri" w:eastAsia="Calibri" w:hAnsi="Calibri" w:cs="Calibri"/>
                <w:sz w:val="22"/>
              </w:rPr>
              <w:tab/>
            </w:r>
            <w:r>
              <w:t xml:space="preserve">Systems. </w:t>
            </w:r>
            <w:r>
              <w:tab/>
              <w:t xml:space="preserve">AZURE) </w:t>
            </w:r>
          </w:p>
          <w:p w:rsidR="004D315A" w:rsidRDefault="00000000">
            <w:pPr>
              <w:numPr>
                <w:ilvl w:val="0"/>
                <w:numId w:val="5"/>
              </w:numPr>
              <w:spacing w:after="14" w:line="259" w:lineRule="auto"/>
              <w:ind w:hanging="360"/>
            </w:pPr>
            <w:r>
              <w:t xml:space="preserve">Result oriented P &amp; L responsibility.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Big Data Technology </w:t>
            </w:r>
          </w:p>
          <w:p w:rsidR="004D315A" w:rsidRDefault="00000000">
            <w:pPr>
              <w:numPr>
                <w:ilvl w:val="0"/>
                <w:numId w:val="5"/>
              </w:numPr>
              <w:spacing w:after="14" w:line="259" w:lineRule="auto"/>
              <w:ind w:hanging="360"/>
            </w:pPr>
            <w:r>
              <w:t xml:space="preserve">Enterprise Data management policy,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Business Intelligence </w:t>
            </w:r>
          </w:p>
          <w:p w:rsidR="004D315A" w:rsidRDefault="00000000">
            <w:pPr>
              <w:numPr>
                <w:ilvl w:val="0"/>
                <w:numId w:val="5"/>
              </w:numPr>
              <w:spacing w:after="12" w:line="259" w:lineRule="auto"/>
              <w:ind w:hanging="360"/>
            </w:pPr>
            <w:r>
              <w:t xml:space="preserve">ITIL, Agile and DAMA principles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Data Governance </w:t>
            </w:r>
          </w:p>
          <w:p w:rsidR="004D315A" w:rsidRDefault="00000000">
            <w:pPr>
              <w:numPr>
                <w:ilvl w:val="0"/>
                <w:numId w:val="5"/>
              </w:numPr>
              <w:spacing w:after="14" w:line="259" w:lineRule="auto"/>
              <w:ind w:hanging="360"/>
            </w:pPr>
            <w:r>
              <w:t xml:space="preserve">Cloud Architecture on AWS HPC and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GDPR &amp; CCPA </w:t>
            </w:r>
          </w:p>
          <w:p w:rsidR="004D315A" w:rsidRDefault="00000000">
            <w:pPr>
              <w:tabs>
                <w:tab w:val="center" w:pos="1535"/>
                <w:tab w:val="center" w:pos="5476"/>
                <w:tab w:val="center" w:pos="6575"/>
              </w:tabs>
              <w:spacing w:after="0" w:line="259" w:lineRule="auto"/>
              <w:ind w:left="0" w:firstLine="0"/>
            </w:pPr>
            <w:r>
              <w:rPr>
                <w:rFonts w:ascii="Calibri" w:eastAsia="Calibri" w:hAnsi="Calibri" w:cs="Calibri"/>
                <w:sz w:val="22"/>
              </w:rPr>
              <w:tab/>
            </w:r>
            <w:r>
              <w:t xml:space="preserve">Azure on big data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Data Visualization </w:t>
            </w:r>
          </w:p>
          <w:p w:rsidR="004D315A" w:rsidRDefault="00000000">
            <w:pPr>
              <w:spacing w:after="0" w:line="259" w:lineRule="auto"/>
              <w:ind w:left="749" w:firstLine="0"/>
            </w:pPr>
            <w:r>
              <w:t xml:space="preserve"> </w:t>
            </w:r>
            <w:r>
              <w:tab/>
              <w:t xml:space="preserve"> </w:t>
            </w:r>
          </w:p>
          <w:p w:rsidR="004D315A" w:rsidRDefault="00000000">
            <w:pPr>
              <w:spacing w:after="0" w:line="259" w:lineRule="auto"/>
              <w:ind w:left="29" w:firstLine="0"/>
            </w:pPr>
            <w:r>
              <w:rPr>
                <w:b/>
              </w:rPr>
              <w:t xml:space="preserve">PROFESSIONAL EXPERIENCE </w:t>
            </w:r>
          </w:p>
          <w:p w:rsidR="004D315A" w:rsidRDefault="00000000">
            <w:pPr>
              <w:spacing w:after="71" w:line="259" w:lineRule="auto"/>
              <w:ind w:left="0" w:firstLine="0"/>
            </w:pPr>
            <w:r>
              <w:rPr>
                <w:rFonts w:ascii="Calibri" w:eastAsia="Calibri" w:hAnsi="Calibri" w:cs="Calibri"/>
                <w:noProof/>
                <w:sz w:val="22"/>
              </w:rPr>
              <mc:AlternateContent>
                <mc:Choice Requires="wpg">
                  <w:drawing>
                    <wp:inline distT="0" distB="0" distL="0" distR="0">
                      <wp:extent cx="5981065" cy="9144"/>
                      <wp:effectExtent l="0" t="0" r="0" b="0"/>
                      <wp:docPr id="5361" name="Group 536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79" name="Shape 63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61" style="width:470.95pt;height:0.720001pt;mso-position-horizontal-relative:char;mso-position-vertical-relative:line" coordsize="59810,91">
                      <v:shape id="Shape 638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D315A" w:rsidRDefault="00000000">
            <w:pPr>
              <w:spacing w:after="0" w:line="259" w:lineRule="auto"/>
              <w:ind w:left="29" w:firstLine="0"/>
            </w:pPr>
            <w:r>
              <w:rPr>
                <w:b/>
              </w:rPr>
              <w:t xml:space="preserve"> </w:t>
            </w:r>
          </w:p>
          <w:p w:rsidR="004D315A" w:rsidRDefault="00000000">
            <w:pPr>
              <w:spacing w:after="0" w:line="240" w:lineRule="auto"/>
              <w:ind w:left="29" w:right="300" w:firstLine="0"/>
            </w:pPr>
            <w:r>
              <w:rPr>
                <w:b/>
              </w:rPr>
              <w:t xml:space="preserve">WELLS FARGO BANK, San Francisco, CA                                                     March 2019 to till date VP of Enterprise BI/Data Analytics &amp; Data Science </w:t>
            </w:r>
          </w:p>
          <w:p w:rsidR="004D315A" w:rsidRDefault="00000000">
            <w:pPr>
              <w:spacing w:after="0" w:line="259" w:lineRule="auto"/>
              <w:ind w:left="29" w:firstLine="0"/>
            </w:pPr>
            <w:r>
              <w:rPr>
                <w:b/>
              </w:rPr>
              <w:t xml:space="preserve"> </w:t>
            </w:r>
          </w:p>
          <w:p w:rsidR="004D315A" w:rsidRDefault="00000000">
            <w:pPr>
              <w:spacing w:after="0" w:line="240" w:lineRule="auto"/>
              <w:ind w:left="29" w:right="1137" w:firstLine="0"/>
            </w:pPr>
            <w:r>
              <w:t xml:space="preserve">To drive consistency, better align with the overall Wells Fargo vision and strategy, and reduce Future enterprise costs, the Tools work stream is conducting Analytic Tools evaluations. To develop an optimized list of enterprise supported and defined tools inclusive of all analytic Use cases.  </w:t>
            </w:r>
          </w:p>
          <w:p w:rsidR="004D315A" w:rsidRDefault="00000000">
            <w:pPr>
              <w:spacing w:after="38" w:line="241" w:lineRule="auto"/>
              <w:ind w:left="29" w:firstLine="0"/>
            </w:pPr>
            <w:r>
              <w:t>Current state (existing) tools recommendations will be leveraged to deliver new/emerging tools recommendations and an enterprise–wide analytic tools lifecycle Framework.</w:t>
            </w:r>
            <w:r>
              <w:rPr>
                <w:b/>
              </w:rPr>
              <w:t xml:space="preserve"> </w:t>
            </w:r>
          </w:p>
          <w:p w:rsidR="004D315A" w:rsidRDefault="00000000">
            <w:pPr>
              <w:numPr>
                <w:ilvl w:val="0"/>
                <w:numId w:val="5"/>
              </w:numPr>
              <w:spacing w:after="47" w:line="258" w:lineRule="auto"/>
              <w:ind w:hanging="360"/>
            </w:pPr>
            <w:r>
              <w:rPr>
                <w:rFonts w:ascii="Calibri" w:eastAsia="Calibri" w:hAnsi="Calibri" w:cs="Calibri"/>
                <w:sz w:val="22"/>
              </w:rPr>
              <w:t xml:space="preserve">Leading a global team (USA &amp; Bangalore) (100+) of data analysts, data scientists, data engineers, Product Managers, Project Managers, Directors, Scrum Masters, business analyst and data visualization specialists </w:t>
            </w:r>
          </w:p>
          <w:p w:rsidR="004D315A" w:rsidRDefault="00000000">
            <w:pPr>
              <w:numPr>
                <w:ilvl w:val="0"/>
                <w:numId w:val="5"/>
              </w:numPr>
              <w:spacing w:after="48" w:line="257" w:lineRule="auto"/>
              <w:ind w:hanging="360"/>
            </w:pPr>
            <w:r>
              <w:rPr>
                <w:rFonts w:ascii="Calibri" w:eastAsia="Calibri" w:hAnsi="Calibri" w:cs="Calibri"/>
                <w:sz w:val="22"/>
              </w:rPr>
              <w:t xml:space="preserve">Driving business strategy with data – driven insights derived techniques ranging from ad-hoc reporting to advanced customer analytics </w:t>
            </w:r>
          </w:p>
          <w:p w:rsidR="004D315A" w:rsidRDefault="00000000">
            <w:pPr>
              <w:numPr>
                <w:ilvl w:val="0"/>
                <w:numId w:val="5"/>
              </w:numPr>
              <w:spacing w:after="0" w:line="259" w:lineRule="auto"/>
              <w:ind w:hanging="360"/>
            </w:pPr>
            <w:r>
              <w:rPr>
                <w:rFonts w:ascii="Calibri" w:eastAsia="Calibri" w:hAnsi="Calibri" w:cs="Calibri"/>
                <w:sz w:val="22"/>
              </w:rPr>
              <w:lastRenderedPageBreak/>
              <w:t xml:space="preserve">Head of Big Data Analytics team setup to commercialize internal data and explore advanced technologies such as </w:t>
            </w:r>
            <w:proofErr w:type="spellStart"/>
            <w:r>
              <w:rPr>
                <w:rFonts w:ascii="Calibri" w:eastAsia="Calibri" w:hAnsi="Calibri" w:cs="Calibri"/>
                <w:sz w:val="22"/>
              </w:rPr>
              <w:t>MapR</w:t>
            </w:r>
            <w:proofErr w:type="spellEnd"/>
            <w:r>
              <w:rPr>
                <w:rFonts w:ascii="Calibri" w:eastAsia="Calibri" w:hAnsi="Calibri" w:cs="Calibri"/>
                <w:sz w:val="22"/>
              </w:rPr>
              <w:t xml:space="preserve"> Hadoop, GPU, Data Robot, Tableau Prep, Power BI, Thought spot, </w:t>
            </w:r>
          </w:p>
        </w:tc>
      </w:tr>
    </w:tbl>
    <w:p w:rsidR="004D315A" w:rsidRDefault="00000000">
      <w:pPr>
        <w:spacing w:after="47" w:line="258" w:lineRule="auto"/>
        <w:ind w:left="720" w:firstLine="0"/>
      </w:pPr>
      <w:r>
        <w:rPr>
          <w:rFonts w:ascii="Calibri" w:eastAsia="Calibri" w:hAnsi="Calibri" w:cs="Calibri"/>
          <w:sz w:val="22"/>
        </w:rPr>
        <w:lastRenderedPageBreak/>
        <w:t xml:space="preserve">Low code technologies like Microsoft Power vision, </w:t>
      </w:r>
      <w:proofErr w:type="spellStart"/>
      <w:r>
        <w:rPr>
          <w:rFonts w:ascii="Calibri" w:eastAsia="Calibri" w:hAnsi="Calibri" w:cs="Calibri"/>
          <w:sz w:val="22"/>
        </w:rPr>
        <w:t>Dremio</w:t>
      </w:r>
      <w:proofErr w:type="spellEnd"/>
      <w:r>
        <w:rPr>
          <w:rFonts w:ascii="Calibri" w:eastAsia="Calibri" w:hAnsi="Calibri" w:cs="Calibri"/>
          <w:sz w:val="22"/>
        </w:rPr>
        <w:t xml:space="preserve">, </w:t>
      </w:r>
      <w:proofErr w:type="spellStart"/>
      <w:r>
        <w:rPr>
          <w:rFonts w:ascii="Calibri" w:eastAsia="Calibri" w:hAnsi="Calibri" w:cs="Calibri"/>
          <w:sz w:val="22"/>
        </w:rPr>
        <w:t>Pyspark</w:t>
      </w:r>
      <w:proofErr w:type="spellEnd"/>
      <w:r>
        <w:rPr>
          <w:rFonts w:ascii="Calibri" w:eastAsia="Calibri" w:hAnsi="Calibri" w:cs="Calibri"/>
          <w:sz w:val="22"/>
        </w:rPr>
        <w:t xml:space="preserve">, Driver less AI, Data bricks and other analytics tools </w:t>
      </w:r>
    </w:p>
    <w:p w:rsidR="004D315A" w:rsidRDefault="00000000">
      <w:pPr>
        <w:numPr>
          <w:ilvl w:val="0"/>
          <w:numId w:val="1"/>
        </w:numPr>
        <w:spacing w:after="202" w:line="258" w:lineRule="auto"/>
        <w:ind w:right="1" w:hanging="360"/>
      </w:pPr>
      <w:r>
        <w:rPr>
          <w:rFonts w:ascii="Calibri" w:eastAsia="Calibri" w:hAnsi="Calibri" w:cs="Calibri"/>
          <w:sz w:val="22"/>
        </w:rPr>
        <w:t xml:space="preserve">Identified $200M in cost savings by delivering the Machine learning predictive models on fraud prevention, Credit Card Customer Churn, Merchant attrition and KYC </w:t>
      </w:r>
    </w:p>
    <w:p w:rsidR="004D315A" w:rsidRDefault="00000000">
      <w:pPr>
        <w:numPr>
          <w:ilvl w:val="0"/>
          <w:numId w:val="1"/>
        </w:numPr>
        <w:ind w:right="1" w:hanging="360"/>
      </w:pPr>
      <w:r>
        <w:t xml:space="preserve">Collaborated with regional teams and other countries within region to establish regional modeling standard, governance, and a set of umbrella modeling solutions and compliance with Analytics </w:t>
      </w:r>
      <w:proofErr w:type="spellStart"/>
      <w:r>
        <w:t>CoE</w:t>
      </w:r>
      <w:proofErr w:type="spellEnd"/>
      <w:r>
        <w:t xml:space="preserve"> standards to maintain analytics rigor and discipline.  </w:t>
      </w:r>
    </w:p>
    <w:p w:rsidR="004D315A" w:rsidRDefault="00000000">
      <w:pPr>
        <w:spacing w:after="14" w:line="259" w:lineRule="auto"/>
        <w:ind w:left="720" w:firstLine="0"/>
      </w:pPr>
      <w:r>
        <w:t xml:space="preserve"> </w:t>
      </w:r>
    </w:p>
    <w:p w:rsidR="004D315A" w:rsidRDefault="00000000">
      <w:pPr>
        <w:numPr>
          <w:ilvl w:val="0"/>
          <w:numId w:val="1"/>
        </w:numPr>
        <w:ind w:right="1" w:hanging="360"/>
      </w:pPr>
      <w:r>
        <w:t xml:space="preserve">Developed project plans, schedules, and vendor relationships to ensure projects are delivered with the highest quality and on time. </w:t>
      </w:r>
    </w:p>
    <w:p w:rsidR="004D315A" w:rsidRDefault="00000000">
      <w:pPr>
        <w:spacing w:after="14" w:line="259" w:lineRule="auto"/>
        <w:ind w:left="720" w:firstLine="0"/>
      </w:pPr>
      <w:r>
        <w:t xml:space="preserve"> </w:t>
      </w:r>
    </w:p>
    <w:p w:rsidR="004D315A" w:rsidRDefault="00000000">
      <w:pPr>
        <w:numPr>
          <w:ilvl w:val="0"/>
          <w:numId w:val="1"/>
        </w:numPr>
        <w:ind w:right="1" w:hanging="360"/>
      </w:pPr>
      <w:r>
        <w:t xml:space="preserve">Improved data visibility across the enterprise by leading a project that greatly improved business processes in the analyst and sales communities; provided training to more than 1000+ users for Business Intelligence, data analytics and Advanced Analytics solutions.  </w:t>
      </w:r>
    </w:p>
    <w:p w:rsidR="004D315A" w:rsidRDefault="00000000">
      <w:pPr>
        <w:spacing w:after="14" w:line="259" w:lineRule="auto"/>
        <w:ind w:left="720" w:firstLine="0"/>
      </w:pPr>
      <w:r>
        <w:t xml:space="preserve"> </w:t>
      </w:r>
    </w:p>
    <w:p w:rsidR="004D315A" w:rsidRDefault="00000000">
      <w:pPr>
        <w:numPr>
          <w:ilvl w:val="0"/>
          <w:numId w:val="1"/>
        </w:numPr>
        <w:ind w:right="1" w:hanging="360"/>
      </w:pPr>
      <w:r>
        <w:t xml:space="preserve">Inspired people to deliver company mission and 2021/22 vision on migrating to Azure Cloud Analytics and AUTOML and self-services tools and define the enterprise-wide Data ops data pipeline and Azure cloud migration strategy. </w:t>
      </w:r>
    </w:p>
    <w:p w:rsidR="004D315A" w:rsidRDefault="00000000">
      <w:pPr>
        <w:spacing w:after="14" w:line="259" w:lineRule="auto"/>
        <w:ind w:left="720" w:firstLine="0"/>
      </w:pPr>
      <w:r>
        <w:t xml:space="preserve"> </w:t>
      </w:r>
    </w:p>
    <w:p w:rsidR="004D315A" w:rsidRDefault="00000000">
      <w:pPr>
        <w:numPr>
          <w:ilvl w:val="0"/>
          <w:numId w:val="1"/>
        </w:numPr>
        <w:ind w:right="1" w:hanging="360"/>
      </w:pPr>
      <w:r>
        <w:t xml:space="preserve">Responsible for providing clear direction and guidance to data analytics team and personnel in meeting individual and overall KPIs for the team. </w:t>
      </w:r>
    </w:p>
    <w:p w:rsidR="004D315A" w:rsidRDefault="00000000">
      <w:pPr>
        <w:spacing w:after="14" w:line="259" w:lineRule="auto"/>
        <w:ind w:left="720" w:firstLine="0"/>
      </w:pPr>
      <w:r>
        <w:t xml:space="preserve"> </w:t>
      </w:r>
    </w:p>
    <w:p w:rsidR="004D315A" w:rsidRDefault="00000000">
      <w:pPr>
        <w:numPr>
          <w:ilvl w:val="0"/>
          <w:numId w:val="1"/>
        </w:numPr>
        <w:ind w:right="1" w:hanging="360"/>
      </w:pPr>
      <w:r>
        <w:t xml:space="preserve">Simultaneously managed large initiatives on analytics, Business Intelligence, Profitability and CRM across retail and whole sale banking </w:t>
      </w:r>
    </w:p>
    <w:p w:rsidR="004D315A" w:rsidRDefault="00000000">
      <w:pPr>
        <w:spacing w:after="0" w:line="259" w:lineRule="auto"/>
        <w:ind w:left="720" w:firstLine="0"/>
      </w:pPr>
      <w:r>
        <w:t xml:space="preserve"> </w:t>
      </w:r>
    </w:p>
    <w:p w:rsidR="004D315A" w:rsidRDefault="00000000">
      <w:pPr>
        <w:spacing w:after="0" w:line="259" w:lineRule="auto"/>
        <w:ind w:left="0" w:firstLine="0"/>
      </w:pPr>
      <w:r>
        <w:rPr>
          <w:i/>
        </w:rPr>
        <w:t xml:space="preserve">The overall effort resulted in the information and recommendations for Data analytics toolkit at Wells. </w:t>
      </w:r>
    </w:p>
    <w:p w:rsidR="004D315A" w:rsidRDefault="00000000">
      <w:pPr>
        <w:spacing w:after="66" w:line="259" w:lineRule="auto"/>
        <w:ind w:left="-29" w:right="-30" w:firstLine="0"/>
      </w:pPr>
      <w:r>
        <w:rPr>
          <w:rFonts w:ascii="Calibri" w:eastAsia="Calibri" w:hAnsi="Calibri" w:cs="Calibri"/>
          <w:noProof/>
          <w:sz w:val="22"/>
        </w:rPr>
        <mc:AlternateContent>
          <mc:Choice Requires="wpg">
            <w:drawing>
              <wp:inline distT="0" distB="0" distL="0" distR="0">
                <wp:extent cx="5981065" cy="18288"/>
                <wp:effectExtent l="0" t="0" r="0" b="0"/>
                <wp:docPr id="5578" name="Group 5578"/>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6381" name="Shape 6381"/>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78" style="width:470.95pt;height:1.44pt;mso-position-horizontal-relative:char;mso-position-vertical-relative:line" coordsize="59810,182">
                <v:shape id="Shape 6382"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rsidR="004D315A" w:rsidRDefault="00000000">
      <w:pPr>
        <w:spacing w:after="2" w:line="237" w:lineRule="auto"/>
        <w:ind w:left="-5" w:right="316" w:hanging="10"/>
      </w:pPr>
      <w:r>
        <w:rPr>
          <w:b/>
          <w:sz w:val="18"/>
        </w:rPr>
        <w:t xml:space="preserve">Federal Home loan bank of San Francisco                                                        October 2015 to March 2019 Full time Sr. Executive of Data Science/Data Analytics </w:t>
      </w:r>
    </w:p>
    <w:p w:rsidR="004D315A" w:rsidRDefault="00000000">
      <w:pPr>
        <w:spacing w:after="0" w:line="259" w:lineRule="auto"/>
        <w:ind w:left="0" w:firstLine="0"/>
      </w:pPr>
      <w:r>
        <w:rPr>
          <w:b/>
          <w:sz w:val="18"/>
        </w:rPr>
        <w:t xml:space="preserve"> </w:t>
      </w:r>
    </w:p>
    <w:p w:rsidR="004D315A" w:rsidRDefault="00000000">
      <w:pPr>
        <w:spacing w:after="2" w:line="237" w:lineRule="auto"/>
        <w:ind w:left="-5" w:right="1414" w:hanging="10"/>
      </w:pPr>
      <w:r>
        <w:rPr>
          <w:b/>
          <w:sz w:val="18"/>
        </w:rPr>
        <w:t xml:space="preserve">AWS Cloud Formation, HPC clusters, JSON, S3, EBS, Microsoft HPC, SQL Server, MicroStrategy </w:t>
      </w:r>
      <w:r>
        <w:rPr>
          <w:b/>
          <w:i/>
          <w:sz w:val="18"/>
        </w:rPr>
        <w:t xml:space="preserve">Amazon Cloud Migration Project ($50M) 2015-2019  </w:t>
      </w:r>
      <w:hyperlink r:id="rId5">
        <w:r>
          <w:rPr>
            <w:b/>
            <w:color w:val="0563C1"/>
            <w:sz w:val="18"/>
            <w:u w:val="single" w:color="0563C1"/>
          </w:rPr>
          <w:t>www.github.com/kishoreAIMLCloud</w:t>
        </w:r>
      </w:hyperlink>
      <w:hyperlink r:id="rId6">
        <w:r>
          <w:rPr>
            <w:b/>
            <w:i/>
            <w:sz w:val="18"/>
          </w:rPr>
          <w:t xml:space="preserve"> </w:t>
        </w:r>
      </w:hyperlink>
    </w:p>
    <w:p w:rsidR="004D315A" w:rsidRDefault="00000000">
      <w:pPr>
        <w:spacing w:after="0" w:line="259" w:lineRule="auto"/>
        <w:ind w:left="0" w:firstLine="0"/>
      </w:pPr>
      <w:r>
        <w:rPr>
          <w:b/>
          <w:i/>
        </w:rPr>
        <w:t xml:space="preserve"> </w:t>
      </w:r>
    </w:p>
    <w:p w:rsidR="004D315A" w:rsidRDefault="00000000">
      <w:pPr>
        <w:spacing w:after="28"/>
        <w:ind w:left="0" w:right="1" w:firstLine="0"/>
      </w:pPr>
      <w:r>
        <w:t xml:space="preserve">The Quantitative Risk Management application (QRM) (@Federal Home Loan bank of San Francisco) is deployed to AWS using Cloud formation templates with auto scaling of hundreds of compute cores using Microsoft HPC (high performance clustering). HPC uses parallel computing features in Windows HPC Server 2012. The TERM HPC (High Performance Computing) is virtually synonymous with supercomputers and parallel computing. </w:t>
      </w:r>
    </w:p>
    <w:p w:rsidR="004D315A" w:rsidRDefault="00000000">
      <w:pPr>
        <w:numPr>
          <w:ilvl w:val="0"/>
          <w:numId w:val="2"/>
        </w:numPr>
        <w:ind w:right="1" w:hanging="360"/>
      </w:pPr>
      <w:r>
        <w:t xml:space="preserve">Collaborated with senior management decision processes, including strategic planning, staff planning, budgeting, financial metrics and business reviews. </w:t>
      </w:r>
    </w:p>
    <w:p w:rsidR="004D315A" w:rsidRDefault="00000000">
      <w:pPr>
        <w:spacing w:after="14" w:line="259" w:lineRule="auto"/>
        <w:ind w:left="720" w:firstLine="0"/>
      </w:pPr>
      <w:r>
        <w:t xml:space="preserve"> </w:t>
      </w:r>
    </w:p>
    <w:p w:rsidR="004D315A" w:rsidRDefault="00000000">
      <w:pPr>
        <w:numPr>
          <w:ilvl w:val="0"/>
          <w:numId w:val="2"/>
        </w:numPr>
        <w:ind w:right="1" w:hanging="360"/>
      </w:pPr>
      <w:r>
        <w:t xml:space="preserve">Led Cloud Architecting sessions with business and technology owners and participated on defining cloud roadmap and coordinated with AWS solution architects. </w:t>
      </w:r>
    </w:p>
    <w:p w:rsidR="004D315A" w:rsidRDefault="00000000">
      <w:pPr>
        <w:spacing w:after="14" w:line="259" w:lineRule="auto"/>
        <w:ind w:left="720" w:firstLine="0"/>
      </w:pPr>
      <w:r>
        <w:t xml:space="preserve"> </w:t>
      </w:r>
    </w:p>
    <w:p w:rsidR="004D315A" w:rsidRDefault="00000000">
      <w:pPr>
        <w:numPr>
          <w:ilvl w:val="0"/>
          <w:numId w:val="2"/>
        </w:numPr>
        <w:ind w:right="1" w:hanging="360"/>
      </w:pPr>
      <w:r>
        <w:t xml:space="preserve">Managed multiple analytics and data science teams and projects concurrently to ensure successful completion of analytic projects. </w:t>
      </w:r>
    </w:p>
    <w:p w:rsidR="004D315A" w:rsidRDefault="00000000">
      <w:pPr>
        <w:spacing w:after="0" w:line="259" w:lineRule="auto"/>
        <w:ind w:left="720" w:firstLine="0"/>
      </w:pPr>
      <w:r>
        <w:t xml:space="preserve"> </w:t>
      </w:r>
    </w:p>
    <w:p w:rsidR="004D315A" w:rsidRDefault="00000000">
      <w:pPr>
        <w:numPr>
          <w:ilvl w:val="0"/>
          <w:numId w:val="2"/>
        </w:numPr>
        <w:ind w:right="1" w:hanging="360"/>
      </w:pPr>
      <w:r>
        <w:t xml:space="preserve">Created compelling PowerPoint presentations, which tell the analytic story and demonstrating their value by providing actionable insights with recommendations. </w:t>
      </w:r>
    </w:p>
    <w:p w:rsidR="004D315A" w:rsidRDefault="00000000">
      <w:pPr>
        <w:spacing w:after="11" w:line="259" w:lineRule="auto"/>
        <w:ind w:left="720" w:firstLine="0"/>
      </w:pPr>
      <w:r>
        <w:t xml:space="preserve"> </w:t>
      </w:r>
    </w:p>
    <w:p w:rsidR="004D315A" w:rsidRDefault="00000000">
      <w:pPr>
        <w:numPr>
          <w:ilvl w:val="0"/>
          <w:numId w:val="2"/>
        </w:numPr>
        <w:ind w:right="1" w:hanging="360"/>
      </w:pPr>
      <w:r>
        <w:lastRenderedPageBreak/>
        <w:t>Accountable for the overall management of analytic projects, including profitability, timeliness, quality and client value.</w:t>
      </w:r>
      <w:r>
        <w:rPr>
          <w:rFonts w:ascii="Times New Roman" w:eastAsia="Times New Roman" w:hAnsi="Times New Roman" w:cs="Times New Roman"/>
          <w:sz w:val="24"/>
        </w:rPr>
        <w:t xml:space="preserve"> </w:t>
      </w:r>
      <w:r>
        <w:t xml:space="preserve">Developed Enterprise Data Architecture, Data Analysis, and Modeling related roles and competence for data acquisition, data processing, data management, data quality, data analysis, data warehousing, MDM, and data integration. </w:t>
      </w:r>
    </w:p>
    <w:p w:rsidR="004D315A" w:rsidRDefault="00000000">
      <w:pPr>
        <w:spacing w:after="14" w:line="259" w:lineRule="auto"/>
        <w:ind w:left="720" w:firstLine="0"/>
      </w:pPr>
      <w:r>
        <w:t xml:space="preserve"> </w:t>
      </w:r>
    </w:p>
    <w:p w:rsidR="004D315A" w:rsidRDefault="00000000">
      <w:pPr>
        <w:numPr>
          <w:ilvl w:val="0"/>
          <w:numId w:val="2"/>
        </w:numPr>
        <w:ind w:right="1" w:hanging="360"/>
      </w:pPr>
      <w:r>
        <w:t xml:space="preserve">Provided accurate work estimates and oversees delivery against budget ($75M). </w:t>
      </w:r>
    </w:p>
    <w:p w:rsidR="004D315A" w:rsidRDefault="00000000">
      <w:pPr>
        <w:spacing w:after="14" w:line="259" w:lineRule="auto"/>
        <w:ind w:left="720" w:firstLine="0"/>
      </w:pPr>
      <w:r>
        <w:t xml:space="preserve"> </w:t>
      </w:r>
    </w:p>
    <w:p w:rsidR="004D315A" w:rsidRDefault="00000000">
      <w:pPr>
        <w:numPr>
          <w:ilvl w:val="0"/>
          <w:numId w:val="2"/>
        </w:numPr>
        <w:ind w:right="1" w:hanging="360"/>
      </w:pPr>
      <w:r>
        <w:t xml:space="preserve">Led the creation of the analytics team: Hired several PHD level statisticians to develop a library of predictive analytic models that generate product recommendations. </w:t>
      </w:r>
    </w:p>
    <w:p w:rsidR="004D315A" w:rsidRDefault="00000000">
      <w:pPr>
        <w:spacing w:after="14" w:line="259" w:lineRule="auto"/>
        <w:ind w:left="720" w:firstLine="0"/>
      </w:pPr>
      <w:r>
        <w:t xml:space="preserve"> </w:t>
      </w:r>
    </w:p>
    <w:p w:rsidR="004D315A" w:rsidRDefault="00000000">
      <w:pPr>
        <w:numPr>
          <w:ilvl w:val="0"/>
          <w:numId w:val="2"/>
        </w:numPr>
        <w:ind w:right="1" w:hanging="360"/>
      </w:pPr>
      <w:r>
        <w:t xml:space="preserve">Led the division’s exploration of text mining to derive client and market insights and the testing of big data platforms (Hadoop) for large scale modelling efforts. </w:t>
      </w:r>
    </w:p>
    <w:p w:rsidR="004D315A" w:rsidRDefault="00000000">
      <w:pPr>
        <w:spacing w:after="14" w:line="259" w:lineRule="auto"/>
        <w:ind w:left="720" w:firstLine="0"/>
      </w:pPr>
      <w:r>
        <w:t xml:space="preserve"> </w:t>
      </w:r>
    </w:p>
    <w:p w:rsidR="004D315A" w:rsidRDefault="00000000">
      <w:pPr>
        <w:numPr>
          <w:ilvl w:val="0"/>
          <w:numId w:val="2"/>
        </w:numPr>
        <w:ind w:right="1" w:hanging="360"/>
      </w:pPr>
      <w:r>
        <w:t xml:space="preserve">Centralized the business intelligence ecosystem from diverse data silos in to a unified data warehouse. </w:t>
      </w:r>
    </w:p>
    <w:p w:rsidR="004D315A" w:rsidRDefault="00000000">
      <w:pPr>
        <w:spacing w:after="0" w:line="259" w:lineRule="auto"/>
        <w:ind w:left="720" w:firstLine="0"/>
      </w:pPr>
      <w:r>
        <w:t xml:space="preserve"> </w:t>
      </w:r>
    </w:p>
    <w:p w:rsidR="004D315A" w:rsidRDefault="00000000">
      <w:pPr>
        <w:pStyle w:val="Heading1"/>
        <w:spacing w:after="4" w:line="250" w:lineRule="auto"/>
        <w:ind w:left="-5" w:right="610" w:hanging="10"/>
      </w:pPr>
      <w:r>
        <w:rPr>
          <w:sz w:val="20"/>
        </w:rPr>
        <w:t xml:space="preserve">Viavi Corporation (JDSU), Milpitas, CA                                                 May 2014 to July 2015 SE, Director of BI/ Analytics </w:t>
      </w:r>
    </w:p>
    <w:p w:rsidR="004D315A" w:rsidRDefault="00000000">
      <w:pPr>
        <w:spacing w:after="71" w:line="259" w:lineRule="auto"/>
        <w:ind w:left="-29" w:right="-30" w:firstLine="0"/>
      </w:pPr>
      <w:r>
        <w:rPr>
          <w:rFonts w:ascii="Calibri" w:eastAsia="Calibri" w:hAnsi="Calibri" w:cs="Calibri"/>
          <w:noProof/>
          <w:sz w:val="22"/>
        </w:rPr>
        <mc:AlternateContent>
          <mc:Choice Requires="wpg">
            <w:drawing>
              <wp:inline distT="0" distB="0" distL="0" distR="0">
                <wp:extent cx="5981065" cy="9144"/>
                <wp:effectExtent l="0" t="0" r="0" b="0"/>
                <wp:docPr id="5156" name="Group 515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83" name="Shape 638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6" style="width:470.95pt;height:0.720001pt;mso-position-horizontal-relative:char;mso-position-vertical-relative:line" coordsize="59810,91">
                <v:shape id="Shape 638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D315A" w:rsidRDefault="00000000">
      <w:pPr>
        <w:spacing w:after="0" w:line="259" w:lineRule="auto"/>
        <w:ind w:left="0" w:firstLine="0"/>
      </w:pPr>
      <w:r>
        <w:t xml:space="preserve"> </w:t>
      </w:r>
    </w:p>
    <w:p w:rsidR="004D315A" w:rsidRDefault="00000000">
      <w:pPr>
        <w:spacing w:after="3" w:line="247" w:lineRule="auto"/>
        <w:ind w:left="-5" w:right="675" w:hanging="10"/>
        <w:jc w:val="both"/>
      </w:pPr>
      <w:r>
        <w:t xml:space="preserve">UDBS and SIP applications are mission critical applications, used in JDSU R&amp;D Lab and Manufacturing units in Shenzhen to store the test data/results in the database. Daily Reporting (Scheduled as well as Ad hoc) is implemented to send reports to the test engineers, Chief Engineers and the management according to the level of privileges. </w:t>
      </w:r>
    </w:p>
    <w:p w:rsidR="004D315A" w:rsidRDefault="00000000">
      <w:pPr>
        <w:spacing w:after="3" w:line="247" w:lineRule="auto"/>
        <w:ind w:left="-5" w:right="675" w:hanging="10"/>
        <w:jc w:val="both"/>
      </w:pPr>
      <w:r>
        <w:t xml:space="preserve"> Hired to establish a global world class Data Architect/engineering/Analytics organization to drive both immediate and long-term Data Analytics priorities across the three business segments and shared services function of JDSU in collaboration with C-level business and IT Executives; established vision and three-year execution roadmap. </w:t>
      </w:r>
    </w:p>
    <w:p w:rsidR="004D315A" w:rsidRDefault="00000000">
      <w:pPr>
        <w:spacing w:after="0" w:line="259" w:lineRule="auto"/>
        <w:ind w:left="0" w:firstLine="0"/>
      </w:pPr>
      <w:r>
        <w:t xml:space="preserve"> </w:t>
      </w:r>
    </w:p>
    <w:p w:rsidR="004D315A" w:rsidRDefault="00000000">
      <w:pPr>
        <w:ind w:left="0" w:right="1" w:firstLine="0"/>
      </w:pPr>
      <w:r>
        <w:t xml:space="preserve">Worked closely with product and engineering teams, data software engineering, and business stakeholders to pull in the most relevant data for the business. </w:t>
      </w:r>
    </w:p>
    <w:p w:rsidR="004D315A" w:rsidRDefault="00000000">
      <w:pPr>
        <w:spacing w:after="22" w:line="259" w:lineRule="auto"/>
        <w:ind w:left="0" w:firstLine="0"/>
      </w:pPr>
      <w:r>
        <w:t xml:space="preserve"> </w:t>
      </w:r>
    </w:p>
    <w:p w:rsidR="004D315A" w:rsidRDefault="00000000">
      <w:pPr>
        <w:pStyle w:val="Heading1"/>
      </w:pPr>
      <w:r>
        <w:t xml:space="preserve">Additional Experience </w:t>
      </w:r>
    </w:p>
    <w:p w:rsidR="004D315A" w:rsidRDefault="00000000">
      <w:pPr>
        <w:spacing w:after="73" w:line="259" w:lineRule="auto"/>
        <w:ind w:left="-29" w:right="-30" w:firstLine="0"/>
      </w:pPr>
      <w:r>
        <w:rPr>
          <w:rFonts w:ascii="Calibri" w:eastAsia="Calibri" w:hAnsi="Calibri" w:cs="Calibri"/>
          <w:noProof/>
          <w:sz w:val="22"/>
        </w:rPr>
        <mc:AlternateContent>
          <mc:Choice Requires="wpg">
            <w:drawing>
              <wp:inline distT="0" distB="0" distL="0" distR="0">
                <wp:extent cx="5981065" cy="9144"/>
                <wp:effectExtent l="0" t="0" r="0" b="0"/>
                <wp:docPr id="5157" name="Group 515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85" name="Shape 638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7" style="width:470.95pt;height:0.719971pt;mso-position-horizontal-relative:char;mso-position-vertical-relative:line" coordsize="59810,91">
                <v:shape id="Shape 6386" style="position:absolute;width:59810;height:91;left:0;top:0;" coordsize="5981065,9144" path="m0,0l5981065,0l5981065,9144l0,9144l0,0">
                  <v:stroke weight="0pt" endcap="flat" joinstyle="miter" miterlimit="10" on="false" color="#000000" opacity="0"/>
                  <v:fill on="true" color="#000000"/>
                </v:shape>
              </v:group>
            </w:pict>
          </mc:Fallback>
        </mc:AlternateContent>
      </w:r>
    </w:p>
    <w:tbl>
      <w:tblPr>
        <w:tblStyle w:val="TableGrid"/>
        <w:tblW w:w="8876" w:type="dxa"/>
        <w:tblInd w:w="0" w:type="dxa"/>
        <w:tblCellMar>
          <w:top w:w="0" w:type="dxa"/>
          <w:left w:w="0" w:type="dxa"/>
          <w:bottom w:w="0" w:type="dxa"/>
          <w:right w:w="0" w:type="dxa"/>
        </w:tblCellMar>
        <w:tblLook w:val="04A0" w:firstRow="1" w:lastRow="0" w:firstColumn="1" w:lastColumn="0" w:noHBand="0" w:noVBand="1"/>
      </w:tblPr>
      <w:tblGrid>
        <w:gridCol w:w="5041"/>
        <w:gridCol w:w="3835"/>
      </w:tblGrid>
      <w:tr w:rsidR="004D315A">
        <w:trPr>
          <w:trHeight w:val="1259"/>
        </w:trPr>
        <w:tc>
          <w:tcPr>
            <w:tcW w:w="5041" w:type="dxa"/>
            <w:tcBorders>
              <w:top w:val="nil"/>
              <w:left w:val="nil"/>
              <w:bottom w:val="nil"/>
              <w:right w:val="nil"/>
            </w:tcBorders>
          </w:tcPr>
          <w:p w:rsidR="004D315A" w:rsidRDefault="00000000">
            <w:pPr>
              <w:spacing w:after="0" w:line="259" w:lineRule="auto"/>
              <w:ind w:left="0" w:firstLine="0"/>
            </w:pPr>
            <w:r>
              <w:t xml:space="preserve">Gymboree Corp (SFO)                  </w:t>
            </w:r>
          </w:p>
          <w:p w:rsidR="004D315A" w:rsidRDefault="00000000">
            <w:pPr>
              <w:spacing w:after="0" w:line="259" w:lineRule="auto"/>
              <w:ind w:left="0" w:firstLine="0"/>
            </w:pPr>
            <w:r>
              <w:t xml:space="preserve">Lam Research                      </w:t>
            </w:r>
          </w:p>
          <w:p w:rsidR="004D315A" w:rsidRDefault="00000000">
            <w:pPr>
              <w:spacing w:after="0" w:line="259" w:lineRule="auto"/>
              <w:ind w:left="0" w:firstLine="0"/>
            </w:pPr>
            <w:r>
              <w:t xml:space="preserve">WAL-MART                                             </w:t>
            </w:r>
          </w:p>
          <w:p w:rsidR="004D315A" w:rsidRDefault="00000000">
            <w:pPr>
              <w:spacing w:after="0" w:line="259" w:lineRule="auto"/>
              <w:ind w:left="0" w:firstLine="0"/>
            </w:pPr>
            <w:r>
              <w:t xml:space="preserve">Cisco Systems Inc </w:t>
            </w:r>
          </w:p>
          <w:p w:rsidR="004D315A" w:rsidRDefault="00000000">
            <w:pPr>
              <w:spacing w:after="0" w:line="259" w:lineRule="auto"/>
              <w:ind w:left="0" w:firstLine="0"/>
            </w:pPr>
            <w:r>
              <w:t xml:space="preserve">Denso </w:t>
            </w:r>
          </w:p>
        </w:tc>
        <w:tc>
          <w:tcPr>
            <w:tcW w:w="3835" w:type="dxa"/>
            <w:tcBorders>
              <w:top w:val="nil"/>
              <w:left w:val="nil"/>
              <w:bottom w:val="nil"/>
              <w:right w:val="nil"/>
            </w:tcBorders>
          </w:tcPr>
          <w:p w:rsidR="004D315A" w:rsidRDefault="00000000">
            <w:pPr>
              <w:spacing w:after="0" w:line="259" w:lineRule="auto"/>
              <w:ind w:left="0" w:firstLine="0"/>
            </w:pPr>
            <w:r>
              <w:t xml:space="preserve">Head of BI/Analytics </w:t>
            </w:r>
          </w:p>
          <w:p w:rsidR="004D315A" w:rsidRDefault="00000000">
            <w:pPr>
              <w:spacing w:after="0" w:line="259" w:lineRule="auto"/>
              <w:ind w:left="0" w:firstLine="0"/>
            </w:pPr>
            <w:r>
              <w:t xml:space="preserve">Senior BI/Datawarehouse Director </w:t>
            </w:r>
          </w:p>
          <w:p w:rsidR="004D315A" w:rsidRDefault="00000000">
            <w:pPr>
              <w:spacing w:after="0" w:line="259" w:lineRule="auto"/>
              <w:ind w:left="0" w:firstLine="0"/>
              <w:jc w:val="both"/>
            </w:pPr>
            <w:r>
              <w:t xml:space="preserve">Consultant Lead Data Warehouse Architect </w:t>
            </w:r>
          </w:p>
          <w:p w:rsidR="004D315A" w:rsidRDefault="00000000">
            <w:pPr>
              <w:spacing w:after="0" w:line="259" w:lineRule="auto"/>
              <w:ind w:left="0" w:firstLine="0"/>
            </w:pPr>
            <w:r>
              <w:t xml:space="preserve">Consultant Datawarehouse engineer </w:t>
            </w:r>
          </w:p>
          <w:p w:rsidR="004D315A" w:rsidRDefault="00000000">
            <w:pPr>
              <w:spacing w:after="0" w:line="259" w:lineRule="auto"/>
              <w:ind w:left="0" w:firstLine="0"/>
            </w:pPr>
            <w:r>
              <w:t xml:space="preserve">Senior BI developer/Lead </w:t>
            </w:r>
          </w:p>
        </w:tc>
      </w:tr>
    </w:tbl>
    <w:p w:rsidR="004D315A" w:rsidRDefault="00000000">
      <w:pPr>
        <w:spacing w:after="0" w:line="259" w:lineRule="auto"/>
        <w:ind w:left="0" w:firstLine="0"/>
      </w:pPr>
      <w:r>
        <w:rPr>
          <w:b/>
        </w:rPr>
        <w:t xml:space="preserve"> </w:t>
      </w:r>
    </w:p>
    <w:p w:rsidR="004D315A" w:rsidRDefault="00000000">
      <w:pPr>
        <w:pStyle w:val="Heading2"/>
        <w:ind w:left="-5"/>
      </w:pPr>
      <w:r>
        <w:t xml:space="preserve">Education </w:t>
      </w:r>
    </w:p>
    <w:p w:rsidR="004D315A" w:rsidRDefault="00000000">
      <w:pPr>
        <w:spacing w:after="71" w:line="259" w:lineRule="auto"/>
        <w:ind w:left="-29" w:right="-30" w:firstLine="0"/>
      </w:pPr>
      <w:r>
        <w:rPr>
          <w:rFonts w:ascii="Calibri" w:eastAsia="Calibri" w:hAnsi="Calibri" w:cs="Calibri"/>
          <w:noProof/>
          <w:sz w:val="22"/>
        </w:rPr>
        <mc:AlternateContent>
          <mc:Choice Requires="wpg">
            <w:drawing>
              <wp:inline distT="0" distB="0" distL="0" distR="0">
                <wp:extent cx="5981065" cy="9144"/>
                <wp:effectExtent l="0" t="0" r="0" b="0"/>
                <wp:docPr id="5158" name="Group 5158"/>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87" name="Shape 638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8" style="width:470.95pt;height:0.720032pt;mso-position-horizontal-relative:char;mso-position-vertical-relative:line" coordsize="59810,91">
                <v:shape id="Shape 638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D315A" w:rsidRDefault="00000000">
      <w:pPr>
        <w:ind w:left="0" w:right="1" w:firstLine="0"/>
      </w:pPr>
      <w:r>
        <w:t xml:space="preserve">     Masters in Computer Science (Math, Statistics and Computers) </w:t>
      </w:r>
    </w:p>
    <w:p w:rsidR="004D315A" w:rsidRDefault="00000000">
      <w:pPr>
        <w:spacing w:after="0" w:line="259" w:lineRule="auto"/>
        <w:ind w:left="0" w:firstLine="0"/>
      </w:pPr>
      <w:r>
        <w:rPr>
          <w:b/>
        </w:rPr>
        <w:t xml:space="preserve"> </w:t>
      </w:r>
    </w:p>
    <w:p w:rsidR="004D315A" w:rsidRDefault="00000000">
      <w:pPr>
        <w:pStyle w:val="Heading2"/>
        <w:ind w:left="-5"/>
      </w:pPr>
      <w:r>
        <w:t xml:space="preserve">GitHub Link </w:t>
      </w:r>
    </w:p>
    <w:p w:rsidR="004D315A" w:rsidRDefault="00000000">
      <w:pPr>
        <w:spacing w:after="71" w:line="259" w:lineRule="auto"/>
        <w:ind w:left="-29" w:right="-30" w:firstLine="0"/>
      </w:pPr>
      <w:r>
        <w:rPr>
          <w:rFonts w:ascii="Calibri" w:eastAsia="Calibri" w:hAnsi="Calibri" w:cs="Calibri"/>
          <w:noProof/>
          <w:sz w:val="22"/>
        </w:rPr>
        <mc:AlternateContent>
          <mc:Choice Requires="wpg">
            <w:drawing>
              <wp:inline distT="0" distB="0" distL="0" distR="0">
                <wp:extent cx="5981065" cy="9144"/>
                <wp:effectExtent l="0" t="0" r="0" b="0"/>
                <wp:docPr id="5159" name="Group 515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89" name="Shape 638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9" style="width:470.95pt;height:0.719971pt;mso-position-horizontal-relative:char;mso-position-vertical-relative:line" coordsize="59810,91">
                <v:shape id="Shape 639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D315A" w:rsidRDefault="00000000">
      <w:pPr>
        <w:spacing w:after="0" w:line="259" w:lineRule="auto"/>
        <w:ind w:left="0" w:firstLine="0"/>
      </w:pPr>
      <w:hyperlink r:id="rId7">
        <w:r>
          <w:rPr>
            <w:color w:val="0563C1"/>
            <w:u w:val="single" w:color="0563C1"/>
          </w:rPr>
          <w:t>https://github.com/kishoreAIMLCloud</w:t>
        </w:r>
      </w:hyperlink>
      <w:hyperlink r:id="rId8">
        <w:r>
          <w:t xml:space="preserve"> </w:t>
        </w:r>
      </w:hyperlink>
    </w:p>
    <w:p w:rsidR="004D315A" w:rsidRDefault="00000000">
      <w:pPr>
        <w:spacing w:after="0" w:line="259" w:lineRule="auto"/>
        <w:ind w:left="0" w:firstLine="0"/>
      </w:pPr>
      <w:r>
        <w:t xml:space="preserve"> </w:t>
      </w:r>
    </w:p>
    <w:p w:rsidR="004D315A" w:rsidRDefault="00000000">
      <w:pPr>
        <w:pStyle w:val="Heading2"/>
        <w:ind w:left="-5"/>
      </w:pPr>
      <w:r>
        <w:t xml:space="preserve">Trainings &amp; Certificates </w:t>
      </w:r>
    </w:p>
    <w:p w:rsidR="004D315A" w:rsidRDefault="00000000">
      <w:pPr>
        <w:spacing w:after="71" w:line="259" w:lineRule="auto"/>
        <w:ind w:left="-29" w:right="-30" w:firstLine="0"/>
      </w:pPr>
      <w:r>
        <w:rPr>
          <w:rFonts w:ascii="Calibri" w:eastAsia="Calibri" w:hAnsi="Calibri" w:cs="Calibri"/>
          <w:noProof/>
          <w:sz w:val="22"/>
        </w:rPr>
        <mc:AlternateContent>
          <mc:Choice Requires="wpg">
            <w:drawing>
              <wp:inline distT="0" distB="0" distL="0" distR="0">
                <wp:extent cx="5981065" cy="9144"/>
                <wp:effectExtent l="0" t="0" r="0" b="0"/>
                <wp:docPr id="5033" name="Group 503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91" name="Shape 639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33" style="width:470.95pt;height:0.719971pt;mso-position-horizontal-relative:char;mso-position-vertical-relative:line" coordsize="59810,91">
                <v:shape id="Shape 639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D315A" w:rsidRDefault="00000000">
      <w:pPr>
        <w:tabs>
          <w:tab w:val="center" w:pos="395"/>
          <w:tab w:val="center" w:pos="3830"/>
        </w:tabs>
        <w:ind w:lef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Product management in Artificial Intelligence Era, </w:t>
      </w:r>
      <w:r>
        <w:rPr>
          <w:b/>
        </w:rPr>
        <w:t>Stanford University</w:t>
      </w:r>
      <w:r>
        <w:t xml:space="preserve">  </w:t>
      </w:r>
    </w:p>
    <w:p w:rsidR="004D315A" w:rsidRDefault="00000000">
      <w:pPr>
        <w:pStyle w:val="Heading2"/>
        <w:tabs>
          <w:tab w:val="center" w:pos="395"/>
          <w:tab w:val="center" w:pos="4415"/>
        </w:tabs>
        <w:ind w:left="0" w:right="0" w:firstLine="0"/>
      </w:pPr>
      <w:r>
        <w:rPr>
          <w:rFonts w:ascii="Calibri" w:eastAsia="Calibri" w:hAnsi="Calibri" w:cs="Calibri"/>
          <w:b w:val="0"/>
          <w:sz w:val="22"/>
        </w:rPr>
        <w:lastRenderedPageBreak/>
        <w:tab/>
      </w:r>
      <w:r>
        <w:rPr>
          <w:rFonts w:ascii="Arial" w:eastAsia="Arial" w:hAnsi="Arial" w:cs="Arial"/>
          <w:b w:val="0"/>
        </w:rPr>
        <w:t xml:space="preserve">• </w:t>
      </w:r>
      <w:r>
        <w:rPr>
          <w:rFonts w:ascii="Arial" w:eastAsia="Arial" w:hAnsi="Arial" w:cs="Arial"/>
          <w:b w:val="0"/>
        </w:rPr>
        <w:tab/>
      </w:r>
      <w:r>
        <w:rPr>
          <w:b w:val="0"/>
        </w:rPr>
        <w:t xml:space="preserve">Project management certificate from </w:t>
      </w:r>
      <w:r>
        <w:t>University of California (UCLA), Los Angeles</w:t>
      </w:r>
      <w:r>
        <w:rPr>
          <w:b w:val="0"/>
        </w:rPr>
        <w:t xml:space="preserve"> </w:t>
      </w:r>
    </w:p>
    <w:p w:rsidR="004D315A" w:rsidRDefault="00000000">
      <w:pPr>
        <w:numPr>
          <w:ilvl w:val="0"/>
          <w:numId w:val="3"/>
        </w:numPr>
        <w:ind w:right="1" w:hanging="360"/>
      </w:pPr>
      <w:r>
        <w:t xml:space="preserve">Certified in ITIL </w:t>
      </w:r>
    </w:p>
    <w:p w:rsidR="004D315A" w:rsidRDefault="00000000">
      <w:pPr>
        <w:numPr>
          <w:ilvl w:val="0"/>
          <w:numId w:val="3"/>
        </w:numPr>
        <w:ind w:right="1" w:hanging="360"/>
      </w:pPr>
      <w:r>
        <w:t xml:space="preserve">Attended several Linked in trainings on Data analytics </w:t>
      </w:r>
    </w:p>
    <w:p w:rsidR="004D315A" w:rsidRDefault="00000000">
      <w:pPr>
        <w:numPr>
          <w:ilvl w:val="0"/>
          <w:numId w:val="3"/>
        </w:numPr>
        <w:ind w:right="1" w:hanging="360"/>
      </w:pPr>
      <w:r>
        <w:t xml:space="preserve">Data Science and Data Ops methodology certification from IBM </w:t>
      </w:r>
    </w:p>
    <w:p w:rsidR="004D315A" w:rsidRDefault="00000000">
      <w:pPr>
        <w:spacing w:after="0" w:line="259" w:lineRule="auto"/>
        <w:ind w:left="720" w:firstLine="0"/>
      </w:pPr>
      <w:r>
        <w:t xml:space="preserve"> </w:t>
      </w:r>
    </w:p>
    <w:p w:rsidR="004D315A" w:rsidRDefault="00000000">
      <w:pPr>
        <w:pStyle w:val="Heading2"/>
        <w:ind w:left="-5"/>
      </w:pPr>
      <w:r>
        <w:t xml:space="preserve">Social &amp; Volunteer Activities </w:t>
      </w:r>
    </w:p>
    <w:p w:rsidR="004D315A" w:rsidRDefault="00000000">
      <w:pPr>
        <w:spacing w:after="71" w:line="259" w:lineRule="auto"/>
        <w:ind w:left="-29" w:right="-30" w:firstLine="0"/>
      </w:pPr>
      <w:r>
        <w:rPr>
          <w:rFonts w:ascii="Calibri" w:eastAsia="Calibri" w:hAnsi="Calibri" w:cs="Calibri"/>
          <w:noProof/>
          <w:sz w:val="22"/>
        </w:rPr>
        <mc:AlternateContent>
          <mc:Choice Requires="wpg">
            <w:drawing>
              <wp:inline distT="0" distB="0" distL="0" distR="0">
                <wp:extent cx="5981065" cy="9144"/>
                <wp:effectExtent l="0" t="0" r="0" b="0"/>
                <wp:docPr id="5034" name="Group 503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93" name="Shape 639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34" style="width:470.95pt;height:0.719971pt;mso-position-horizontal-relative:char;mso-position-vertical-relative:line" coordsize="59810,91">
                <v:shape id="Shape 639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D315A" w:rsidRDefault="00000000">
      <w:pPr>
        <w:numPr>
          <w:ilvl w:val="0"/>
          <w:numId w:val="4"/>
        </w:numPr>
        <w:ind w:left="713" w:hanging="360"/>
      </w:pPr>
      <w:r>
        <w:t xml:space="preserve">Active Member of </w:t>
      </w:r>
      <w:r>
        <w:rPr>
          <w:b/>
        </w:rPr>
        <w:t>UCLA Bruins Alumni</w:t>
      </w:r>
      <w:r>
        <w:t xml:space="preserve"> social activities</w:t>
      </w:r>
      <w:r>
        <w:rPr>
          <w:b/>
        </w:rPr>
        <w:t xml:space="preserve"> </w:t>
      </w:r>
    </w:p>
    <w:p w:rsidR="004D315A" w:rsidRDefault="00000000">
      <w:pPr>
        <w:numPr>
          <w:ilvl w:val="0"/>
          <w:numId w:val="4"/>
        </w:numPr>
        <w:spacing w:after="3" w:line="247" w:lineRule="auto"/>
        <w:ind w:left="713" w:hanging="360"/>
      </w:pPr>
      <w:r>
        <w:t xml:space="preserve">Volunteered in a racially and ethnically diverse community health organization | National Marfan Foundation </w:t>
      </w:r>
      <w:r>
        <w:rPr>
          <w:b/>
        </w:rPr>
        <w:t>@Stanford Hospitals Cardiology Department | Stanford, CA</w:t>
      </w:r>
      <w:r>
        <w:t xml:space="preserve"> </w:t>
      </w:r>
      <w:r>
        <w:rPr>
          <w:rFonts w:ascii="Arial" w:eastAsia="Arial" w:hAnsi="Arial" w:cs="Arial"/>
        </w:rPr>
        <w:t xml:space="preserve">• </w:t>
      </w:r>
      <w:r>
        <w:t xml:space="preserve">Mentor, </w:t>
      </w:r>
      <w:r>
        <w:rPr>
          <w:b/>
        </w:rPr>
        <w:t xml:space="preserve">Sharpest Minds </w:t>
      </w:r>
    </w:p>
    <w:p w:rsidR="004D315A" w:rsidRDefault="00000000">
      <w:pPr>
        <w:spacing w:after="0" w:line="259" w:lineRule="auto"/>
        <w:ind w:left="0" w:firstLine="0"/>
      </w:pPr>
      <w:r>
        <w:rPr>
          <w:b/>
        </w:rPr>
        <w:t xml:space="preserve"> </w:t>
      </w:r>
    </w:p>
    <w:p w:rsidR="004D315A" w:rsidRDefault="00000000">
      <w:pPr>
        <w:pStyle w:val="Heading2"/>
        <w:ind w:left="-5"/>
      </w:pPr>
      <w:r>
        <w:t xml:space="preserve">Skills </w:t>
      </w:r>
    </w:p>
    <w:p w:rsidR="004D315A" w:rsidRDefault="00000000">
      <w:pPr>
        <w:spacing w:after="69" w:line="259" w:lineRule="auto"/>
        <w:ind w:left="-29" w:right="-30" w:firstLine="0"/>
      </w:pPr>
      <w:r>
        <w:rPr>
          <w:rFonts w:ascii="Calibri" w:eastAsia="Calibri" w:hAnsi="Calibri" w:cs="Calibri"/>
          <w:noProof/>
          <w:sz w:val="22"/>
        </w:rPr>
        <mc:AlternateContent>
          <mc:Choice Requires="wpg">
            <w:drawing>
              <wp:inline distT="0" distB="0" distL="0" distR="0">
                <wp:extent cx="5981065" cy="9144"/>
                <wp:effectExtent l="0" t="0" r="0" b="0"/>
                <wp:docPr id="5035" name="Group 503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395" name="Shape 63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35" style="width:470.95pt;height:0.719971pt;mso-position-horizontal-relative:char;mso-position-vertical-relative:line" coordsize="59810,91">
                <v:shape id="Shape 63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D315A" w:rsidRDefault="00000000">
      <w:pPr>
        <w:ind w:left="0" w:right="1" w:firstLine="0"/>
      </w:pPr>
      <w:r>
        <w:t xml:space="preserve">Data Warehouse, Business Intelligence, Marketing, CRM, Data Governance, Data Integrity, Data </w:t>
      </w:r>
    </w:p>
    <w:p w:rsidR="004D315A" w:rsidRDefault="00000000">
      <w:pPr>
        <w:ind w:left="0" w:right="1" w:firstLine="0"/>
      </w:pPr>
      <w:r>
        <w:t xml:space="preserve">Stewardship, Workflow, Budgeting, Decision Support, GDPR, CCPA, Enterprise Resource Planning, Data Analytics, Data Science, Dashboarding &amp; Metrics, Performance Management, Predictive Analytics, Testing, Customer Segmentation, Customer engagement, Customer Interaction. </w:t>
      </w:r>
    </w:p>
    <w:p w:rsidR="004D315A" w:rsidRDefault="00000000">
      <w:pPr>
        <w:spacing w:after="0" w:line="259" w:lineRule="auto"/>
        <w:ind w:left="0" w:firstLine="0"/>
      </w:pPr>
      <w:r>
        <w:t xml:space="preserve"> </w:t>
      </w:r>
    </w:p>
    <w:p w:rsidR="004D315A" w:rsidRDefault="00000000">
      <w:pPr>
        <w:spacing w:after="0" w:line="259" w:lineRule="auto"/>
        <w:ind w:left="0" w:firstLine="0"/>
      </w:pPr>
      <w:r>
        <w:t xml:space="preserve"> </w:t>
      </w:r>
    </w:p>
    <w:p w:rsidR="004D315A" w:rsidRDefault="00000000">
      <w:pPr>
        <w:spacing w:after="0" w:line="259" w:lineRule="auto"/>
        <w:ind w:left="720" w:firstLine="0"/>
      </w:pPr>
      <w:r>
        <w:t xml:space="preserve"> </w:t>
      </w:r>
    </w:p>
    <w:sectPr w:rsidR="004D315A">
      <w:pgSz w:w="12240" w:h="15840"/>
      <w:pgMar w:top="485" w:right="1439"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12FE"/>
    <w:multiLevelType w:val="hybridMultilevel"/>
    <w:tmpl w:val="A288D21E"/>
    <w:lvl w:ilvl="0" w:tplc="56D8ED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08629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229C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1E0E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8849A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BEC7E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A2F2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6EE10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7EE89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7F1C54"/>
    <w:multiLevelType w:val="hybridMultilevel"/>
    <w:tmpl w:val="EAF08596"/>
    <w:lvl w:ilvl="0" w:tplc="529EEC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02155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DCD34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4C26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52FE9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3EE2E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8E14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C6C83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D4855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E6028E"/>
    <w:multiLevelType w:val="hybridMultilevel"/>
    <w:tmpl w:val="734A59F6"/>
    <w:lvl w:ilvl="0" w:tplc="CC009334">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A8D988">
      <w:start w:val="1"/>
      <w:numFmt w:val="bullet"/>
      <w:lvlText w:val="o"/>
      <w:lvlJc w:val="left"/>
      <w:pPr>
        <w:ind w:left="23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3C15AA">
      <w:start w:val="1"/>
      <w:numFmt w:val="bullet"/>
      <w:lvlText w:val="▪"/>
      <w:lvlJc w:val="left"/>
      <w:pPr>
        <w:ind w:left="31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6A1728">
      <w:start w:val="1"/>
      <w:numFmt w:val="bullet"/>
      <w:lvlText w:val="•"/>
      <w:lvlJc w:val="left"/>
      <w:pPr>
        <w:ind w:left="3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E29FEC">
      <w:start w:val="1"/>
      <w:numFmt w:val="bullet"/>
      <w:lvlText w:val="o"/>
      <w:lvlJc w:val="left"/>
      <w:pPr>
        <w:ind w:left="45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24C150">
      <w:start w:val="1"/>
      <w:numFmt w:val="bullet"/>
      <w:lvlText w:val="▪"/>
      <w:lvlJc w:val="left"/>
      <w:pPr>
        <w:ind w:left="52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98E3DA">
      <w:start w:val="1"/>
      <w:numFmt w:val="bullet"/>
      <w:lvlText w:val="•"/>
      <w:lvlJc w:val="left"/>
      <w:pPr>
        <w:ind w:left="5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62D3F8">
      <w:start w:val="1"/>
      <w:numFmt w:val="bullet"/>
      <w:lvlText w:val="o"/>
      <w:lvlJc w:val="left"/>
      <w:pPr>
        <w:ind w:left="67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AA6BAA">
      <w:start w:val="1"/>
      <w:numFmt w:val="bullet"/>
      <w:lvlText w:val="▪"/>
      <w:lvlJc w:val="left"/>
      <w:pPr>
        <w:ind w:left="7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5B5486"/>
    <w:multiLevelType w:val="hybridMultilevel"/>
    <w:tmpl w:val="E6421040"/>
    <w:lvl w:ilvl="0" w:tplc="DFBCF1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5625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2E6C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D4E0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22D1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38C1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BA80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B027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CC7F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9A5CC6"/>
    <w:multiLevelType w:val="hybridMultilevel"/>
    <w:tmpl w:val="E4F67544"/>
    <w:lvl w:ilvl="0" w:tplc="22BCF3D0">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FE6BD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641BE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1CD5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224BF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C4667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B06B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482F7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C08A7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26927841">
    <w:abstractNumId w:val="3"/>
  </w:num>
  <w:num w:numId="2" w16cid:durableId="1047994833">
    <w:abstractNumId w:val="1"/>
  </w:num>
  <w:num w:numId="3" w16cid:durableId="212350645">
    <w:abstractNumId w:val="0"/>
  </w:num>
  <w:num w:numId="4" w16cid:durableId="2125272851">
    <w:abstractNumId w:val="4"/>
  </w:num>
  <w:num w:numId="5" w16cid:durableId="1489399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5A"/>
    <w:rsid w:val="00101876"/>
    <w:rsid w:val="004D3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149B04B8-7A31-244F-B453-7054A9FF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730" w:hanging="370"/>
    </w:pPr>
    <w:rPr>
      <w:rFonts w:ascii="Segoe UI" w:eastAsia="Segoe UI" w:hAnsi="Segoe UI" w:cs="Segoe UI"/>
      <w:color w:val="000000"/>
      <w:sz w:val="20"/>
      <w:lang w:val="en-US" w:eastAsia="en-US" w:bidi="en-US"/>
    </w:rPr>
  </w:style>
  <w:style w:type="paragraph" w:styleId="Heading1">
    <w:name w:val="heading 1"/>
    <w:next w:val="Normal"/>
    <w:link w:val="Heading1Char"/>
    <w:uiPriority w:val="9"/>
    <w:qFormat/>
    <w:pPr>
      <w:keepNext/>
      <w:keepLines/>
      <w:spacing w:line="259" w:lineRule="auto"/>
      <w:outlineLvl w:val="0"/>
    </w:pPr>
    <w:rPr>
      <w:rFonts w:ascii="Segoe UI" w:eastAsia="Segoe UI" w:hAnsi="Segoe UI" w:cs="Segoe UI"/>
      <w:b/>
      <w:color w:val="000000"/>
    </w:rPr>
  </w:style>
  <w:style w:type="paragraph" w:styleId="Heading2">
    <w:name w:val="heading 2"/>
    <w:next w:val="Normal"/>
    <w:link w:val="Heading2Char"/>
    <w:uiPriority w:val="9"/>
    <w:unhideWhenUsed/>
    <w:qFormat/>
    <w:pPr>
      <w:keepNext/>
      <w:keepLines/>
      <w:spacing w:after="4" w:line="250" w:lineRule="auto"/>
      <w:ind w:left="10" w:right="610" w:hanging="10"/>
      <w:outlineLvl w:val="1"/>
    </w:pPr>
    <w:rPr>
      <w:rFonts w:ascii="Segoe UI" w:eastAsia="Segoe UI" w:hAnsi="Segoe UI" w:cs="Segoe U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4"/>
    </w:rPr>
  </w:style>
  <w:style w:type="character" w:customStyle="1" w:styleId="Heading2Char">
    <w:name w:val="Heading 2 Char"/>
    <w:link w:val="Heading2"/>
    <w:rPr>
      <w:rFonts w:ascii="Segoe UI" w:eastAsia="Segoe UI" w:hAnsi="Segoe UI" w:cs="Segoe UI"/>
      <w:b/>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ishoreAIMLCloud" TargetMode="External"/><Relationship Id="rId3" Type="http://schemas.openxmlformats.org/officeDocument/2006/relationships/settings" Target="settings.xml"/><Relationship Id="rId7" Type="http://schemas.openxmlformats.org/officeDocument/2006/relationships/hyperlink" Target="https://github.com/kishoreAIML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kishoreAIMLCloud" TargetMode="External"/><Relationship Id="rId5" Type="http://schemas.openxmlformats.org/officeDocument/2006/relationships/hyperlink" Target="http://www.github.com/kishoreAIMLClo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cp:lastModifiedBy>Karan Thakur</cp:lastModifiedBy>
  <cp:revision>2</cp:revision>
  <dcterms:created xsi:type="dcterms:W3CDTF">2024-07-14T18:17:00Z</dcterms:created>
  <dcterms:modified xsi:type="dcterms:W3CDTF">2024-07-14T18:17:00Z</dcterms:modified>
</cp:coreProperties>
</file>