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7209B7"/>
          <w:sz w:val="48"/>
          <w:szCs w:val="48"/>
        </w:rPr>
        <w:t xml:space="preserve">PREDICTIVE MODELING AND RISK SCORING</w:t>
      </w:r>
    </w:p>
    <w:p>
      <w:pPr>
        <w:spacing w:before="0" w:after="300"/>
        <w:jc w:val="center"/>
      </w:pPr>
      <w:r>
        <w:rPr>
          <w:rFonts w:ascii="Arial" w:cs="Arial" w:eastAsia="Arial" w:hAnsi="Arial"/>
          <w:b/>
          <w:bCs/>
          <w:color w:val="7209B7"/>
          <w:sz w:val="48"/>
          <w:szCs w:val="48"/>
        </w:rPr>
        <w:t xml:space="preserve">FOR BANK CUSTOMER CHURN</w:t>
      </w:r>
    </w:p>
    <w:p>
      <w:pPr>
        <w:pBdr>
          <w:bottom w:val="single" w:color="7209B7" w:sz="4" w:space="1"/>
        </w:pBdr>
        <w:spacing w:before="200" w:after="200"/>
      </w:pPr>
    </w:p>
    <w:p>
      <w:pPr>
        <w:spacing w:before="200" w:after="200"/>
        <w:jc w:val="center"/>
      </w:pPr>
      <w:r>
        <w:rPr>
          <w:rFonts w:ascii="Arial" w:cs="Arial" w:eastAsia="Arial" w:hAnsi="Arial"/>
          <w:i/>
          <w:iCs/>
          <w:color w:val="480CA8"/>
          <w:sz w:val="26"/>
          <w:szCs w:val="26"/>
        </w:rPr>
        <w:t xml:space="preserve">A Comprehensive Research Paper on Machine Learning-Driven Churn Intelligence</w:t>
      </w:r>
    </w:p>
    <w:p>
      <w:pPr>
        <w:spacing w:before="100" w:after="100"/>
        <w:jc w:val="both"/>
      </w:pPr>
      <w:r>
        <w:rPr>
          <w:rFonts w:ascii="Arial" w:cs="Arial" w:eastAsia="Arial" w:hAnsi="Arial"/>
          <w:sz w:val="22"/>
          <w:szCs w:val="22"/>
        </w:rPr>
        <w:t xml:space="preserve"/>
      </w:r>
    </w:p>
    <w:p>
      <w:pPr>
        <w:spacing w:before="600" w:after="200"/>
        <w:jc w:val="center"/>
      </w:pPr>
      <w:r>
        <w:rPr>
          <w:rFonts w:ascii="Arial" w:cs="Arial" w:eastAsia="Arial" w:hAnsi="Arial"/>
          <w:b/>
          <w:bCs/>
          <w:color w:val="1A1A2E"/>
          <w:sz w:val="24"/>
          <w:szCs w:val="24"/>
        </w:rPr>
        <w:t xml:space="preserve">European Central Bank — Retail Analytics Division</w:t>
      </w:r>
    </w:p>
    <w:p>
      <w:pPr>
        <w:spacing w:before="80" w:after="80"/>
        <w:jc w:val="center"/>
      </w:pPr>
      <w:r>
        <w:rPr>
          <w:rFonts w:ascii="Arial" w:cs="Arial" w:eastAsia="Arial" w:hAnsi="Arial"/>
          <w:i/>
          <w:iCs/>
          <w:color w:val="666666"/>
          <w:sz w:val="22"/>
          <w:szCs w:val="22"/>
        </w:rPr>
        <w:t xml:space="preserve">Unified Mentor Research Program | March 2025</w:t>
      </w:r>
    </w:p>
    <w:p>
      <w:r>
        <w:br w:type="page"/>
      </w:r>
    </w:p>
    <w:p>
      <w:pPr>
        <w:pStyle w:val="Heading1"/>
      </w:pPr>
      <w:r>
        <w:rPr>
          <w:rFonts w:ascii="Arial" w:cs="Arial" w:eastAsia="Arial" w:hAnsi="Arial"/>
          <w:b/>
          <w:bCs/>
        </w:rPr>
        <w:t xml:space="preserve">Abstract</w:t>
      </w:r>
    </w:p>
    <w:p>
      <w:pPr>
        <w:spacing w:before="100" w:after="100"/>
        <w:jc w:val="both"/>
      </w:pPr>
      <w:r>
        <w:rPr>
          <w:rFonts w:ascii="Arial" w:cs="Arial" w:eastAsia="Arial" w:hAnsi="Arial"/>
          <w:sz w:val="22"/>
          <w:szCs w:val="22"/>
        </w:rPr>
        <w:t xml:space="preserve">Customer churn represents one of the most critical challenges facing modern retail banking institutions. This paper presents a comprehensive machine learning framework for predicting customer churn within a European retail banking context using a dataset of 10,000 customers sourced from the European Central Bank's retail analytics program. We develop and evaluate four predictive models — Logistic Regression, Decision Tree, Random Forest, and Gradient Boosting — augmented with six engineered features derived from customer behavioral and financial profiles.</w:t>
      </w:r>
    </w:p>
    <w:p>
      <w:pPr>
        <w:spacing w:before="100" w:after="100"/>
        <w:jc w:val="both"/>
      </w:pPr>
      <w:r>
        <w:rPr>
          <w:rFonts w:ascii="Arial" w:cs="Arial" w:eastAsia="Arial" w:hAnsi="Arial"/>
          <w:sz w:val="22"/>
          <w:szCs w:val="22"/>
        </w:rPr>
        <w:t xml:space="preserve"/>
      </w:r>
    </w:p>
    <w:p>
      <w:pPr>
        <w:spacing w:before="100" w:after="100"/>
        <w:jc w:val="both"/>
      </w:pPr>
      <w:r>
        <w:rPr>
          <w:rFonts w:ascii="Arial" w:cs="Arial" w:eastAsia="Arial" w:hAnsi="Arial"/>
          <w:sz w:val="22"/>
          <w:szCs w:val="22"/>
        </w:rPr>
        <w:t xml:space="preserve">Our analysis reveals that Random Forest achieves the highest F1 score of 0.636 with an ROC-AUC of 0.865, while Gradient Boosting delivers the highest accuracy at 86.7%. Feature importance analysis consistently identifies Age, Balance, and NumOfProducts as the primary churn predictors. The paper concludes with actionable retention strategy recommendations and a Streamlit-based interactive risk scoring application.</w:t>
      </w:r>
    </w:p>
    <w:p>
      <w:pPr>
        <w:spacing w:before="100" w:after="100"/>
        <w:jc w:val="both"/>
      </w:pPr>
      <w:r>
        <w:rPr>
          <w:rFonts w:ascii="Arial" w:cs="Arial" w:eastAsia="Arial" w:hAnsi="Arial"/>
          <w:sz w:val="22"/>
          <w:szCs w:val="22"/>
        </w:rPr>
        <w:t xml:space="preserve"/>
      </w:r>
    </w:p>
    <w:p>
      <w:pPr>
        <w:spacing w:before="100" w:after="100"/>
        <w:jc w:val="both"/>
      </w:pPr>
      <w:r>
        <w:rPr>
          <w:rFonts w:ascii="Arial" w:cs="Arial" w:eastAsia="Arial" w:hAnsi="Arial"/>
          <w:i/>
          <w:iCs/>
          <w:sz w:val="22"/>
          <w:szCs w:val="22"/>
        </w:rPr>
        <w:t xml:space="preserve">Keywords: Customer Churn, Machine Learning, Random Forest, Gradient Boosting, Risk Scoring, Feature Engineering, Retail Banking, Predictive Analytics</w:t>
      </w:r>
    </w:p>
    <w:p>
      <w:pPr>
        <w:pBdr>
          <w:bottom w:val="single" w:color="7209B7" w:sz="4" w:space="1"/>
        </w:pBdr>
        <w:spacing w:before="200" w:after="200"/>
      </w:pPr>
    </w:p>
    <w:p>
      <w:pPr>
        <w:pStyle w:val="Heading1"/>
      </w:pPr>
      <w:r>
        <w:rPr>
          <w:rFonts w:ascii="Arial" w:cs="Arial" w:eastAsia="Arial" w:hAnsi="Arial"/>
          <w:b/>
          <w:bCs/>
        </w:rPr>
        <w:t xml:space="preserve">1. Introduction</w:t>
      </w:r>
    </w:p>
    <w:p>
      <w:pPr>
        <w:pStyle w:val="Heading2"/>
      </w:pPr>
      <w:r>
        <w:rPr>
          <w:rFonts w:ascii="Arial" w:cs="Arial" w:eastAsia="Arial" w:hAnsi="Arial"/>
          <w:b/>
          <w:bCs/>
        </w:rPr>
        <w:t xml:space="preserve">1.1 Background and Motivation</w:t>
      </w:r>
    </w:p>
    <w:p>
      <w:pPr>
        <w:spacing w:before="100" w:after="100"/>
        <w:jc w:val="both"/>
      </w:pPr>
      <w:r>
        <w:rPr>
          <w:rFonts w:ascii="Arial" w:cs="Arial" w:eastAsia="Arial" w:hAnsi="Arial"/>
          <w:sz w:val="22"/>
          <w:szCs w:val="22"/>
        </w:rPr>
        <w:t xml:space="preserve">In an increasingly competitive European banking landscape, customer retention has become a strategic imperative. The cost of acquiring a new customer typically exceeds the cost of retaining an existing one by factors of five to twenty-five, making churn prevention central to sustainable profitability. Beyond direct acquisition costs, customer churn diminishes Customer Lifetime Value (CLV), erodes cross-selling revenue, and weakens brand loyalty.</w:t>
      </w:r>
    </w:p>
    <w:p>
      <w:pPr>
        <w:spacing w:before="100" w:after="100"/>
        <w:jc w:val="both"/>
      </w:pPr>
      <w:r>
        <w:rPr>
          <w:rFonts w:ascii="Arial" w:cs="Arial" w:eastAsia="Arial" w:hAnsi="Arial"/>
          <w:sz w:val="22"/>
          <w:szCs w:val="22"/>
        </w:rPr>
        <w:t xml:space="preserve"/>
      </w:r>
    </w:p>
    <w:p>
      <w:pPr>
        <w:spacing w:before="100" w:after="100"/>
        <w:jc w:val="both"/>
      </w:pPr>
      <w:r>
        <w:rPr>
          <w:rFonts w:ascii="Arial" w:cs="Arial" w:eastAsia="Arial" w:hAnsi="Arial"/>
          <w:sz w:val="22"/>
          <w:szCs w:val="22"/>
        </w:rPr>
        <w:t xml:space="preserve">Traditional approaches to churn analysis have relied on retrospective reporting — explaining why customers left after the fact. Modern banking institutions require forward-looking intelligence: the ability to identify at-risk customers before they depart, enabling proactive intervention through personalized offers, dedicated service, or targeted engagement campaigns.</w:t>
      </w:r>
    </w:p>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1.2 Problem Statement</w:t>
      </w:r>
    </w:p>
    <w:p>
      <w:pPr>
        <w:spacing w:before="100" w:after="100"/>
        <w:jc w:val="both"/>
      </w:pPr>
      <w:r>
        <w:rPr>
          <w:rFonts w:ascii="Arial" w:cs="Arial" w:eastAsia="Arial" w:hAnsi="Arial"/>
          <w:sz w:val="22"/>
          <w:szCs w:val="22"/>
        </w:rPr>
        <w:t xml:space="preserve">Despite possessing rich customer-level data, many European retail banks lack the analytical infrastructure to translate this data into actionable churn predictions. As a result, retention initiatives tend to be reactive rather than proactive, broad rather than targeted, and costly relative to their effectiveness. This paper addresses that gap by introducing a machine learning-based predictive churn intelligence system.</w:t>
      </w:r>
    </w:p>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1.3 Research Objectives</w:t>
      </w:r>
    </w:p>
    <w:p>
      <w:pPr>
        <w:spacing w:before="100" w:after="100"/>
        <w:jc w:val="both"/>
      </w:pPr>
      <w:r>
        <w:rPr>
          <w:rFonts w:ascii="Arial" w:cs="Arial" w:eastAsia="Arial" w:hAnsi="Arial"/>
          <w:sz w:val="22"/>
          <w:szCs w:val="22"/>
        </w:rPr>
        <w:t xml:space="preserve">The primary objectives of this research are:</w:t>
      </w:r>
    </w:p>
    <w:p>
      <w:pPr>
        <w:pStyle w:val="ListParagraph"/>
        <w:numPr>
          <w:ilvl w:val="0"/>
          <w:numId w:val="2"/>
        </w:numPr>
        <w:spacing w:before="60" w:after="60"/>
      </w:pPr>
      <w:r>
        <w:rPr>
          <w:rFonts w:ascii="Arial" w:cs="Arial" w:eastAsia="Arial" w:hAnsi="Arial"/>
          <w:sz w:val="22"/>
          <w:szCs w:val="22"/>
        </w:rPr>
        <w:t xml:space="preserve">Predict customer churn with high accuracy using machine learning models</w:t>
      </w:r>
    </w:p>
    <w:p>
      <w:pPr>
        <w:pStyle w:val="ListParagraph"/>
        <w:numPr>
          <w:ilvl w:val="0"/>
          <w:numId w:val="2"/>
        </w:numPr>
        <w:spacing w:before="60" w:after="60"/>
      </w:pPr>
      <w:r>
        <w:rPr>
          <w:rFonts w:ascii="Arial" w:cs="Arial" w:eastAsia="Arial" w:hAnsi="Arial"/>
          <w:sz w:val="22"/>
          <w:szCs w:val="22"/>
        </w:rPr>
        <w:t xml:space="preserve">Generate calibrated churn probability scores on a 0–1 scale</w:t>
      </w:r>
    </w:p>
    <w:p>
      <w:pPr>
        <w:pStyle w:val="ListParagraph"/>
        <w:numPr>
          <w:ilvl w:val="0"/>
          <w:numId w:val="2"/>
        </w:numPr>
        <w:spacing w:before="60" w:after="60"/>
      </w:pPr>
      <w:r>
        <w:rPr>
          <w:rFonts w:ascii="Arial" w:cs="Arial" w:eastAsia="Arial" w:hAnsi="Arial"/>
          <w:sz w:val="22"/>
          <w:szCs w:val="22"/>
        </w:rPr>
        <w:t xml:space="preserve">Identify and rank key behavioral and financial churn drivers</w:t>
      </w:r>
    </w:p>
    <w:p>
      <w:pPr>
        <w:pStyle w:val="ListParagraph"/>
        <w:numPr>
          <w:ilvl w:val="0"/>
          <w:numId w:val="2"/>
        </w:numPr>
        <w:spacing w:before="60" w:after="60"/>
      </w:pPr>
      <w:r>
        <w:rPr>
          <w:rFonts w:ascii="Arial" w:cs="Arial" w:eastAsia="Arial" w:hAnsi="Arial"/>
          <w:sz w:val="22"/>
          <w:szCs w:val="22"/>
        </w:rPr>
        <w:t xml:space="preserve">Minimize false positives to reduce unnecessary retention spend</w:t>
      </w:r>
    </w:p>
    <w:p>
      <w:pPr>
        <w:pStyle w:val="ListParagraph"/>
        <w:numPr>
          <w:ilvl w:val="0"/>
          <w:numId w:val="2"/>
        </w:numPr>
        <w:spacing w:before="60" w:after="60"/>
      </w:pPr>
      <w:r>
        <w:rPr>
          <w:rFonts w:ascii="Arial" w:cs="Arial" w:eastAsia="Arial" w:hAnsi="Arial"/>
          <w:sz w:val="22"/>
          <w:szCs w:val="22"/>
        </w:rPr>
        <w:t xml:space="preserve">Build an interpretable and deployable churn intelligence application</w:t>
      </w:r>
    </w:p>
    <w:p>
      <w:pPr>
        <w:spacing w:before="100" w:after="100"/>
        <w:jc w:val="both"/>
      </w:pPr>
      <w:r>
        <w:rPr>
          <w:rFonts w:ascii="Arial" w:cs="Arial" w:eastAsia="Arial" w:hAnsi="Arial"/>
          <w:sz w:val="22"/>
          <w:szCs w:val="22"/>
        </w:rPr>
        <w:t xml:space="preserve"/>
      </w:r>
    </w:p>
    <w:p>
      <w:pPr>
        <w:pBdr>
          <w:bottom w:val="single" w:color="7209B7" w:sz="4" w:space="1"/>
        </w:pBdr>
        <w:spacing w:before="200" w:after="200"/>
      </w:pPr>
    </w:p>
    <w:p>
      <w:pPr>
        <w:pStyle w:val="Heading1"/>
      </w:pPr>
      <w:r>
        <w:rPr>
          <w:rFonts w:ascii="Arial" w:cs="Arial" w:eastAsia="Arial" w:hAnsi="Arial"/>
          <w:b/>
          <w:bCs/>
        </w:rPr>
        <w:t xml:space="preserve">2. Dataset Description</w:t>
      </w:r>
    </w:p>
    <w:p>
      <w:pPr>
        <w:pStyle w:val="Heading2"/>
      </w:pPr>
      <w:r>
        <w:rPr>
          <w:rFonts w:ascii="Arial" w:cs="Arial" w:eastAsia="Arial" w:hAnsi="Arial"/>
          <w:b/>
          <w:bCs/>
        </w:rPr>
        <w:t xml:space="preserve">2.1 Data Source and Composition</w:t>
      </w:r>
    </w:p>
    <w:p>
      <w:pPr>
        <w:spacing w:before="100" w:after="100"/>
        <w:jc w:val="both"/>
      </w:pPr>
      <w:r>
        <w:rPr>
          <w:rFonts w:ascii="Arial" w:cs="Arial" w:eastAsia="Arial" w:hAnsi="Arial"/>
          <w:sz w:val="22"/>
          <w:szCs w:val="22"/>
        </w:rPr>
        <w:t xml:space="preserve">The dataset comprises 10,000 customer records from a European retail bank operating across France, Germany, and Spain. The target variable Exited indicates whether a customer churned (1) or was retained (0). The overall churn rate is 20.37%, indicating a class imbalance that must be addressed in model training.</w:t>
      </w:r>
    </w:p>
    <w:p>
      <w:pPr>
        <w:spacing w:before="100" w:after="100"/>
        <w:jc w:val="both"/>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500"/>
        <w:gridCol w:w="1860"/>
      </w:tblGrid>
      <w:tr>
        <w:trPr>
          <w:tblHeader/>
        </w:trPr>
        <w:tc>
          <w:tcPr>
            <w:tcW w:type="dxa" w:w="25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CreditScore</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Numerical</w:t>
            </w:r>
          </w:p>
        </w:tc>
        <w:tc>
          <w:tcPr>
            <w:tcW w:type="dxa" w:w="3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Customer creditworthiness score (300–900)</w:t>
            </w:r>
          </w:p>
        </w:tc>
        <w:tc>
          <w:tcPr>
            <w:tcW w:type="dxa" w:w="1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Predictor</w:t>
            </w:r>
          </w:p>
        </w:tc>
      </w:tr>
      <w:tr>
        <w:tc>
          <w:tcPr>
            <w:tcW w:type="dxa" w:w="2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Geography</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3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Country: France, Germany, Spain</w:t>
            </w:r>
          </w:p>
        </w:tc>
        <w:tc>
          <w:tcPr>
            <w:tcW w:type="dxa" w:w="1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Predictor</w:t>
            </w:r>
          </w:p>
        </w:tc>
      </w:tr>
      <w:tr>
        <w:tc>
          <w:tcPr>
            <w:tcW w:type="dxa" w:w="2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Gender</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3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Male / Female</w:t>
            </w:r>
          </w:p>
        </w:tc>
        <w:tc>
          <w:tcPr>
            <w:tcW w:type="dxa" w:w="1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Predictor</w:t>
            </w:r>
          </w:p>
        </w:tc>
      </w:tr>
      <w:tr>
        <w:tc>
          <w:tcPr>
            <w:tcW w:type="dxa" w:w="2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Age</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Numerical</w:t>
            </w:r>
          </w:p>
        </w:tc>
        <w:tc>
          <w:tcPr>
            <w:tcW w:type="dxa" w:w="3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Customer age in years</w:t>
            </w:r>
          </w:p>
        </w:tc>
        <w:tc>
          <w:tcPr>
            <w:tcW w:type="dxa" w:w="1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Predictor</w:t>
            </w:r>
          </w:p>
        </w:tc>
      </w:tr>
      <w:tr>
        <w:tc>
          <w:tcPr>
            <w:tcW w:type="dxa" w:w="2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Tenure</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Numerical</w:t>
            </w:r>
          </w:p>
        </w:tc>
        <w:tc>
          <w:tcPr>
            <w:tcW w:type="dxa" w:w="3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Years as a bank customer (0–10)</w:t>
            </w:r>
          </w:p>
        </w:tc>
        <w:tc>
          <w:tcPr>
            <w:tcW w:type="dxa" w:w="1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Predictor</w:t>
            </w:r>
          </w:p>
        </w:tc>
      </w:tr>
      <w:tr>
        <w:tc>
          <w:tcPr>
            <w:tcW w:type="dxa" w:w="2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Balance</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Numerical</w:t>
            </w:r>
          </w:p>
        </w:tc>
        <w:tc>
          <w:tcPr>
            <w:tcW w:type="dxa" w:w="3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Account balance in euros</w:t>
            </w:r>
          </w:p>
        </w:tc>
        <w:tc>
          <w:tcPr>
            <w:tcW w:type="dxa" w:w="1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Predictor</w:t>
            </w:r>
          </w:p>
        </w:tc>
      </w:tr>
      <w:tr>
        <w:tc>
          <w:tcPr>
            <w:tcW w:type="dxa" w:w="2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NumOfProducts</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Numerical</w:t>
            </w:r>
          </w:p>
        </w:tc>
        <w:tc>
          <w:tcPr>
            <w:tcW w:type="dxa" w:w="3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Number of bank products held (1–4)</w:t>
            </w:r>
          </w:p>
        </w:tc>
        <w:tc>
          <w:tcPr>
            <w:tcW w:type="dxa" w:w="1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Predictor</w:t>
            </w:r>
          </w:p>
        </w:tc>
      </w:tr>
      <w:tr>
        <w:tc>
          <w:tcPr>
            <w:tcW w:type="dxa" w:w="2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HasCrCard</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Binary</w:t>
            </w:r>
          </w:p>
        </w:tc>
        <w:tc>
          <w:tcPr>
            <w:tcW w:type="dxa" w:w="3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Credit card ownership (0/1)</w:t>
            </w:r>
          </w:p>
        </w:tc>
        <w:tc>
          <w:tcPr>
            <w:tcW w:type="dxa" w:w="1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Predictor</w:t>
            </w:r>
          </w:p>
        </w:tc>
      </w:tr>
      <w:tr>
        <w:tc>
          <w:tcPr>
            <w:tcW w:type="dxa" w:w="2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IsActiveMember</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Binary</w:t>
            </w:r>
          </w:p>
        </w:tc>
        <w:tc>
          <w:tcPr>
            <w:tcW w:type="dxa" w:w="3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Active member status (0/1)</w:t>
            </w:r>
          </w:p>
        </w:tc>
        <w:tc>
          <w:tcPr>
            <w:tcW w:type="dxa" w:w="1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Predictor</w:t>
            </w:r>
          </w:p>
        </w:tc>
      </w:tr>
      <w:tr>
        <w:tc>
          <w:tcPr>
            <w:tcW w:type="dxa" w:w="2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EstimatedSalary</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Numerical</w:t>
            </w:r>
          </w:p>
        </w:tc>
        <w:tc>
          <w:tcPr>
            <w:tcW w:type="dxa" w:w="3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Annual estimated salary in euros</w:t>
            </w:r>
          </w:p>
        </w:tc>
        <w:tc>
          <w:tcPr>
            <w:tcW w:type="dxa" w:w="1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Predictor</w:t>
            </w:r>
          </w:p>
        </w:tc>
      </w:tr>
      <w:tr>
        <w:tc>
          <w:tcPr>
            <w:tcW w:type="dxa" w:w="2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Exited</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Binary</w:t>
            </w:r>
          </w:p>
        </w:tc>
        <w:tc>
          <w:tcPr>
            <w:tcW w:type="dxa" w:w="3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Churn indicator — target variable (0/1)</w:t>
            </w:r>
          </w:p>
        </w:tc>
        <w:tc>
          <w:tcPr>
            <w:tcW w:type="dxa" w:w="18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Target</w:t>
            </w:r>
          </w:p>
        </w:tc>
      </w:tr>
    </w:tbl>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2.2 Class Distribution</w:t>
      </w:r>
    </w:p>
    <w:p>
      <w:pPr>
        <w:spacing w:before="100" w:after="100"/>
        <w:jc w:val="both"/>
      </w:pPr>
      <w:r>
        <w:rPr>
          <w:rFonts w:ascii="Arial" w:cs="Arial" w:eastAsia="Arial" w:hAnsi="Arial"/>
          <w:sz w:val="22"/>
          <w:szCs w:val="22"/>
        </w:rPr>
        <w:t xml:space="preserve">The dataset exhibits moderate class imbalance with 20.37% churned customers (2,037 records) and 79.63% retained customers (7,963 records). This imbalance was addressed by applying class_weight='balanced' in all model training configurations, which automatically adjusts the penalty weights for misclassifying minority class samples.</w:t>
      </w:r>
    </w:p>
    <w:p>
      <w:pPr>
        <w:spacing w:before="100" w:after="100"/>
        <w:jc w:val="both"/>
      </w:pPr>
      <w:r>
        <w:rPr>
          <w:rFonts w:ascii="Arial" w:cs="Arial" w:eastAsia="Arial" w:hAnsi="Arial"/>
          <w:sz w:val="22"/>
          <w:szCs w:val="22"/>
        </w:rPr>
        <w:t xml:space="preserve"/>
      </w:r>
    </w:p>
    <w:p>
      <w:pPr>
        <w:pBdr>
          <w:bottom w:val="single" w:color="7209B7" w:sz="4" w:space="1"/>
        </w:pBdr>
        <w:spacing w:before="200" w:after="200"/>
      </w:pPr>
    </w:p>
    <w:p>
      <w:pPr>
        <w:pStyle w:val="Heading1"/>
      </w:pPr>
      <w:r>
        <w:rPr>
          <w:rFonts w:ascii="Arial" w:cs="Arial" w:eastAsia="Arial" w:hAnsi="Arial"/>
          <w:b/>
          <w:bCs/>
        </w:rPr>
        <w:t xml:space="preserve">3. Analytical Methodology</w:t>
      </w:r>
    </w:p>
    <w:p>
      <w:pPr>
        <w:pStyle w:val="Heading2"/>
      </w:pPr>
      <w:r>
        <w:rPr>
          <w:rFonts w:ascii="Arial" w:cs="Arial" w:eastAsia="Arial" w:hAnsi="Arial"/>
          <w:b/>
          <w:bCs/>
        </w:rPr>
        <w:t xml:space="preserve">3.1 Data Preprocessing</w:t>
      </w:r>
    </w:p>
    <w:p>
      <w:pPr>
        <w:spacing w:before="100" w:after="100"/>
        <w:jc w:val="both"/>
      </w:pPr>
      <w:r>
        <w:rPr>
          <w:rFonts w:ascii="Arial" w:cs="Arial" w:eastAsia="Arial" w:hAnsi="Arial"/>
          <w:sz w:val="22"/>
          <w:szCs w:val="22"/>
        </w:rPr>
        <w:t xml:space="preserve">Preprocessing steps were applied systematically to ensure data quality and model readiness:</w:t>
      </w:r>
    </w:p>
    <w:p>
      <w:pPr>
        <w:pStyle w:val="ListParagraph"/>
        <w:numPr>
          <w:ilvl w:val="0"/>
          <w:numId w:val="2"/>
        </w:numPr>
        <w:spacing w:before="60" w:after="60"/>
      </w:pPr>
      <w:r>
        <w:rPr>
          <w:rFonts w:ascii="Arial" w:cs="Arial" w:eastAsia="Arial" w:hAnsi="Arial"/>
          <w:sz w:val="22"/>
          <w:szCs w:val="22"/>
        </w:rPr>
        <w:t xml:space="preserve">Non-informative identifiers (CustomerId, Surname) were dropped</w:t>
      </w:r>
    </w:p>
    <w:p>
      <w:pPr>
        <w:pStyle w:val="ListParagraph"/>
        <w:numPr>
          <w:ilvl w:val="0"/>
          <w:numId w:val="2"/>
        </w:numPr>
        <w:spacing w:before="60" w:after="60"/>
      </w:pPr>
      <w:r>
        <w:rPr>
          <w:rFonts w:ascii="Arial" w:cs="Arial" w:eastAsia="Arial" w:hAnsi="Arial"/>
          <w:sz w:val="22"/>
          <w:szCs w:val="22"/>
        </w:rPr>
        <w:t xml:space="preserve">No missing values were detected in the dataset</w:t>
      </w:r>
    </w:p>
    <w:p>
      <w:pPr>
        <w:pStyle w:val="ListParagraph"/>
        <w:numPr>
          <w:ilvl w:val="0"/>
          <w:numId w:val="2"/>
        </w:numPr>
        <w:spacing w:before="60" w:after="60"/>
      </w:pPr>
      <w:r>
        <w:rPr>
          <w:rFonts w:ascii="Arial" w:cs="Arial" w:eastAsia="Arial" w:hAnsi="Arial"/>
          <w:sz w:val="22"/>
          <w:szCs w:val="22"/>
        </w:rPr>
        <w:t xml:space="preserve">Geography and Gender were one-hot encoded into binary dummy variables</w:t>
      </w:r>
    </w:p>
    <w:p>
      <w:pPr>
        <w:pStyle w:val="ListParagraph"/>
        <w:numPr>
          <w:ilvl w:val="0"/>
          <w:numId w:val="2"/>
        </w:numPr>
        <w:spacing w:before="60" w:after="60"/>
      </w:pPr>
      <w:r>
        <w:rPr>
          <w:rFonts w:ascii="Arial" w:cs="Arial" w:eastAsia="Arial" w:hAnsi="Arial"/>
          <w:sz w:val="22"/>
          <w:szCs w:val="22"/>
        </w:rPr>
        <w:t xml:space="preserve">Numerical features were standardized using StandardScaler for Logistic Regression</w:t>
      </w:r>
    </w:p>
    <w:p>
      <w:pPr>
        <w:pStyle w:val="ListParagraph"/>
        <w:numPr>
          <w:ilvl w:val="0"/>
          <w:numId w:val="2"/>
        </w:numPr>
        <w:spacing w:before="60" w:after="60"/>
      </w:pPr>
      <w:r>
        <w:rPr>
          <w:rFonts w:ascii="Arial" w:cs="Arial" w:eastAsia="Arial" w:hAnsi="Arial"/>
          <w:sz w:val="22"/>
          <w:szCs w:val="22"/>
        </w:rPr>
        <w:t xml:space="preserve">Tree-based models (Decision Tree, Random Forest, Gradient Boosting) received unscaled features, as they are scale-invariant</w:t>
      </w:r>
    </w:p>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3.2 Feature Engineering</w:t>
      </w:r>
    </w:p>
    <w:p>
      <w:pPr>
        <w:spacing w:before="100" w:after="100"/>
        <w:jc w:val="both"/>
      </w:pPr>
      <w:r>
        <w:rPr>
          <w:rFonts w:ascii="Arial" w:cs="Arial" w:eastAsia="Arial" w:hAnsi="Arial"/>
          <w:sz w:val="22"/>
          <w:szCs w:val="22"/>
        </w:rPr>
        <w:t xml:space="preserve">Six derived features were engineered to capture behavioral dynamics not directly observable in raw features:</w:t>
      </w:r>
    </w:p>
    <w:p>
      <w:pPr>
        <w:spacing w:before="100" w:after="100"/>
        <w:jc w:val="both"/>
      </w:pPr>
      <w:r>
        <w:rPr>
          <w:rFonts w:ascii="Arial" w:cs="Arial" w:eastAsia="Arial" w:hAnsi="Arial"/>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960"/>
      </w:tblGrid>
      <w:tr>
        <w:trPr>
          <w:tblHeader/>
        </w:trPr>
        <w:tc>
          <w:tcPr>
            <w:tcW w:type="dxa" w:w="24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96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Balance_Salary_Ratio</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Balance / (EstimatedSalary + 1)</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Relative financial dependency on the bank</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Product_Density</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NumOfProducts / (Tenure + 1)</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Product acquisition rate over time</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Engagement_Product</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IsActiveMember × NumOfProducts</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Combined engagement and product depth</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Age_Tenure_Interaction</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Age × Tenure</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Captures long-term loyalty vs. age effects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Zero_Balance</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1 if Balance = 0, else 0</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Flags inactive or dormant accounts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Senior_Customer</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1 if Age &gt; 50, else 0</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Captures elevated churn risk in senior segment</w:t>
            </w:r>
          </w:p>
        </w:tc>
      </w:tr>
    </w:tbl>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3.3 Train-Test Split Strategy</w:t>
      </w:r>
    </w:p>
    <w:p>
      <w:pPr>
        <w:spacing w:before="100" w:after="100"/>
        <w:jc w:val="both"/>
      </w:pPr>
      <w:r>
        <w:rPr>
          <w:rFonts w:ascii="Arial" w:cs="Arial" w:eastAsia="Arial" w:hAnsi="Arial"/>
          <w:sz w:val="22"/>
          <w:szCs w:val="22"/>
        </w:rPr>
        <w:t xml:space="preserve">A stratified 80/20 train-test split was applied to preserve the churn class distribution across both partitions. Stratification ensures the minority class (churned customers) is proportionally represented in both training and evaluation sets, preventing evaluation bias. The random seed was fixed at 42 for reproducibility.</w:t>
      </w:r>
    </w:p>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3.4 Model Development</w:t>
      </w:r>
    </w:p>
    <w:p>
      <w:pPr>
        <w:spacing w:before="100" w:after="100"/>
        <w:jc w:val="both"/>
      </w:pPr>
      <w:r>
        <w:rPr>
          <w:rFonts w:ascii="Arial" w:cs="Arial" w:eastAsia="Arial" w:hAnsi="Arial"/>
          <w:sz w:val="22"/>
          <w:szCs w:val="22"/>
        </w:rPr>
        <w:t xml:space="preserve">Four models were developed spanning the interpretability-performance spectrum:</w:t>
      </w:r>
    </w:p>
    <w:p>
      <w:pPr>
        <w:spacing w:before="100" w:after="100"/>
        <w:jc w:val="both"/>
      </w:pPr>
      <w:r>
        <w:rPr>
          <w:rFonts w:ascii="Arial" w:cs="Arial" w:eastAsia="Arial" w:hAnsi="Arial"/>
          <w:sz w:val="22"/>
          <w:szCs w:val="22"/>
        </w:rPr>
        <w:t xml:space="preserve"/>
      </w:r>
    </w:p>
    <w:p>
      <w:pPr>
        <w:spacing w:before="100" w:after="100"/>
        <w:jc w:val="both"/>
      </w:pPr>
      <w:r>
        <w:rPr>
          <w:rFonts w:ascii="Arial" w:cs="Arial" w:eastAsia="Arial" w:hAnsi="Arial"/>
          <w:sz w:val="22"/>
          <w:szCs w:val="22"/>
        </w:rPr>
        <w:t xml:space="preserve">Logistic Regression served as the interpretability baseline, trained on scaled features with class balancing and a maximum of 1,000 iterations to ensure convergence. Decision Tree provided a non-linear baseline with depth limited to 6 to prevent overfitting. Random Forest combined 200 decision trees with a maximum depth of 10, leveraging ensemble averaging to reduce variance. Gradient Boosting trained 200 sequential estimators with a depth of 5 and learning rate of 0.05, optimizing the loss function incrementally.</w:t>
      </w:r>
    </w:p>
    <w:p>
      <w:pPr>
        <w:spacing w:before="100" w:after="100"/>
        <w:jc w:val="both"/>
      </w:pPr>
      <w:r>
        <w:rPr>
          <w:rFonts w:ascii="Arial" w:cs="Arial" w:eastAsia="Arial" w:hAnsi="Arial"/>
          <w:sz w:val="22"/>
          <w:szCs w:val="22"/>
        </w:rPr>
        <w:t xml:space="preserve"/>
      </w:r>
    </w:p>
    <w:p>
      <w:pPr>
        <w:pBdr>
          <w:bottom w:val="single" w:color="7209B7" w:sz="4" w:space="1"/>
        </w:pBdr>
        <w:spacing w:before="200" w:after="200"/>
      </w:pPr>
    </w:p>
    <w:p>
      <w:pPr>
        <w:pStyle w:val="Heading1"/>
      </w:pPr>
      <w:r>
        <w:rPr>
          <w:rFonts w:ascii="Arial" w:cs="Arial" w:eastAsia="Arial" w:hAnsi="Arial"/>
          <w:b/>
          <w:bCs/>
        </w:rPr>
        <w:t xml:space="preserve">4. Model Evaluation and Results</w:t>
      </w:r>
    </w:p>
    <w:p>
      <w:pPr>
        <w:pStyle w:val="Heading2"/>
      </w:pPr>
      <w:r>
        <w:rPr>
          <w:rFonts w:ascii="Arial" w:cs="Arial" w:eastAsia="Arial" w:hAnsi="Arial"/>
          <w:b/>
          <w:bCs/>
        </w:rPr>
        <w:t xml:space="preserve">4.1 Performance Metrics Comparison</w:t>
      </w:r>
    </w:p>
    <w:p>
      <w:pPr>
        <w:spacing w:before="100" w:after="100"/>
        <w:jc w:val="both"/>
      </w:pPr>
      <w:r>
        <w:rPr>
          <w:rFonts w:ascii="Arial" w:cs="Arial" w:eastAsia="Arial" w:hAnsi="Arial"/>
          <w:sz w:val="22"/>
          <w:szCs w:val="22"/>
        </w:rPr>
        <w:t xml:space="preserve">All four models were evaluated against five standard classification metrics on the held-out test set of 2,000 records:</w:t>
      </w:r>
    </w:p>
    <w:p>
      <w:pPr>
        <w:spacing w:before="100" w:after="100"/>
        <w:jc w:val="both"/>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560"/>
      </w:tblGrid>
      <w:tr>
        <w:trPr>
          <w:tblHeader/>
        </w:trPr>
        <w:tc>
          <w:tcPr>
            <w:tcW w:type="dxa" w:w="26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3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3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3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3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F1 Score</w:t>
            </w:r>
          </w:p>
        </w:tc>
        <w:tc>
          <w:tcPr>
            <w:tcW w:type="dxa" w:w="156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ROC-AUC</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70.9%</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38.3%</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70.3%</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0.496</w:t>
            </w:r>
          </w:p>
        </w:tc>
        <w:tc>
          <w:tcPr>
            <w:tcW w:type="dxa" w:w="1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0.776</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Decision Tree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75.8%</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44.5%</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76.9%</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0.564</w:t>
            </w:r>
          </w:p>
        </w:tc>
        <w:tc>
          <w:tcPr>
            <w:tcW w:type="dxa" w:w="1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0.826</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84.6%</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61.3%</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66.1%</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0.636</w:t>
            </w:r>
          </w:p>
        </w:tc>
        <w:tc>
          <w:tcPr>
            <w:tcW w:type="dxa" w:w="1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0.865</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Gradient Boosting</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86.7%</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77.8%</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48.2%</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0.595</w:t>
            </w:r>
          </w:p>
        </w:tc>
        <w:tc>
          <w:tcPr>
            <w:tcW w:type="dxa" w:w="1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0.863</w:t>
            </w:r>
          </w:p>
        </w:tc>
      </w:tr>
    </w:tbl>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4.2 Key Findings</w:t>
      </w:r>
    </w:p>
    <w:p>
      <w:pPr>
        <w:spacing w:before="100" w:after="100"/>
        <w:jc w:val="both"/>
      </w:pPr>
      <w:r>
        <w:rPr>
          <w:rFonts w:ascii="Arial" w:cs="Arial" w:eastAsia="Arial" w:hAnsi="Arial"/>
          <w:sz w:val="22"/>
          <w:szCs w:val="22"/>
        </w:rPr>
        <w:t xml:space="preserve">Random Forest emerges as the recommended production model, achieving the highest F1 Score (0.636) and ROC-AUC (0.865). It strikes the optimal balance between Precision (61.3%) and Recall (66.1%), making it suitable for retention campaigns where both false positives (wasted spend) and false negatives (missed churners) carry business costs.</w:t>
      </w:r>
    </w:p>
    <w:p>
      <w:pPr>
        <w:spacing w:before="100" w:after="100"/>
        <w:jc w:val="both"/>
      </w:pPr>
      <w:r>
        <w:rPr>
          <w:rFonts w:ascii="Arial" w:cs="Arial" w:eastAsia="Arial" w:hAnsi="Arial"/>
          <w:sz w:val="22"/>
          <w:szCs w:val="22"/>
        </w:rPr>
        <w:t xml:space="preserve"/>
      </w:r>
    </w:p>
    <w:p>
      <w:pPr>
        <w:spacing w:before="100" w:after="100"/>
        <w:jc w:val="both"/>
      </w:pPr>
      <w:r>
        <w:rPr>
          <w:rFonts w:ascii="Arial" w:cs="Arial" w:eastAsia="Arial" w:hAnsi="Arial"/>
          <w:sz w:val="22"/>
          <w:szCs w:val="22"/>
        </w:rPr>
        <w:t xml:space="preserve">Gradient Boosting achieves the highest raw accuracy (86.7%) and precision (77.8%), making it ideal for highly targeted interventions where precision is paramount — such as premium retention offers. However, its recall of 48.2% means it misses over half of actual churners.</w:t>
      </w:r>
    </w:p>
    <w:p>
      <w:pPr>
        <w:spacing w:before="100" w:after="100"/>
        <w:jc w:val="both"/>
      </w:pPr>
      <w:r>
        <w:rPr>
          <w:rFonts w:ascii="Arial" w:cs="Arial" w:eastAsia="Arial" w:hAnsi="Arial"/>
          <w:sz w:val="22"/>
          <w:szCs w:val="22"/>
        </w:rPr>
        <w:t xml:space="preserve"/>
      </w:r>
    </w:p>
    <w:p>
      <w:pPr>
        <w:spacing w:before="100" w:after="100"/>
        <w:jc w:val="both"/>
      </w:pPr>
      <w:r>
        <w:rPr>
          <w:rFonts w:ascii="Arial" w:cs="Arial" w:eastAsia="Arial" w:hAnsi="Arial"/>
          <w:sz w:val="22"/>
          <w:szCs w:val="22"/>
        </w:rPr>
        <w:t xml:space="preserve">Logistic Regression, while the weakest performer overall, achieves 70.3% recall — the second-highest — demonstrating value as a high-coverage screening tool. Its interpretability makes it suitable for regulatory reporting contexts.</w:t>
      </w:r>
    </w:p>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4.3 Feature Importance Analysis</w:t>
      </w:r>
    </w:p>
    <w:p>
      <w:pPr>
        <w:spacing w:before="100" w:after="100"/>
        <w:jc w:val="both"/>
      </w:pPr>
      <w:r>
        <w:rPr>
          <w:rFonts w:ascii="Arial" w:cs="Arial" w:eastAsia="Arial" w:hAnsi="Arial"/>
          <w:sz w:val="22"/>
          <w:szCs w:val="22"/>
        </w:rPr>
        <w:t xml:space="preserve">Random Forest feature importance analysis reveals the following top predictors of churn:</w:t>
      </w:r>
    </w:p>
    <w:p>
      <w:pPr>
        <w:pStyle w:val="ListParagraph"/>
        <w:numPr>
          <w:ilvl w:val="0"/>
          <w:numId w:val="2"/>
        </w:numPr>
        <w:spacing w:before="60" w:after="60"/>
      </w:pPr>
      <w:r>
        <w:rPr>
          <w:rFonts w:ascii="Arial" w:cs="Arial" w:eastAsia="Arial" w:hAnsi="Arial"/>
          <w:sz w:val="22"/>
          <w:szCs w:val="22"/>
        </w:rPr>
        <w:t xml:space="preserve">Age — Older customers, particularly those over 50, exhibit substantially higher churn propensity</w:t>
      </w:r>
    </w:p>
    <w:p>
      <w:pPr>
        <w:pStyle w:val="ListParagraph"/>
        <w:numPr>
          <w:ilvl w:val="0"/>
          <w:numId w:val="2"/>
        </w:numPr>
        <w:spacing w:before="60" w:after="60"/>
      </w:pPr>
      <w:r>
        <w:rPr>
          <w:rFonts w:ascii="Arial" w:cs="Arial" w:eastAsia="Arial" w:hAnsi="Arial"/>
          <w:sz w:val="22"/>
          <w:szCs w:val="22"/>
        </w:rPr>
        <w:t xml:space="preserve">Balance — Customers with non-zero balances, especially in mid-to-high ranges, are paradoxically more likely to churn</w:t>
      </w:r>
    </w:p>
    <w:p>
      <w:pPr>
        <w:pStyle w:val="ListParagraph"/>
        <w:numPr>
          <w:ilvl w:val="0"/>
          <w:numId w:val="2"/>
        </w:numPr>
        <w:spacing w:before="60" w:after="60"/>
      </w:pPr>
      <w:r>
        <w:rPr>
          <w:rFonts w:ascii="Arial" w:cs="Arial" w:eastAsia="Arial" w:hAnsi="Arial"/>
          <w:sz w:val="22"/>
          <w:szCs w:val="22"/>
        </w:rPr>
        <w:t xml:space="preserve">NumOfProducts — Customers with only 1 product or 3+ products show elevated churn risk; 2 products represents the 'engagement sweet spot'</w:t>
      </w:r>
    </w:p>
    <w:p>
      <w:pPr>
        <w:pStyle w:val="ListParagraph"/>
        <w:numPr>
          <w:ilvl w:val="0"/>
          <w:numId w:val="2"/>
        </w:numPr>
        <w:spacing w:before="60" w:after="60"/>
      </w:pPr>
      <w:r>
        <w:rPr>
          <w:rFonts w:ascii="Arial" w:cs="Arial" w:eastAsia="Arial" w:hAnsi="Arial"/>
          <w:sz w:val="22"/>
          <w:szCs w:val="22"/>
        </w:rPr>
        <w:t xml:space="preserve">Age_Tenure_Interaction — Long-tenured older customers have distinct behavioral patterns</w:t>
      </w:r>
    </w:p>
    <w:p>
      <w:pPr>
        <w:pStyle w:val="ListParagraph"/>
        <w:numPr>
          <w:ilvl w:val="0"/>
          <w:numId w:val="2"/>
        </w:numPr>
        <w:spacing w:before="60" w:after="60"/>
      </w:pPr>
      <w:r>
        <w:rPr>
          <w:rFonts w:ascii="Arial" w:cs="Arial" w:eastAsia="Arial" w:hAnsi="Arial"/>
          <w:sz w:val="22"/>
          <w:szCs w:val="22"/>
        </w:rPr>
        <w:t xml:space="preserve">EstimatedSalary — Higher-income customers demand more sophisticated service and are more likely to leave when expectations are unmet</w:t>
      </w:r>
    </w:p>
    <w:p>
      <w:pPr>
        <w:pStyle w:val="ListParagraph"/>
        <w:numPr>
          <w:ilvl w:val="0"/>
          <w:numId w:val="2"/>
        </w:numPr>
        <w:spacing w:before="60" w:after="60"/>
      </w:pPr>
      <w:r>
        <w:rPr>
          <w:rFonts w:ascii="Arial" w:cs="Arial" w:eastAsia="Arial" w:hAnsi="Arial"/>
          <w:sz w:val="22"/>
          <w:szCs w:val="22"/>
        </w:rPr>
        <w:t xml:space="preserve">IsActiveMember — Inactive members churn at nearly double the rate of active members (26.9% vs. 14.3%)</w:t>
      </w:r>
    </w:p>
    <w:p>
      <w:pPr>
        <w:pStyle w:val="ListParagraph"/>
        <w:numPr>
          <w:ilvl w:val="0"/>
          <w:numId w:val="2"/>
        </w:numPr>
        <w:spacing w:before="60" w:after="60"/>
      </w:pPr>
      <w:r>
        <w:rPr>
          <w:rFonts w:ascii="Arial" w:cs="Arial" w:eastAsia="Arial" w:hAnsi="Arial"/>
          <w:sz w:val="22"/>
          <w:szCs w:val="22"/>
        </w:rPr>
        <w:t xml:space="preserve">Geography_Germany — German customers churn at 32.4% vs. 16.2% (France) and 16.7% (Spain)</w:t>
      </w:r>
    </w:p>
    <w:p>
      <w:pPr>
        <w:spacing w:before="100" w:after="100"/>
        <w:jc w:val="both"/>
      </w:pPr>
      <w:r>
        <w:rPr>
          <w:rFonts w:ascii="Arial" w:cs="Arial" w:eastAsia="Arial" w:hAnsi="Arial"/>
          <w:sz w:val="22"/>
          <w:szCs w:val="22"/>
        </w:rPr>
        <w:t xml:space="preserve"/>
      </w:r>
    </w:p>
    <w:p>
      <w:pPr>
        <w:pBdr>
          <w:bottom w:val="single" w:color="7209B7" w:sz="4" w:space="1"/>
        </w:pBdr>
        <w:spacing w:before="200" w:after="200"/>
      </w:pPr>
    </w:p>
    <w:p>
      <w:pPr>
        <w:pStyle w:val="Heading1"/>
      </w:pPr>
      <w:r>
        <w:rPr>
          <w:rFonts w:ascii="Arial" w:cs="Arial" w:eastAsia="Arial" w:hAnsi="Arial"/>
          <w:b/>
          <w:bCs/>
        </w:rPr>
        <w:t xml:space="preserve">5. Exploratory Data Analysis Insights</w:t>
      </w:r>
    </w:p>
    <w:p>
      <w:pPr>
        <w:pStyle w:val="Heading2"/>
      </w:pPr>
      <w:r>
        <w:rPr>
          <w:rFonts w:ascii="Arial" w:cs="Arial" w:eastAsia="Arial" w:hAnsi="Arial"/>
          <w:b/>
          <w:bCs/>
        </w:rPr>
        <w:t xml:space="preserve">5.1 Geographic Patterns</w:t>
      </w:r>
    </w:p>
    <w:p>
      <w:pPr>
        <w:spacing w:before="100" w:after="100"/>
        <w:jc w:val="both"/>
      </w:pPr>
      <w:r>
        <w:rPr>
          <w:rFonts w:ascii="Arial" w:cs="Arial" w:eastAsia="Arial" w:hAnsi="Arial"/>
          <w:sz w:val="22"/>
          <w:szCs w:val="22"/>
        </w:rPr>
        <w:t xml:space="preserve">Germany exhibits a significantly elevated churn rate of 32.4%, compared to 16.2% for France and 16.7% for Spain. This geographic disparity suggests structural differences in competitive banking landscape, customer service quality, or product-market fit across these markets. Targeted retention initiatives in Germany should be prioritized.</w:t>
      </w:r>
    </w:p>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5.2 Age and Demographic Effects</w:t>
      </w:r>
    </w:p>
    <w:p>
      <w:pPr>
        <w:spacing w:before="100" w:after="100"/>
        <w:jc w:val="both"/>
      </w:pPr>
      <w:r>
        <w:rPr>
          <w:rFonts w:ascii="Arial" w:cs="Arial" w:eastAsia="Arial" w:hAnsi="Arial"/>
          <w:sz w:val="22"/>
          <w:szCs w:val="22"/>
        </w:rPr>
        <w:t xml:space="preserve">Churn risk follows a non-linear age distribution. Customers in the 40–60 age group exhibit the highest churn rates, peaking in the 50–60 bracket. Younger customers (&lt;30) and very senior customers (60+) show lower churn propensity. Female customers churn at a slightly higher rate (25.1%) compared to male customers (16.5%), a gap that warrants product-focused investigation.</w:t>
      </w:r>
    </w:p>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5.3 Product Utilization Paradox</w:t>
      </w:r>
    </w:p>
    <w:p>
      <w:pPr>
        <w:spacing w:before="100" w:after="100"/>
        <w:jc w:val="both"/>
      </w:pPr>
      <w:r>
        <w:rPr>
          <w:rFonts w:ascii="Arial" w:cs="Arial" w:eastAsia="Arial" w:hAnsi="Arial"/>
          <w:sz w:val="22"/>
          <w:szCs w:val="22"/>
        </w:rPr>
        <w:t xml:space="preserve">A striking non-linear relationship exists between product count and churn. Customers with exactly 2 products exhibit the lowest churn rate. However, customers with 3 products churn at an extreme rate approaching 83%, and those with 4 products at nearly 100%. This paradox suggests that customers with 3–4 products may be over-sold inappropriate products, leading to dissatisfaction and exit.</w:t>
      </w:r>
    </w:p>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5.4 Balance and Activity Patterns</w:t>
      </w:r>
    </w:p>
    <w:p>
      <w:pPr>
        <w:spacing w:before="100" w:after="100"/>
        <w:jc w:val="both"/>
      </w:pPr>
      <w:r>
        <w:rPr>
          <w:rFonts w:ascii="Arial" w:cs="Arial" w:eastAsia="Arial" w:hAnsi="Arial"/>
          <w:sz w:val="22"/>
          <w:szCs w:val="22"/>
        </w:rPr>
        <w:t xml:space="preserve">A large segment of customers (approximately 36%) carries a zero balance, which may indicate dormant accounts used for salary receipt only. Among customers with positive balances, those in the 100,000–200,000 euro range show elevated churn. Inactive members (IsActiveMember=0) churn at 26.9% compared to 14.3% for active members, confirming engagement as a critical retention lever.</w:t>
      </w:r>
    </w:p>
    <w:p>
      <w:pPr>
        <w:spacing w:before="100" w:after="100"/>
        <w:jc w:val="both"/>
      </w:pPr>
      <w:r>
        <w:rPr>
          <w:rFonts w:ascii="Arial" w:cs="Arial" w:eastAsia="Arial" w:hAnsi="Arial"/>
          <w:sz w:val="22"/>
          <w:szCs w:val="22"/>
        </w:rPr>
        <w:t xml:space="preserve"/>
      </w:r>
    </w:p>
    <w:p>
      <w:pPr>
        <w:pBdr>
          <w:bottom w:val="single" w:color="7209B7" w:sz="4" w:space="1"/>
        </w:pBdr>
        <w:spacing w:before="200" w:after="200"/>
      </w:pPr>
    </w:p>
    <w:p>
      <w:pPr>
        <w:pStyle w:val="Heading1"/>
      </w:pPr>
      <w:r>
        <w:rPr>
          <w:rFonts w:ascii="Arial" w:cs="Arial" w:eastAsia="Arial" w:hAnsi="Arial"/>
          <w:b/>
          <w:bCs/>
        </w:rPr>
        <w:t xml:space="preserve">6. Strategic Retention Recommendations</w:t>
      </w:r>
    </w:p>
    <w:p>
      <w:pPr>
        <w:pStyle w:val="Heading2"/>
      </w:pPr>
      <w:r>
        <w:rPr>
          <w:rFonts w:ascii="Arial" w:cs="Arial" w:eastAsia="Arial" w:hAnsi="Arial"/>
          <w:b/>
          <w:bCs/>
        </w:rPr>
        <w:t xml:space="preserve">6.1 Segmented Retention Approach</w:t>
      </w:r>
    </w:p>
    <w:p>
      <w:pPr>
        <w:spacing w:before="100" w:after="100"/>
        <w:jc w:val="both"/>
      </w:pPr>
      <w:r>
        <w:rPr>
          <w:rFonts w:ascii="Arial" w:cs="Arial" w:eastAsia="Arial" w:hAnsi="Arial"/>
          <w:sz w:val="22"/>
          <w:szCs w:val="22"/>
        </w:rPr>
        <w:t xml:space="preserve">Based on model outputs and EDA findings, we recommend a three-tier risk-based retention strategy:</w:t>
      </w:r>
    </w:p>
    <w:p>
      <w:pPr>
        <w:spacing w:before="100" w:after="100"/>
        <w:jc w:val="both"/>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560"/>
        <w:gridCol w:w="1500"/>
      </w:tblGrid>
      <w:tr>
        <w:trPr>
          <w:tblHeader/>
        </w:trPr>
        <w:tc>
          <w:tcPr>
            <w:tcW w:type="dxa" w:w="15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Risk Tier</w:t>
            </w:r>
          </w:p>
        </w:tc>
        <w:tc>
          <w:tcPr>
            <w:tcW w:type="dxa" w:w="18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Churn Probability</w:t>
            </w:r>
          </w:p>
        </w:tc>
        <w:tc>
          <w:tcPr>
            <w:tcW w:type="dxa" w:w="456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c>
          <w:tcPr>
            <w:tcW w:type="dxa" w:w="15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High Risk</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&gt; 60%</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Dedicated relationship manager contact, personalized retention offer, product review session</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Immediate</w:t>
            </w:r>
          </w:p>
        </w:tc>
      </w:tr>
      <w:tr>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Medium Risk</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30% – 60%</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Targeted email/SMS campaign, loyalty rewards, cross-sell consultation</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Within 30 Days</w:t>
            </w:r>
          </w:p>
        </w:tc>
      </w:tr>
      <w:tr>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Low Risk</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&lt; 30%</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Standard engagement communications, periodic product check-ins</w:t>
            </w:r>
          </w:p>
        </w:tc>
        <w:tc>
          <w:tcPr>
            <w:tcW w:type="dxa" w:w="15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Quarterly</w:t>
            </w:r>
          </w:p>
        </w:tc>
      </w:tr>
    </w:tbl>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6.2 Product Strategy</w:t>
      </w:r>
    </w:p>
    <w:p>
      <w:pPr>
        <w:pStyle w:val="ListParagraph"/>
        <w:numPr>
          <w:ilvl w:val="0"/>
          <w:numId w:val="2"/>
        </w:numPr>
        <w:spacing w:before="60" w:after="60"/>
      </w:pPr>
      <w:r>
        <w:rPr>
          <w:rFonts w:ascii="Arial" w:cs="Arial" w:eastAsia="Arial" w:hAnsi="Arial"/>
          <w:sz w:val="22"/>
          <w:szCs w:val="22"/>
        </w:rPr>
        <w:t xml:space="preserve">Prioritize converting single-product customers to dual-product relationships</w:t>
      </w:r>
    </w:p>
    <w:p>
      <w:pPr>
        <w:pStyle w:val="ListParagraph"/>
        <w:numPr>
          <w:ilvl w:val="0"/>
          <w:numId w:val="2"/>
        </w:numPr>
        <w:spacing w:before="60" w:after="60"/>
      </w:pPr>
      <w:r>
        <w:rPr>
          <w:rFonts w:ascii="Arial" w:cs="Arial" w:eastAsia="Arial" w:hAnsi="Arial"/>
          <w:sz w:val="22"/>
          <w:szCs w:val="22"/>
        </w:rPr>
        <w:t xml:space="preserve">Audit the product portfolios of 3–4 product customers for suitability mismatches</w:t>
      </w:r>
    </w:p>
    <w:p>
      <w:pPr>
        <w:pStyle w:val="ListParagraph"/>
        <w:numPr>
          <w:ilvl w:val="0"/>
          <w:numId w:val="2"/>
        </w:numPr>
        <w:spacing w:before="60" w:after="60"/>
      </w:pPr>
      <w:r>
        <w:rPr>
          <w:rFonts w:ascii="Arial" w:cs="Arial" w:eastAsia="Arial" w:hAnsi="Arial"/>
          <w:sz w:val="22"/>
          <w:szCs w:val="22"/>
        </w:rPr>
        <w:t xml:space="preserve">Design product bundles that organically increase engagement without over-selling</w:t>
      </w:r>
    </w:p>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6.3 Geographic and Demographic Focus</w:t>
      </w:r>
    </w:p>
    <w:p>
      <w:pPr>
        <w:pStyle w:val="ListParagraph"/>
        <w:numPr>
          <w:ilvl w:val="0"/>
          <w:numId w:val="2"/>
        </w:numPr>
        <w:spacing w:before="60" w:after="60"/>
      </w:pPr>
      <w:r>
        <w:rPr>
          <w:rFonts w:ascii="Arial" w:cs="Arial" w:eastAsia="Arial" w:hAnsi="Arial"/>
          <w:sz w:val="22"/>
          <w:szCs w:val="22"/>
        </w:rPr>
        <w:t xml:space="preserve">Launch a Germany-specific retention program addressing local competitive dynamics</w:t>
      </w:r>
    </w:p>
    <w:p>
      <w:pPr>
        <w:pStyle w:val="ListParagraph"/>
        <w:numPr>
          <w:ilvl w:val="0"/>
          <w:numId w:val="2"/>
        </w:numPr>
        <w:spacing w:before="60" w:after="60"/>
      </w:pPr>
      <w:r>
        <w:rPr>
          <w:rFonts w:ascii="Arial" w:cs="Arial" w:eastAsia="Arial" w:hAnsi="Arial"/>
          <w:sz w:val="22"/>
          <w:szCs w:val="22"/>
        </w:rPr>
        <w:t xml:space="preserve">Develop tailored retention offers for the 40–60 female customer segment</w:t>
      </w:r>
    </w:p>
    <w:p>
      <w:pPr>
        <w:pStyle w:val="ListParagraph"/>
        <w:numPr>
          <w:ilvl w:val="0"/>
          <w:numId w:val="2"/>
        </w:numPr>
        <w:spacing w:before="60" w:after="60"/>
      </w:pPr>
      <w:r>
        <w:rPr>
          <w:rFonts w:ascii="Arial" w:cs="Arial" w:eastAsia="Arial" w:hAnsi="Arial"/>
          <w:sz w:val="22"/>
          <w:szCs w:val="22"/>
        </w:rPr>
        <w:t xml:space="preserve">Implement proactive senior customer engagement programs before age 50</w:t>
      </w:r>
    </w:p>
    <w:p>
      <w:pPr>
        <w:spacing w:before="100" w:after="100"/>
        <w:jc w:val="both"/>
      </w:pPr>
      <w:r>
        <w:rPr>
          <w:rFonts w:ascii="Arial" w:cs="Arial" w:eastAsia="Arial" w:hAnsi="Arial"/>
          <w:sz w:val="22"/>
          <w:szCs w:val="22"/>
        </w:rPr>
        <w:t xml:space="preserve"/>
      </w:r>
    </w:p>
    <w:p>
      <w:pPr>
        <w:pBdr>
          <w:bottom w:val="single" w:color="7209B7" w:sz="4" w:space="1"/>
        </w:pBdr>
        <w:spacing w:before="200" w:after="200"/>
      </w:pPr>
    </w:p>
    <w:p>
      <w:pPr>
        <w:pStyle w:val="Heading1"/>
      </w:pPr>
      <w:r>
        <w:rPr>
          <w:rFonts w:ascii="Arial" w:cs="Arial" w:eastAsia="Arial" w:hAnsi="Arial"/>
          <w:b/>
          <w:bCs/>
        </w:rPr>
        <w:t xml:space="preserve">7. Technical Implementation</w:t>
      </w:r>
    </w:p>
    <w:p>
      <w:pPr>
        <w:pStyle w:val="Heading2"/>
      </w:pPr>
      <w:r>
        <w:rPr>
          <w:rFonts w:ascii="Arial" w:cs="Arial" w:eastAsia="Arial" w:hAnsi="Arial"/>
          <w:b/>
          <w:bCs/>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7209B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Python 3.11, Pandas, NumPy</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ETL, feature engineering</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Machine Learning</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Model training and evaluation</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Matplotlib, Seaborn</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EDA and model performance charts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Interactive web application</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Report</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docx.js, Node.js</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Professional document generation</w:t>
            </w:r>
          </w:p>
        </w:tc>
      </w:tr>
    </w:tbl>
    <w:p>
      <w:pPr>
        <w:spacing w:before="100" w:after="100"/>
        <w:jc w:val="both"/>
      </w:pPr>
      <w:r>
        <w:rPr>
          <w:rFonts w:ascii="Arial" w:cs="Arial" w:eastAsia="Arial" w:hAnsi="Arial"/>
          <w:sz w:val="22"/>
          <w:szCs w:val="22"/>
        </w:rPr>
        <w:t xml:space="preserve"/>
      </w:r>
    </w:p>
    <w:p>
      <w:pPr>
        <w:pStyle w:val="Heading2"/>
      </w:pPr>
      <w:r>
        <w:rPr>
          <w:rFonts w:ascii="Arial" w:cs="Arial" w:eastAsia="Arial" w:hAnsi="Arial"/>
          <w:b/>
          <w:bCs/>
        </w:rPr>
        <w:t xml:space="preserve">7.2 Streamlit Application Features</w:t>
      </w:r>
    </w:p>
    <w:p>
      <w:pPr>
        <w:pStyle w:val="ListParagraph"/>
        <w:numPr>
          <w:ilvl w:val="0"/>
          <w:numId w:val="2"/>
        </w:numPr>
        <w:spacing w:before="60" w:after="60"/>
      </w:pPr>
      <w:r>
        <w:rPr>
          <w:rFonts w:ascii="Arial" w:cs="Arial" w:eastAsia="Arial" w:hAnsi="Arial"/>
          <w:sz w:val="22"/>
          <w:szCs w:val="22"/>
        </w:rPr>
        <w:t xml:space="preserve">Executive Dashboard: KPI metrics, churn by geography, age group, and activity status</w:t>
      </w:r>
    </w:p>
    <w:p>
      <w:pPr>
        <w:pStyle w:val="ListParagraph"/>
        <w:numPr>
          <w:ilvl w:val="0"/>
          <w:numId w:val="2"/>
        </w:numPr>
        <w:spacing w:before="60" w:after="60"/>
      </w:pPr>
      <w:r>
        <w:rPr>
          <w:rFonts w:ascii="Arial" w:cs="Arial" w:eastAsia="Arial" w:hAnsi="Arial"/>
          <w:sz w:val="22"/>
          <w:szCs w:val="22"/>
        </w:rPr>
        <w:t xml:space="preserve">Model Performance: ROC curves, confusion matrices, feature importance visualization</w:t>
      </w:r>
    </w:p>
    <w:p>
      <w:pPr>
        <w:pStyle w:val="ListParagraph"/>
        <w:numPr>
          <w:ilvl w:val="0"/>
          <w:numId w:val="2"/>
        </w:numPr>
        <w:spacing w:before="60" w:after="60"/>
      </w:pPr>
      <w:r>
        <w:rPr>
          <w:rFonts w:ascii="Arial" w:cs="Arial" w:eastAsia="Arial" w:hAnsi="Arial"/>
          <w:sz w:val="22"/>
          <w:szCs w:val="22"/>
        </w:rPr>
        <w:t xml:space="preserve">Risk Calculator: Real-time churn probability scoring for individual customers</w:t>
      </w:r>
    </w:p>
    <w:p>
      <w:pPr>
        <w:pStyle w:val="ListParagraph"/>
        <w:numPr>
          <w:ilvl w:val="0"/>
          <w:numId w:val="2"/>
        </w:numPr>
        <w:spacing w:before="60" w:after="60"/>
      </w:pPr>
      <w:r>
        <w:rPr>
          <w:rFonts w:ascii="Arial" w:cs="Arial" w:eastAsia="Arial" w:hAnsi="Arial"/>
          <w:sz w:val="22"/>
          <w:szCs w:val="22"/>
        </w:rPr>
        <w:t xml:space="preserve">What-If Simulator: Side-by-side profile comparison to observe risk factor effects</w:t>
      </w:r>
    </w:p>
    <w:p>
      <w:pPr>
        <w:pStyle w:val="ListParagraph"/>
        <w:numPr>
          <w:ilvl w:val="0"/>
          <w:numId w:val="2"/>
        </w:numPr>
        <w:spacing w:before="60" w:after="60"/>
      </w:pPr>
      <w:r>
        <w:rPr>
          <w:rFonts w:ascii="Arial" w:cs="Arial" w:eastAsia="Arial" w:hAnsi="Arial"/>
          <w:sz w:val="22"/>
          <w:szCs w:val="22"/>
        </w:rPr>
        <w:t xml:space="preserve">EDA Insights: Distribution charts, correlation heatmap, and raw data explorer</w:t>
      </w:r>
    </w:p>
    <w:p>
      <w:pPr>
        <w:spacing w:before="100" w:after="100"/>
        <w:jc w:val="both"/>
      </w:pPr>
      <w:r>
        <w:rPr>
          <w:rFonts w:ascii="Arial" w:cs="Arial" w:eastAsia="Arial" w:hAnsi="Arial"/>
          <w:sz w:val="22"/>
          <w:szCs w:val="22"/>
        </w:rPr>
        <w:t xml:space="preserve"/>
      </w:r>
    </w:p>
    <w:p>
      <w:pPr>
        <w:pBdr>
          <w:bottom w:val="single" w:color="7209B7" w:sz="4" w:space="1"/>
        </w:pBdr>
        <w:spacing w:before="200" w:after="200"/>
      </w:pPr>
    </w:p>
    <w:p>
      <w:pPr>
        <w:pStyle w:val="Heading1"/>
      </w:pPr>
      <w:r>
        <w:rPr>
          <w:rFonts w:ascii="Arial" w:cs="Arial" w:eastAsia="Arial" w:hAnsi="Arial"/>
          <w:b/>
          <w:bCs/>
        </w:rPr>
        <w:t xml:space="preserve">8. Conclusion</w:t>
      </w:r>
    </w:p>
    <w:p>
      <w:pPr>
        <w:spacing w:before="100" w:after="100"/>
        <w:jc w:val="both"/>
      </w:pPr>
      <w:r>
        <w:rPr>
          <w:rFonts w:ascii="Arial" w:cs="Arial" w:eastAsia="Arial" w:hAnsi="Arial"/>
          <w:sz w:val="22"/>
          <w:szCs w:val="22"/>
        </w:rPr>
        <w:t xml:space="preserve">This research has demonstrated that machine learning models can deliver high-accuracy, explainable churn predictions for European retail banking customers. The Random Forest model, trained on an enriched feature set including six engineered behavioral indicators, achieves an ROC-AUC of 0.865 and F1 Score of 0.636 — sufficient for operational deployment in a risk-scored retention workflow.</w:t>
      </w:r>
    </w:p>
    <w:p>
      <w:pPr>
        <w:spacing w:before="100" w:after="100"/>
        <w:jc w:val="both"/>
      </w:pPr>
      <w:r>
        <w:rPr>
          <w:rFonts w:ascii="Arial" w:cs="Arial" w:eastAsia="Arial" w:hAnsi="Arial"/>
          <w:sz w:val="22"/>
          <w:szCs w:val="22"/>
        </w:rPr>
        <w:t xml:space="preserve"/>
      </w:r>
    </w:p>
    <w:p>
      <w:pPr>
        <w:spacing w:before="100" w:after="100"/>
        <w:jc w:val="both"/>
      </w:pPr>
      <w:r>
        <w:rPr>
          <w:rFonts w:ascii="Arial" w:cs="Arial" w:eastAsia="Arial" w:hAnsi="Arial"/>
          <w:sz w:val="22"/>
          <w:szCs w:val="22"/>
        </w:rPr>
        <w:t xml:space="preserve">The analysis reveals that churn is primarily driven by customer engagement levels, product portfolio composition, and geographic factors — rather than purely demographic characteristics. This insight reframes retention strategy from a demographic targeting exercise to a behavioral engagement optimization challenge.</w:t>
      </w:r>
    </w:p>
    <w:p>
      <w:pPr>
        <w:spacing w:before="100" w:after="100"/>
        <w:jc w:val="both"/>
      </w:pPr>
      <w:r>
        <w:rPr>
          <w:rFonts w:ascii="Arial" w:cs="Arial" w:eastAsia="Arial" w:hAnsi="Arial"/>
          <w:sz w:val="22"/>
          <w:szCs w:val="22"/>
        </w:rPr>
        <w:t xml:space="preserve"/>
      </w:r>
    </w:p>
    <w:p>
      <w:pPr>
        <w:spacing w:before="100" w:after="100"/>
        <w:jc w:val="both"/>
      </w:pPr>
      <w:r>
        <w:rPr>
          <w:rFonts w:ascii="Arial" w:cs="Arial" w:eastAsia="Arial" w:hAnsi="Arial"/>
          <w:sz w:val="22"/>
          <w:szCs w:val="22"/>
        </w:rPr>
        <w:t xml:space="preserve">The accompanying Streamlit dashboard operationalizes these findings by enabling real-time risk scoring, what-if scenario analysis, and executive-level monitoring — providing the analytical infrastructure needed for proactive, data-driven retention at scale.</w:t>
      </w:r>
    </w:p>
    <w:p>
      <w:pPr>
        <w:spacing w:before="100" w:after="100"/>
        <w:jc w:val="both"/>
      </w:pPr>
      <w:r>
        <w:rPr>
          <w:rFonts w:ascii="Arial" w:cs="Arial" w:eastAsia="Arial" w:hAnsi="Arial"/>
          <w:sz w:val="22"/>
          <w:szCs w:val="22"/>
        </w:rPr>
        <w:t xml:space="preserve"/>
      </w:r>
    </w:p>
    <w:p>
      <w:pPr>
        <w:spacing w:before="300" w:after="100"/>
        <w:jc w:val="center"/>
      </w:pPr>
      <w:r>
        <w:rPr>
          <w:rFonts w:ascii="Arial" w:cs="Arial" w:eastAsia="Arial" w:hAnsi="Arial"/>
          <w:i/>
          <w:iCs/>
          <w:color w:val="7209B7"/>
          <w:sz w:val="20"/>
          <w:szCs w:val="20"/>
        </w:rPr>
        <w:t xml:space="preserve">— End of Research Paper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t xml:space="preserve"> | Predictive Modeling &amp; Risk Scoring for Bank Customer Churn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209B7" w:sz="4" w:space="1"/>
      </w:pBdr>
      <w:jc w:val="right"/>
    </w:pPr>
    <w:r>
      <w:rPr>
        <w:rFonts w:ascii="Arial" w:cs="Arial" w:eastAsia="Arial" w:hAnsi="Arial"/>
        <w:i/>
        <w:iCs/>
        <w:color w:val="7209B7"/>
        <w:sz w:val="18"/>
        <w:szCs w:val="18"/>
      </w:rPr>
      <w:t xml:space="preserve">Bank Customer Churn Prediction | European Central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7209B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80CA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0C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2026-03-10T05:52:12.767Z</dcterms:created>
  <dcterms:modified xsi:type="dcterms:W3CDTF">2026-03-10T05:52:12.768Z</dcterms:modified>
</cp:coreProperties>
</file>

<file path=docProps/custom.xml><?xml version="1.0" encoding="utf-8"?>
<Properties xmlns="http://schemas.openxmlformats.org/officeDocument/2006/custom-properties" xmlns:vt="http://schemas.openxmlformats.org/officeDocument/2006/docPropsVTypes"/>
</file>