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42C53"/>
          <w:sz w:val="56"/>
          <w:szCs w:val="56"/>
        </w:rPr>
        <w:t xml:space="preserve">STARTUP GROWTH &amp;</w:t>
      </w:r>
    </w:p>
    <w:p>
      <w:pPr>
        <w:spacing w:after="240" w:before="0"/>
        <w:jc w:val="center"/>
      </w:pPr>
      <w:r>
        <w:rPr>
          <w:rFonts w:ascii="Arial" w:cs="Arial" w:eastAsia="Arial" w:hAnsi="Arial"/>
          <w:b/>
          <w:bCs/>
          <w:color w:val="042C53"/>
          <w:sz w:val="56"/>
          <w:szCs w:val="56"/>
        </w:rPr>
        <w:t xml:space="preserve">CONVERSION DASHBOARD</w:t>
      </w:r>
    </w:p>
    <w:p>
      <w:pPr>
        <w:spacing w:after="120" w:before="240"/>
        <w:jc w:val="center"/>
      </w:pPr>
      <w:r>
        <w:rPr>
          <w:rFonts w:ascii="Arial" w:cs="Arial" w:eastAsia="Arial" w:hAnsi="Arial"/>
          <w:color w:val="185FA5"/>
          <w:sz w:val="26"/>
          <w:szCs w:val="26"/>
        </w:rPr>
        <w:t xml:space="preserve">Data Analytics Report  |  February 2020</w:t>
      </w:r>
    </w:p>
    <w:p>
      <w:pPr>
        <w:spacing w:after="1440" w:before="120"/>
        <w:jc w:val="center"/>
      </w:pPr>
      <w:r>
        <w:rPr>
          <w:rFonts w:ascii="Arial" w:cs="Arial" w:eastAsia="Arial" w:hAnsi="Arial"/>
          <w:color w:val="666666"/>
          <w:sz w:val="22"/>
          <w:szCs w:val="22"/>
        </w:rPr>
        <w:t xml:space="preserve">PM + Analyst Portfolio Project  |  173,198 Events Analyzed</w:t>
      </w:r>
    </w:p>
    <w:p>
      <w:pPr>
        <w:pBdr>
          <w:bottom w:val="single" w:color="185FA5" w:sz="4" w:space="1"/>
        </w:pBdr>
        <w:spacing w:after="200" w:before="200"/>
      </w:pPr>
    </w:p>
    <w:p>
      <w:pPr>
        <w:pStyle w:val="Heading1"/>
        <w:spacing w:after="160" w:before="360"/>
      </w:pPr>
      <w:r>
        <w:rPr>
          <w:rFonts w:ascii="Arial" w:cs="Arial" w:eastAsia="Arial" w:hAnsi="Arial"/>
          <w:b/>
          <w:bCs/>
          <w:color w:val="042C53"/>
          <w:sz w:val="32"/>
          <w:szCs w:val="32"/>
        </w:rPr>
        <w:t xml:space="preserve">1. Executive Summary</w:t>
      </w:r>
    </w:p>
    <w:p>
      <w:pPr>
        <w:spacing w:after="80" w:before="80"/>
      </w:pPr>
      <w:r>
        <w:rPr>
          <w:rFonts w:ascii="Arial" w:cs="Arial" w:eastAsia="Arial" w:hAnsi="Arial"/>
          <w:sz w:val="22"/>
          <w:szCs w:val="22"/>
        </w:rPr>
        <w:t xml:space="preserve">This report analyzes 173,198 real e-commerce behavioral events from a multi-category online store during February 2020. The dataset was sourced from Kaggle and covers user journeys from product views through cart additions to completed purchases.</w:t>
      </w:r>
    </w:p>
    <w:p>
      <w:pPr>
        <w:spacing w:after="80" w:before="80"/>
      </w:pPr>
      <w:r>
        <w:rPr>
          <w:rFonts w:ascii="Arial" w:cs="Arial" w:eastAsia="Arial" w:hAnsi="Arial"/>
          <w:sz w:val="22"/>
          <w:szCs w:val="22"/>
        </w:rPr>
        <w:t xml:space="preserve"/>
      </w:r>
    </w:p>
    <w:p>
      <w:pPr>
        <w:spacing w:after="160" w:before="80"/>
      </w:pPr>
      <w:r>
        <w:rPr>
          <w:rFonts w:ascii="Arial" w:cs="Arial" w:eastAsia="Arial" w:hAnsi="Arial"/>
          <w:b/>
          <w:bCs/>
          <w:color w:val="042C53"/>
          <w:sz w:val="24"/>
          <w:szCs w:val="24"/>
        </w:rPr>
        <w:t xml:space="preserve">North Star Metric: 5.13% Overall View-to-Purchase Conversion</w:t>
      </w:r>
    </w:p>
    <w:p>
      <w:pPr>
        <w:spacing w:after="80" w:before="80"/>
      </w:pPr>
      <w:r>
        <w:rPr>
          <w:rFonts w:ascii="Arial" w:cs="Arial" w:eastAsia="Arial" w:hAnsi="Arial"/>
          <w:sz w:val="22"/>
          <w:szCs w:val="22"/>
        </w:rPr>
        <w:t xml:space="preserve">Only 5.13% of users who viewed a product ultimately completed a purchase. This single metric defines the business problem: 94.87% of traffic is not converting. The dashboard identifies exactly where and why users drop off, and provides prioritized recommendations to improve this number.</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85FA5" w:sz="1"/>
              <w:left w:val="single" w:color="185FA5" w:sz="1"/>
              <w:bottom w:val="single" w:color="185FA5" w:sz="1"/>
              <w:right w:val="single" w:color="185FA5" w:sz="1"/>
            </w:tcBorders>
            <w:shd w:fill="042C5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Metric</w:t>
            </w:r>
          </w:p>
        </w:tc>
        <w:tc>
          <w:tcPr>
            <w:tcW w:type="dxa" w:w="3120"/>
            <w:tcBorders>
              <w:top w:val="single" w:color="185FA5" w:sz="1"/>
              <w:left w:val="single" w:color="185FA5" w:sz="1"/>
              <w:bottom w:val="single" w:color="185FA5" w:sz="1"/>
              <w:right w:val="single" w:color="185FA5" w:sz="1"/>
            </w:tcBorders>
            <w:shd w:fill="042C5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Value</w:t>
            </w:r>
          </w:p>
        </w:tc>
        <w:tc>
          <w:tcPr>
            <w:tcW w:type="dxa" w:w="3120"/>
            <w:tcBorders>
              <w:top w:val="single" w:color="185FA5" w:sz="1"/>
              <w:left w:val="single" w:color="185FA5" w:sz="1"/>
              <w:bottom w:val="single" w:color="185FA5" w:sz="1"/>
              <w:right w:val="single" w:color="185FA5" w:sz="1"/>
            </w:tcBorders>
            <w:shd w:fill="042C5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Total Users (DAU)</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37,287</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Baseline</w:t>
            </w:r>
          </w:p>
        </w:tc>
      </w:tr>
      <w:tr>
        <w:tc>
          <w:tcPr>
            <w:tcW w:type="dxa" w:w="312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Total Revenue</w:t>
            </w:r>
          </w:p>
        </w:tc>
        <w:tc>
          <w:tcPr>
            <w:tcW w:type="dxa" w:w="312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$697,551</w:t>
            </w:r>
          </w:p>
        </w:tc>
        <w:tc>
          <w:tcPr>
            <w:tcW w:type="dxa" w:w="312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Healthy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Total Purchases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2,418</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Low</w:t>
            </w:r>
          </w:p>
        </w:tc>
      </w:tr>
      <w:tr>
        <w:tc>
          <w:tcPr>
            <w:tcW w:type="dxa" w:w="312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Avg Order Value</w:t>
            </w:r>
          </w:p>
        </w:tc>
        <w:tc>
          <w:tcPr>
            <w:tcW w:type="dxa" w:w="312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$288.48</w:t>
            </w:r>
          </w:p>
        </w:tc>
        <w:tc>
          <w:tcPr>
            <w:tcW w:type="dxa" w:w="312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Strong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View to Cart %</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14.85%</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Critical Gap</w:t>
            </w:r>
          </w:p>
        </w:tc>
      </w:tr>
      <w:tr>
        <w:tc>
          <w:tcPr>
            <w:tcW w:type="dxa" w:w="312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Cart to Purchase %</w:t>
            </w:r>
          </w:p>
        </w:tc>
        <w:tc>
          <w:tcPr>
            <w:tcW w:type="dxa" w:w="312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34.55%</w:t>
            </w:r>
          </w:p>
        </w:tc>
        <w:tc>
          <w:tcPr>
            <w:tcW w:type="dxa" w:w="312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Above Average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Overall Conversion %</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5.13%</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North Star</w:t>
            </w:r>
          </w:p>
        </w:tc>
      </w:tr>
      <w:tr>
        <w:tc>
          <w:tcPr>
            <w:tcW w:type="dxa" w:w="312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Repeat Buyer Rate</w:t>
            </w:r>
          </w:p>
        </w:tc>
        <w:tc>
          <w:tcPr>
            <w:tcW w:type="dxa" w:w="312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17.85%</w:t>
            </w:r>
          </w:p>
        </w:tc>
        <w:tc>
          <w:tcPr>
            <w:tcW w:type="dxa" w:w="312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Needs Work</w:t>
            </w:r>
          </w:p>
        </w:tc>
      </w:tr>
    </w:tbl>
    <w:p>
      <w:r>
        <w:br w:type="page"/>
      </w:r>
    </w:p>
    <w:p>
      <w:pPr>
        <w:pStyle w:val="Heading1"/>
        <w:spacing w:after="160" w:before="360"/>
      </w:pPr>
      <w:r>
        <w:rPr>
          <w:rFonts w:ascii="Arial" w:cs="Arial" w:eastAsia="Arial" w:hAnsi="Arial"/>
          <w:b/>
          <w:bCs/>
          <w:color w:val="042C53"/>
          <w:sz w:val="32"/>
          <w:szCs w:val="32"/>
        </w:rPr>
        <w:t xml:space="preserve">2. Methodology &amp; Data Pipeline</w:t>
      </w:r>
    </w:p>
    <w:p>
      <w:pPr>
        <w:pStyle w:val="Heading2"/>
        <w:spacing w:after="120" w:before="280"/>
      </w:pPr>
      <w:r>
        <w:rPr>
          <w:rFonts w:ascii="Arial" w:cs="Arial" w:eastAsia="Arial" w:hAnsi="Arial"/>
          <w:b/>
          <w:bCs/>
          <w:color w:val="185FA5"/>
          <w:sz w:val="26"/>
          <w:szCs w:val="26"/>
        </w:rPr>
        <w:t xml:space="preserve">2.1 Data Source</w:t>
      </w:r>
    </w:p>
    <w:p>
      <w:pPr>
        <w:spacing w:after="80" w:before="80"/>
      </w:pPr>
      <w:r>
        <w:rPr>
          <w:rFonts w:ascii="Arial" w:cs="Arial" w:eastAsia="Arial" w:hAnsi="Arial"/>
          <w:sz w:val="22"/>
          <w:szCs w:val="22"/>
        </w:rPr>
        <w:t xml:space="preserve">Dataset: Ecommerce Behavior Data from Multi-Category Store (Kaggle)</w:t>
      </w:r>
    </w:p>
    <w:p>
      <w:pPr>
        <w:spacing w:after="80" w:before="80"/>
      </w:pPr>
      <w:r>
        <w:rPr>
          <w:rFonts w:ascii="Arial" w:cs="Arial" w:eastAsia="Arial" w:hAnsi="Arial"/>
          <w:sz w:val="22"/>
          <w:szCs w:val="22"/>
        </w:rPr>
        <w:t xml:space="preserve">Source period: February 1, 2020 (single-day snapshot)</w:t>
      </w:r>
    </w:p>
    <w:p>
      <w:pPr>
        <w:spacing w:after="80" w:before="80"/>
      </w:pPr>
      <w:r>
        <w:rPr>
          <w:rFonts w:ascii="Arial" w:cs="Arial" w:eastAsia="Arial" w:hAnsi="Arial"/>
          <w:sz w:val="22"/>
          <w:szCs w:val="22"/>
        </w:rPr>
        <w:t xml:space="preserve">Raw file: 2020-Feb.csv | 200,000 rows | 9 columns</w:t>
      </w:r>
    </w:p>
    <w:p>
      <w:pPr>
        <w:spacing w:after="8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185FA5"/>
          <w:sz w:val="26"/>
          <w:szCs w:val="26"/>
        </w:rPr>
        <w:t xml:space="preserve">2.2 Data Cleaning Steps</w:t>
      </w:r>
    </w:p>
    <w:p>
      <w:pPr>
        <w:pStyle w:val="ListParagraph"/>
        <w:numPr>
          <w:ilvl w:val="0"/>
          <w:numId w:val="2"/>
        </w:numPr>
        <w:spacing w:after="60" w:before="60"/>
      </w:pPr>
      <w:r>
        <w:rPr>
          <w:rFonts w:ascii="Arial" w:cs="Arial" w:eastAsia="Arial" w:hAnsi="Arial"/>
          <w:sz w:val="22"/>
          <w:szCs w:val="22"/>
        </w:rPr>
        <w:t xml:space="preserve">Loaded raw CSV via Power Query (Get Data &gt; Text/CSV) — avoided direct Excel open to prevent 7M row freeze</w:t>
      </w:r>
    </w:p>
    <w:p>
      <w:pPr>
        <w:pStyle w:val="ListParagraph"/>
        <w:numPr>
          <w:ilvl w:val="0"/>
          <w:numId w:val="2"/>
        </w:numPr>
        <w:spacing w:after="60" w:before="60"/>
      </w:pPr>
      <w:r>
        <w:rPr>
          <w:rFonts w:ascii="Arial" w:cs="Arial" w:eastAsia="Arial" w:hAnsi="Arial"/>
          <w:sz w:val="22"/>
          <w:szCs w:val="22"/>
        </w:rPr>
        <w:t xml:space="preserve">Identified 35,182 null brand values — filled with 'unknown' using Replace Values</w:t>
      </w:r>
    </w:p>
    <w:p>
      <w:pPr>
        <w:pStyle w:val="ListParagraph"/>
        <w:numPr>
          <w:ilvl w:val="0"/>
          <w:numId w:val="2"/>
        </w:numPr>
        <w:spacing w:after="60" w:before="60"/>
      </w:pPr>
      <w:r>
        <w:rPr>
          <w:rFonts w:ascii="Arial" w:cs="Arial" w:eastAsia="Arial" w:hAnsi="Arial"/>
          <w:sz w:val="22"/>
          <w:szCs w:val="22"/>
        </w:rPr>
        <w:t xml:space="preserve">Identified 20,594 null category_code values — filled with 'unknown'</w:t>
      </w:r>
    </w:p>
    <w:p>
      <w:pPr>
        <w:pStyle w:val="ListParagraph"/>
        <w:numPr>
          <w:ilvl w:val="0"/>
          <w:numId w:val="2"/>
        </w:numPr>
        <w:spacing w:after="60" w:before="60"/>
      </w:pPr>
      <w:r>
        <w:rPr>
          <w:rFonts w:ascii="Arial" w:cs="Arial" w:eastAsia="Arial" w:hAnsi="Arial"/>
          <w:sz w:val="22"/>
          <w:szCs w:val="22"/>
        </w:rPr>
        <w:t xml:space="preserve">Removed 1,294 rows with price = 0 (bad/test data) using Number Filters &gt; Greater Than 0</w:t>
      </w:r>
    </w:p>
    <w:p>
      <w:pPr>
        <w:pStyle w:val="ListParagraph"/>
        <w:numPr>
          <w:ilvl w:val="0"/>
          <w:numId w:val="2"/>
        </w:numPr>
        <w:spacing w:after="60" w:before="60"/>
      </w:pPr>
      <w:r>
        <w:rPr>
          <w:rFonts w:ascii="Arial" w:cs="Arial" w:eastAsia="Arial" w:hAnsi="Arial"/>
          <w:sz w:val="22"/>
          <w:szCs w:val="22"/>
        </w:rPr>
        <w:t xml:space="preserve">Removed 25,608 duplicate rows using Remove Duplicates</w:t>
      </w:r>
    </w:p>
    <w:p>
      <w:pPr>
        <w:pStyle w:val="ListParagraph"/>
        <w:numPr>
          <w:ilvl w:val="0"/>
          <w:numId w:val="2"/>
        </w:numPr>
        <w:spacing w:after="60" w:before="60"/>
      </w:pPr>
      <w:r>
        <w:rPr>
          <w:rFonts w:ascii="Arial" w:cs="Arial" w:eastAsia="Arial" w:hAnsi="Arial"/>
          <w:sz w:val="22"/>
          <w:szCs w:val="22"/>
        </w:rPr>
        <w:t xml:space="preserve">Fixed event_time data type from Text to Date/Time for time-based analysis</w:t>
      </w:r>
    </w:p>
    <w:p>
      <w:pPr>
        <w:pStyle w:val="ListParagraph"/>
        <w:numPr>
          <w:ilvl w:val="0"/>
          <w:numId w:val="2"/>
        </w:numPr>
        <w:spacing w:after="60" w:before="60"/>
      </w:pPr>
      <w:r>
        <w:rPr>
          <w:rFonts w:ascii="Arial" w:cs="Arial" w:eastAsia="Arial" w:hAnsi="Arial"/>
          <w:sz w:val="22"/>
          <w:szCs w:val="22"/>
        </w:rPr>
        <w:t xml:space="preserve">Result: 173,198 clean rows ready for analysis</w:t>
      </w:r>
    </w:p>
    <w:p>
      <w:pPr>
        <w:spacing w:after="8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185FA5"/>
          <w:sz w:val="26"/>
          <w:szCs w:val="26"/>
        </w:rPr>
        <w:t xml:space="preserve">2.3 Data Pipeline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r>
              <w:rPr>
                <w:rFonts w:ascii="Arial" w:cs="Arial" w:eastAsia="Arial" w:hAnsi="Arial"/>
                <w:b/>
                <w:bCs/>
                <w:color w:val="FFFFFF"/>
                <w:sz w:val="21"/>
                <w:szCs w:val="21"/>
              </w:rPr>
              <w:t xml:space="preserve">Stage</w:t>
            </w:r>
          </w:p>
        </w:tc>
        <w:tc>
          <w:tcPr>
            <w:tcW w:type="dxa" w:w="468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r>
              <w:rPr>
                <w:rFonts w:ascii="Arial" w:cs="Arial" w:eastAsia="Arial" w:hAnsi="Arial"/>
                <w:b/>
                <w:bCs/>
                <w:color w:val="FFFFFF"/>
                <w:sz w:val="21"/>
                <w:szCs w:val="21"/>
              </w:rPr>
              <w:t xml:space="preserve">Tool / Action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Raw Data</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Kaggle CSV download → saved to /raw-data/</w:t>
            </w:r>
          </w:p>
        </w:tc>
      </w:tr>
      <w:tr>
        <w:tc>
          <w:tcPr>
            <w:tcW w:type="dxa" w:w="468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1A"/>
                <w:sz w:val="21"/>
                <w:szCs w:val="21"/>
              </w:rPr>
              <w:t xml:space="preserve">Ingestion</w:t>
            </w:r>
          </w:p>
        </w:tc>
        <w:tc>
          <w:tcPr>
            <w:tcW w:type="dxa" w:w="468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1A"/>
                <w:sz w:val="21"/>
                <w:szCs w:val="21"/>
              </w:rPr>
              <w:t xml:space="preserve">Power Query (Get Data &gt; Text/CSV)</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Transformation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Power Query Editor — null fills, type fixes, deduplication</w:t>
            </w:r>
          </w:p>
        </w:tc>
      </w:tr>
      <w:tr>
        <w:tc>
          <w:tcPr>
            <w:tcW w:type="dxa" w:w="468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1A"/>
                <w:sz w:val="21"/>
                <w:szCs w:val="21"/>
              </w:rPr>
              <w:t xml:space="preserve">Loading</w:t>
            </w:r>
          </w:p>
        </w:tc>
        <w:tc>
          <w:tcPr>
            <w:tcW w:type="dxa" w:w="468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1A"/>
                <w:sz w:val="21"/>
                <w:szCs w:val="21"/>
              </w:rPr>
              <w:t xml:space="preserve">Close &amp; Apply → Power BI data model</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Modeling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10 DAX measures created in Modeling tab</w:t>
            </w:r>
          </w:p>
        </w:tc>
      </w:tr>
      <w:tr>
        <w:tc>
          <w:tcPr>
            <w:tcW w:type="dxa" w:w="468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1A"/>
                <w:sz w:val="21"/>
                <w:szCs w:val="21"/>
              </w:rPr>
              <w:t xml:space="preserve">Visualization</w:t>
            </w:r>
          </w:p>
        </w:tc>
        <w:tc>
          <w:tcPr>
            <w:tcW w:type="dxa" w:w="468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1A"/>
                <w:sz w:val="21"/>
                <w:szCs w:val="21"/>
              </w:rPr>
              <w:t xml:space="preserve">8 report visuals on Page 1</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Publishing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Save as .pbix → GitHub repository</w:t>
            </w:r>
          </w:p>
        </w:tc>
      </w:tr>
    </w:tbl>
    <w:p>
      <w:r>
        <w:br w:type="page"/>
      </w:r>
    </w:p>
    <w:p>
      <w:pPr>
        <w:pStyle w:val="Heading1"/>
        <w:spacing w:after="160" w:before="360"/>
      </w:pPr>
      <w:r>
        <w:rPr>
          <w:rFonts w:ascii="Arial" w:cs="Arial" w:eastAsia="Arial" w:hAnsi="Arial"/>
          <w:b/>
          <w:bCs/>
          <w:color w:val="042C53"/>
          <w:sz w:val="32"/>
          <w:szCs w:val="32"/>
        </w:rPr>
        <w:t xml:space="preserve">3. Key Metrics &amp; Findings</w:t>
      </w:r>
    </w:p>
    <w:p>
      <w:pPr>
        <w:pStyle w:val="Heading2"/>
        <w:spacing w:after="120" w:before="280"/>
      </w:pPr>
      <w:r>
        <w:rPr>
          <w:rFonts w:ascii="Arial" w:cs="Arial" w:eastAsia="Arial" w:hAnsi="Arial"/>
          <w:b/>
          <w:bCs/>
          <w:color w:val="185FA5"/>
          <w:sz w:val="26"/>
          <w:szCs w:val="26"/>
        </w:rPr>
        <w:t xml:space="preserve">3.1 Conversion Funnel Analysis</w:t>
      </w:r>
    </w:p>
    <w:p>
      <w:pPr>
        <w:spacing w:after="80" w:before="80"/>
      </w:pPr>
      <w:r>
        <w:rPr>
          <w:rFonts w:ascii="Arial" w:cs="Arial" w:eastAsia="Arial" w:hAnsi="Arial"/>
          <w:sz w:val="22"/>
          <w:szCs w:val="22"/>
        </w:rPr>
        <w:t xml:space="preserve">The conversion funnel reveals a critical drop-off pattern with two distinct failure points: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85FA5" w:sz="1"/>
              <w:left w:val="single" w:color="185FA5" w:sz="1"/>
              <w:bottom w:val="single" w:color="185FA5" w:sz="1"/>
              <w:right w:val="single" w:color="185FA5" w:sz="1"/>
            </w:tcBorders>
            <w:shd w:fill="042C5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Funnel Stage</w:t>
            </w:r>
          </w:p>
        </w:tc>
        <w:tc>
          <w:tcPr>
            <w:tcW w:type="dxa" w:w="3120"/>
            <w:tcBorders>
              <w:top w:val="single" w:color="185FA5" w:sz="1"/>
              <w:left w:val="single" w:color="185FA5" w:sz="1"/>
              <w:bottom w:val="single" w:color="185FA5" w:sz="1"/>
              <w:right w:val="single" w:color="185FA5" w:sz="1"/>
            </w:tcBorders>
            <w:shd w:fill="042C5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Unique Users</w:t>
            </w:r>
          </w:p>
        </w:tc>
        <w:tc>
          <w:tcPr>
            <w:tcW w:type="dxa" w:w="3120"/>
            <w:tcBorders>
              <w:top w:val="single" w:color="185FA5" w:sz="1"/>
              <w:left w:val="single" w:color="185FA5" w:sz="1"/>
              <w:bottom w:val="single" w:color="185FA5" w:sz="1"/>
              <w:right w:val="single" w:color="185FA5" w:sz="1"/>
            </w:tcBorders>
            <w:shd w:fill="042C5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Conversion Rate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Viewed product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36,949</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100% (baseline)</w:t>
            </w:r>
          </w:p>
        </w:tc>
      </w:tr>
      <w:tr>
        <w:tc>
          <w:tcPr>
            <w:tcW w:type="dxa" w:w="312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Added to cart</w:t>
            </w:r>
          </w:p>
        </w:tc>
        <w:tc>
          <w:tcPr>
            <w:tcW w:type="dxa" w:w="312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5,525</w:t>
            </w:r>
          </w:p>
        </w:tc>
        <w:tc>
          <w:tcPr>
            <w:tcW w:type="dxa" w:w="312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14.95%</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Completed purchase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1,894</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1A1A1A"/>
                <w:sz w:val="22"/>
                <w:szCs w:val="22"/>
              </w:rPr>
              <w:t xml:space="preserve">5.13% (of viewers)</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funnel shows two distinct failure points. First, 85.1% of viewers never add to cart — the largest single point of revenue loss. Second, 65.5% of users who cart abandon before purchasing. The cart-to-purchase rate of 34.55% is actually above the e-commerce industry average of approximately 25%, indicating the checkout experience is relatively strong once users reach it.</w:t>
      </w:r>
    </w:p>
    <w:p>
      <w:pPr>
        <w:spacing w:after="8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185FA5"/>
          <w:sz w:val="26"/>
          <w:szCs w:val="26"/>
        </w:rPr>
        <w:t xml:space="preserve">3.2 User Retention Analysis (Repeat Rate)</w:t>
      </w:r>
    </w:p>
    <w:p>
      <w:pPr>
        <w:spacing w:after="80" w:before="80"/>
      </w:pPr>
      <w:r>
        <w:rPr>
          <w:rFonts w:ascii="Arial" w:cs="Arial" w:eastAsia="Arial" w:hAnsi="Arial"/>
          <w:sz w:val="22"/>
          <w:szCs w:val="22"/>
        </w:rPr>
        <w:t xml:space="preserve">Of 1,894 unique buyers, only 339 (17.85%) made more than one purchase within the dataset period. This means 82.15% of buyers are one-time purchasers — representing a significant retention gap and untapped revenue opportunity.</w:t>
      </w:r>
    </w:p>
    <w:p>
      <w:pPr>
        <w:spacing w:after="8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185FA5"/>
          <w:sz w:val="26"/>
          <w:szCs w:val="26"/>
        </w:rPr>
        <w:t xml:space="preserve">3.3 Revenue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r>
              <w:rPr>
                <w:rFonts w:ascii="Arial" w:cs="Arial" w:eastAsia="Arial" w:hAnsi="Arial"/>
                <w:b/>
                <w:bCs/>
                <w:color w:val="FFFFFF"/>
                <w:sz w:val="21"/>
                <w:szCs w:val="21"/>
              </w:rPr>
              <w:t xml:space="preserve">Category</w:t>
            </w:r>
          </w:p>
        </w:tc>
        <w:tc>
          <w:tcPr>
            <w:tcW w:type="dxa" w:w="468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r>
              <w:rPr>
                <w:rFonts w:ascii="Arial" w:cs="Arial" w:eastAsia="Arial" w:hAnsi="Arial"/>
                <w:b/>
                <w:bCs/>
                <w:color w:val="FFFFFF"/>
                <w:sz w:val="21"/>
                <w:szCs w:val="21"/>
              </w:rPr>
              <w:t xml:space="preserve">Revenue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construction.tools.light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$476,059 (68.2% of total)</w:t>
            </w:r>
          </w:p>
        </w:tc>
      </w:tr>
      <w:tr>
        <w:tc>
          <w:tcPr>
            <w:tcW w:type="dxa" w:w="468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1A"/>
                <w:sz w:val="21"/>
                <w:szCs w:val="21"/>
              </w:rPr>
              <w:t xml:space="preserve">appliances.personal.massager</w:t>
            </w:r>
          </w:p>
        </w:tc>
        <w:tc>
          <w:tcPr>
            <w:tcW w:type="dxa" w:w="468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1A"/>
                <w:sz w:val="21"/>
                <w:szCs w:val="21"/>
              </w:rPr>
              <w:t xml:space="preserve">$31,853 (4.6%)</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electronics.audio.headphone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$21,144 (3.0%)</w:t>
            </w:r>
          </w:p>
        </w:tc>
      </w:tr>
      <w:tr>
        <w:tc>
          <w:tcPr>
            <w:tcW w:type="dxa" w:w="468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1A"/>
                <w:sz w:val="21"/>
                <w:szCs w:val="21"/>
              </w:rPr>
              <w:t xml:space="preserve">appliances.kitchen.refrigerators</w:t>
            </w:r>
          </w:p>
        </w:tc>
        <w:tc>
          <w:tcPr>
            <w:tcW w:type="dxa" w:w="468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1A"/>
                <w:sz w:val="21"/>
                <w:szCs w:val="21"/>
              </w:rPr>
              <w:t xml:space="preserve">$20,070 (2.9%)</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All other categories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$148,425 (21.3%)</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Construction tools alone account for 68.2% of total revenue — a significant concentration risk. If demand for this category declines or a competitor undercuts pricing, the business faces a major revenue shortfall.</w:t>
      </w:r>
    </w:p>
    <w:p>
      <w:r>
        <w:br w:type="page"/>
      </w:r>
    </w:p>
    <w:p>
      <w:pPr>
        <w:pStyle w:val="Heading1"/>
        <w:spacing w:after="160" w:before="360"/>
      </w:pPr>
      <w:r>
        <w:rPr>
          <w:rFonts w:ascii="Arial" w:cs="Arial" w:eastAsia="Arial" w:hAnsi="Arial"/>
          <w:b/>
          <w:bCs/>
          <w:color w:val="042C53"/>
          <w:sz w:val="32"/>
          <w:szCs w:val="32"/>
        </w:rPr>
        <w:t xml:space="preserve">4. What Is Going Wrong?</w:t>
      </w:r>
    </w:p>
    <w:p>
      <w:pPr>
        <w:pStyle w:val="Heading2"/>
        <w:spacing w:after="120" w:before="280"/>
      </w:pPr>
      <w:r>
        <w:rPr>
          <w:rFonts w:ascii="Arial" w:cs="Arial" w:eastAsia="Arial" w:hAnsi="Arial"/>
          <w:b/>
          <w:bCs/>
          <w:color w:val="185FA5"/>
          <w:sz w:val="26"/>
          <w:szCs w:val="26"/>
        </w:rPr>
        <w:t xml:space="preserve">Problem 1 (Critical): 85.1% View-to-No-Cart Drop-off</w:t>
      </w:r>
    </w:p>
    <w:p>
      <w:pPr>
        <w:spacing w:after="80" w:before="80"/>
      </w:pPr>
      <w:r>
        <w:rPr>
          <w:rFonts w:ascii="Arial" w:cs="Arial" w:eastAsia="Arial" w:hAnsi="Arial"/>
          <w:sz w:val="22"/>
          <w:szCs w:val="22"/>
        </w:rPr>
        <w:t xml:space="preserve">31,424 users viewed products but never added a single item to cart. This is the single largest revenue leak in the funnel.</w:t>
      </w:r>
    </w:p>
    <w:p>
      <w:pPr>
        <w:spacing w:after="80" w:before="80"/>
      </w:pPr>
      <w:r>
        <w:rPr>
          <w:rFonts w:ascii="Arial" w:cs="Arial" w:eastAsia="Arial" w:hAnsi="Arial"/>
          <w:sz w:val="22"/>
          <w:szCs w:val="22"/>
        </w:rPr>
        <w:t xml:space="preserve">Root causes likely include: insufficient product imagery, weak calls-to-action, lack of social proof (reviews/ratings), and poor product page UX.</w:t>
      </w:r>
    </w:p>
    <w:p>
      <w:pPr>
        <w:spacing w:after="80" w:before="80"/>
      </w:pPr>
      <w:r>
        <w:rPr>
          <w:rFonts w:ascii="Arial" w:cs="Arial" w:eastAsia="Arial" w:hAnsi="Arial"/>
          <w:sz w:val="22"/>
          <w:szCs w:val="22"/>
        </w:rPr>
        <w:t xml:space="preserve">Business impact: If this rate improved from 14.85% to 20%, purchases would increase by approximately 60% with no additional marketing spend.</w:t>
      </w:r>
    </w:p>
    <w:p>
      <w:pPr>
        <w:spacing w:after="8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185FA5"/>
          <w:sz w:val="26"/>
          <w:szCs w:val="26"/>
        </w:rPr>
        <w:t xml:space="preserve">Problem 2 (High): 65.5% Cart Abandonment Rate</w:t>
      </w:r>
    </w:p>
    <w:p>
      <w:pPr>
        <w:spacing w:after="80" w:before="80"/>
      </w:pPr>
      <w:r>
        <w:rPr>
          <w:rFonts w:ascii="Arial" w:cs="Arial" w:eastAsia="Arial" w:hAnsi="Arial"/>
          <w:sz w:val="22"/>
          <w:szCs w:val="22"/>
        </w:rPr>
        <w:t xml:space="preserve">3,588 users added items to cart but did not complete their purchase. Common causes include surprise shipping costs revealed at checkout, lengthy or complex checkout process, no guest checkout option, and lack of urgency or trust signals.</w:t>
      </w:r>
    </w:p>
    <w:p>
      <w:pPr>
        <w:spacing w:after="80" w:before="80"/>
      </w:pPr>
      <w:r>
        <w:rPr>
          <w:rFonts w:ascii="Arial" w:cs="Arial" w:eastAsia="Arial" w:hAnsi="Arial"/>
          <w:sz w:val="22"/>
          <w:szCs w:val="22"/>
        </w:rPr>
        <w:t xml:space="preserve">Industry benchmark: The global average cart abandonment rate is 70%. At 65.5%, this store is slightly below average but still represents significant recoverable revenue.</w:t>
      </w:r>
    </w:p>
    <w:p>
      <w:pPr>
        <w:spacing w:after="8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185FA5"/>
          <w:sz w:val="26"/>
          <w:szCs w:val="26"/>
        </w:rPr>
        <w:t xml:space="preserve">Problem 3 (Medium): 17.85% Repeat Purchase Rate</w:t>
      </w:r>
    </w:p>
    <w:p>
      <w:pPr>
        <w:spacing w:after="80" w:before="80"/>
      </w:pPr>
      <w:r>
        <w:rPr>
          <w:rFonts w:ascii="Arial" w:cs="Arial" w:eastAsia="Arial" w:hAnsi="Arial"/>
          <w:sz w:val="22"/>
          <w:szCs w:val="22"/>
        </w:rPr>
        <w:t xml:space="preserve">Only 339 of 1,894 buyers returned for a second purchase. Without a post-purchase engagement strategy, the business is paying acquisition costs for every sale instead of building a compounding customer base.</w:t>
      </w:r>
    </w:p>
    <w:p>
      <w:pPr>
        <w:pStyle w:val="Heading1"/>
        <w:spacing w:after="160" w:before="360"/>
      </w:pPr>
      <w:r>
        <w:rPr>
          <w:rFonts w:ascii="Arial" w:cs="Arial" w:eastAsia="Arial" w:hAnsi="Arial"/>
          <w:b/>
          <w:bCs/>
          <w:color w:val="042C53"/>
          <w:sz w:val="32"/>
          <w:szCs w:val="32"/>
        </w:rPr>
        <w:t xml:space="preserve">5. PM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r>
              <w:rPr>
                <w:rFonts w:ascii="Arial" w:cs="Arial" w:eastAsia="Arial" w:hAnsi="Arial"/>
                <w:b/>
                <w:bCs/>
                <w:color w:val="FFFFFF"/>
                <w:sz w:val="21"/>
                <w:szCs w:val="21"/>
              </w:rPr>
              <w:t xml:space="preserve">Priority</w:t>
            </w:r>
          </w:p>
        </w:tc>
        <w:tc>
          <w:tcPr>
            <w:tcW w:type="dxa" w:w="468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r>
              <w:rPr>
                <w:rFonts w:ascii="Arial" w:cs="Arial" w:eastAsia="Arial" w:hAnsi="Arial"/>
                <w:b/>
                <w:bCs/>
                <w:color w:val="FFFFFF"/>
                <w:sz w:val="21"/>
                <w:szCs w:val="21"/>
              </w:rPr>
              <w:t xml:space="preserve">Action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P0 — This Week</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A/B test product page CTAs, add review counts, improve hero images</w:t>
            </w:r>
          </w:p>
        </w:tc>
      </w:tr>
      <w:tr>
        <w:tc>
          <w:tcPr>
            <w:tcW w:type="dxa" w:w="468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1A"/>
                <w:sz w:val="21"/>
                <w:szCs w:val="21"/>
              </w:rPr>
              <w:t xml:space="preserve">P1 — This Sprint</w:t>
            </w:r>
          </w:p>
        </w:tc>
        <w:tc>
          <w:tcPr>
            <w:tcW w:type="dxa" w:w="468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1A"/>
                <w:sz w:val="21"/>
                <w:szCs w:val="21"/>
              </w:rPr>
              <w:t xml:space="preserve">Implement 3-touch cart abandonment email (1hr / 24hr / 72hr)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P1 — This Sprint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Add progress bar to checkout, show shipping cost upfront</w:t>
            </w:r>
          </w:p>
        </w:tc>
      </w:tr>
      <w:tr>
        <w:tc>
          <w:tcPr>
            <w:tcW w:type="dxa" w:w="468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1A"/>
                <w:sz w:val="21"/>
                <w:szCs w:val="21"/>
              </w:rPr>
              <w:t xml:space="preserve">P2 — Next Month</w:t>
            </w:r>
          </w:p>
        </w:tc>
        <w:tc>
          <w:tcPr>
            <w:tcW w:type="dxa" w:w="468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1A"/>
                <w:sz w:val="21"/>
                <w:szCs w:val="21"/>
              </w:rPr>
              <w:t xml:space="preserve">Launch post-purchase email sequence with cross-sell recommendations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P2 — Next Month</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1"/>
                <w:szCs w:val="21"/>
              </w:rPr>
              <w:t xml:space="preserve">Introduce loyalty points program for repeat purchases</w:t>
            </w:r>
          </w:p>
        </w:tc>
      </w:tr>
      <w:tr>
        <w:tc>
          <w:tcPr>
            <w:tcW w:type="dxa" w:w="468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1A"/>
                <w:sz w:val="21"/>
                <w:szCs w:val="21"/>
              </w:rPr>
              <w:t xml:space="preserve">P3 — Quarter</w:t>
            </w:r>
          </w:p>
        </w:tc>
        <w:tc>
          <w:tcPr>
            <w:tcW w:type="dxa" w:w="468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val="false"/>
                <w:bCs w:val="false"/>
                <w:color w:val="1A1A1A"/>
                <w:sz w:val="21"/>
                <w:szCs w:val="21"/>
              </w:rPr>
              <w:t xml:space="preserve">Diversify product categories to reduce construction tools concentration</w:t>
            </w:r>
          </w:p>
        </w:tc>
      </w:tr>
    </w:tbl>
    <w:p>
      <w:r>
        <w:br w:type="page"/>
      </w:r>
    </w:p>
    <w:p>
      <w:pPr>
        <w:pStyle w:val="Heading1"/>
        <w:spacing w:after="160" w:before="360"/>
      </w:pPr>
      <w:r>
        <w:rPr>
          <w:rFonts w:ascii="Arial" w:cs="Arial" w:eastAsia="Arial" w:hAnsi="Arial"/>
          <w:b/>
          <w:bCs/>
          <w:color w:val="042C53"/>
          <w:sz w:val="32"/>
          <w:szCs w:val="32"/>
        </w:rPr>
        <w:t xml:space="preserve">6. All DAX Measures</w:t>
      </w:r>
    </w:p>
    <w:p>
      <w:pPr>
        <w:spacing w:after="80" w:before="80"/>
      </w:pPr>
      <w:r>
        <w:rPr>
          <w:rFonts w:ascii="Arial" w:cs="Arial" w:eastAsia="Arial" w:hAnsi="Arial"/>
          <w:sz w:val="22"/>
          <w:szCs w:val="22"/>
        </w:rPr>
        <w:t xml:space="preserve">All measures use table name: feb2020_clean_powerbi</w:t>
      </w:r>
    </w:p>
    <w:p>
      <w:pPr>
        <w:spacing w:after="80" w:before="80"/>
      </w:pPr>
      <w:r>
        <w:rPr>
          <w:rFonts w:ascii="Arial" w:cs="Arial" w:eastAsia="Arial" w:hAnsi="Arial"/>
          <w:sz w:val="22"/>
          <w:szCs w:val="22"/>
        </w:rPr>
        <w:t xml:space="preserve"/>
      </w:r>
    </w:p>
    <w:p>
      <w:pPr>
        <w:pStyle w:val="Heading2"/>
        <w:spacing w:after="120" w:before="280"/>
      </w:pPr>
      <w:r>
        <w:rPr>
          <w:rFonts w:ascii="Arial" w:cs="Arial" w:eastAsia="Arial" w:hAnsi="Arial"/>
          <w:b/>
          <w:bCs/>
          <w:color w:val="185FA5"/>
          <w:sz w:val="26"/>
          <w:szCs w:val="26"/>
        </w:rPr>
        <w:t xml:space="preserve">Core KPI Measures</w:t>
      </w:r>
    </w:p>
    <w:p>
      <w:pPr>
        <w:spacing w:after="40" w:before="120"/>
      </w:pPr>
      <w:r>
        <w:rPr>
          <w:rFonts w:ascii="Arial" w:cs="Arial" w:eastAsia="Arial" w:hAnsi="Arial"/>
          <w:b/>
          <w:bCs/>
          <w:color w:val="185FA5"/>
          <w:sz w:val="22"/>
          <w:szCs w:val="22"/>
        </w:rPr>
        <w:t xml:space="preserve">Total Users</w:t>
      </w:r>
    </w:p>
    <w:p>
      <w:pPr>
        <w:shd w:fill="F5F5F5" w:val="clear"/>
        <w:spacing w:after="100" w:before="0"/>
      </w:pPr>
      <w:r>
        <w:rPr>
          <w:rFonts w:ascii="Courier New" w:cs="Courier New" w:eastAsia="Courier New" w:hAnsi="Courier New"/>
          <w:color w:val="1a1a2e"/>
          <w:sz w:val="18"/>
          <w:szCs w:val="18"/>
        </w:rPr>
        <w:t xml:space="preserve">DISTINCTCOUNT('feb2020_clean_powerbi'[user_id])</w:t>
      </w:r>
    </w:p>
    <w:p>
      <w:pPr>
        <w:spacing w:after="40" w:before="120"/>
      </w:pPr>
      <w:r>
        <w:rPr>
          <w:rFonts w:ascii="Arial" w:cs="Arial" w:eastAsia="Arial" w:hAnsi="Arial"/>
          <w:b/>
          <w:bCs/>
          <w:color w:val="185FA5"/>
          <w:sz w:val="22"/>
          <w:szCs w:val="22"/>
        </w:rPr>
        <w:t xml:space="preserve">Total Views</w:t>
      </w:r>
    </w:p>
    <w:p>
      <w:pPr>
        <w:shd w:fill="F5F5F5" w:val="clear"/>
        <w:spacing w:after="100" w:before="0"/>
      </w:pPr>
      <w:r>
        <w:rPr>
          <w:rFonts w:ascii="Courier New" w:cs="Courier New" w:eastAsia="Courier New" w:hAnsi="Courier New"/>
          <w:color w:val="1a1a2e"/>
          <w:sz w:val="18"/>
          <w:szCs w:val="18"/>
        </w:rPr>
        <w:t xml:space="preserve">CALCULATE(COUNT('feb2020_clean_powerbi'[event_type]),'feb2020_clean_powerbi'[event_type]="view")</w:t>
      </w:r>
    </w:p>
    <w:p>
      <w:pPr>
        <w:spacing w:after="40" w:before="120"/>
      </w:pPr>
      <w:r>
        <w:rPr>
          <w:rFonts w:ascii="Arial" w:cs="Arial" w:eastAsia="Arial" w:hAnsi="Arial"/>
          <w:b/>
          <w:bCs/>
          <w:color w:val="185FA5"/>
          <w:sz w:val="22"/>
          <w:szCs w:val="22"/>
        </w:rPr>
        <w:t xml:space="preserve">Total Carts</w:t>
      </w:r>
    </w:p>
    <w:p>
      <w:pPr>
        <w:shd w:fill="F5F5F5" w:val="clear"/>
        <w:spacing w:after="100" w:before="0"/>
      </w:pPr>
      <w:r>
        <w:rPr>
          <w:rFonts w:ascii="Courier New" w:cs="Courier New" w:eastAsia="Courier New" w:hAnsi="Courier New"/>
          <w:color w:val="1a1a2e"/>
          <w:sz w:val="18"/>
          <w:szCs w:val="18"/>
        </w:rPr>
        <w:t xml:space="preserve">CALCULATE(COUNT('feb2020_clean_powerbi'[event_type]),'feb2020_clean_powerbi'[event_type]="cart")</w:t>
      </w:r>
    </w:p>
    <w:p>
      <w:pPr>
        <w:spacing w:after="40" w:before="120"/>
      </w:pPr>
      <w:r>
        <w:rPr>
          <w:rFonts w:ascii="Arial" w:cs="Arial" w:eastAsia="Arial" w:hAnsi="Arial"/>
          <w:b/>
          <w:bCs/>
          <w:color w:val="185FA5"/>
          <w:sz w:val="22"/>
          <w:szCs w:val="22"/>
        </w:rPr>
        <w:t xml:space="preserve">Total Purchases</w:t>
      </w:r>
    </w:p>
    <w:p>
      <w:pPr>
        <w:shd w:fill="F5F5F5" w:val="clear"/>
        <w:spacing w:after="100" w:before="0"/>
      </w:pPr>
      <w:r>
        <w:rPr>
          <w:rFonts w:ascii="Courier New" w:cs="Courier New" w:eastAsia="Courier New" w:hAnsi="Courier New"/>
          <w:color w:val="1a1a2e"/>
          <w:sz w:val="18"/>
          <w:szCs w:val="18"/>
        </w:rPr>
        <w:t xml:space="preserve">CALCULATE(COUNT('feb2020_clean_powerbi'[event_type]),'feb2020_clean_powerbi'[event_type]="purchase")</w:t>
      </w:r>
    </w:p>
    <w:p>
      <w:pPr>
        <w:spacing w:after="40" w:before="120"/>
      </w:pPr>
      <w:r>
        <w:rPr>
          <w:rFonts w:ascii="Arial" w:cs="Arial" w:eastAsia="Arial" w:hAnsi="Arial"/>
          <w:b/>
          <w:bCs/>
          <w:color w:val="185FA5"/>
          <w:sz w:val="22"/>
          <w:szCs w:val="22"/>
        </w:rPr>
        <w:t xml:space="preserve">Total Revenue</w:t>
      </w:r>
    </w:p>
    <w:p>
      <w:pPr>
        <w:shd w:fill="F5F5F5" w:val="clear"/>
        <w:spacing w:after="100" w:before="0"/>
      </w:pPr>
      <w:r>
        <w:rPr>
          <w:rFonts w:ascii="Courier New" w:cs="Courier New" w:eastAsia="Courier New" w:hAnsi="Courier New"/>
          <w:color w:val="1a1a2e"/>
          <w:sz w:val="18"/>
          <w:szCs w:val="18"/>
        </w:rPr>
        <w:t xml:space="preserve">CALCULATE(SUM('feb2020_clean_powerbi'[price]),'feb2020_clean_powerbi'[event_type]="purchase")</w:t>
      </w:r>
    </w:p>
    <w:p>
      <w:pPr>
        <w:spacing w:after="40" w:before="120"/>
      </w:pPr>
      <w:r>
        <w:rPr>
          <w:rFonts w:ascii="Arial" w:cs="Arial" w:eastAsia="Arial" w:hAnsi="Arial"/>
          <w:b/>
          <w:bCs/>
          <w:color w:val="185FA5"/>
          <w:sz w:val="22"/>
          <w:szCs w:val="22"/>
        </w:rPr>
        <w:t xml:space="preserve">Avg Order Value</w:t>
      </w:r>
    </w:p>
    <w:p>
      <w:pPr>
        <w:shd w:fill="F5F5F5" w:val="clear"/>
        <w:spacing w:after="100" w:before="0"/>
      </w:pPr>
      <w:r>
        <w:rPr>
          <w:rFonts w:ascii="Courier New" w:cs="Courier New" w:eastAsia="Courier New" w:hAnsi="Courier New"/>
          <w:color w:val="1a1a2e"/>
          <w:sz w:val="18"/>
          <w:szCs w:val="18"/>
        </w:rPr>
        <w:t xml:space="preserve">DIVIDE([Total Revenue],[Total Purchases])</w:t>
      </w:r>
    </w:p>
    <w:p>
      <w:pPr>
        <w:pStyle w:val="Heading2"/>
        <w:spacing w:after="120" w:before="280"/>
      </w:pPr>
      <w:r>
        <w:rPr>
          <w:rFonts w:ascii="Arial" w:cs="Arial" w:eastAsia="Arial" w:hAnsi="Arial"/>
          <w:b/>
          <w:bCs/>
          <w:color w:val="185FA5"/>
          <w:sz w:val="26"/>
          <w:szCs w:val="26"/>
        </w:rPr>
        <w:t xml:space="preserve">Conversion Rate Measures</w:t>
      </w:r>
    </w:p>
    <w:p>
      <w:pPr>
        <w:spacing w:after="40" w:before="120"/>
      </w:pPr>
      <w:r>
        <w:rPr>
          <w:rFonts w:ascii="Arial" w:cs="Arial" w:eastAsia="Arial" w:hAnsi="Arial"/>
          <w:b/>
          <w:bCs/>
          <w:color w:val="185FA5"/>
          <w:sz w:val="22"/>
          <w:szCs w:val="22"/>
        </w:rPr>
        <w:t xml:space="preserve">View to Cart %</w:t>
      </w:r>
    </w:p>
    <w:p>
      <w:pPr>
        <w:spacing w:after="100" w:before="0"/>
      </w:pPr>
      <w:r>
        <w:rPr>
          <w:rFonts w:ascii="Courier New" w:cs="Courier New" w:eastAsia="Courier New" w:hAnsi="Courier New"/>
          <w:color w:val="1a1a2e"/>
          <w:sz w:val="18"/>
          <w:szCs w:val="18"/>
        </w:rPr>
        <w:t xml:space="preserve">DIVIDE(CALCULATE(DISTINCTCOUNT('feb2020_clean_powerbi'[user_id]),'feb2020_clean_powerbi'[event_type]="cart"),CALCULATE(DISTINCTCOUNT('feb2020_clean_powerbi'[user_id]),'feb2020_clean_powerbi'[event_type]="view"))*100</w:t>
      </w:r>
    </w:p>
    <w:p>
      <w:pPr>
        <w:spacing w:after="40" w:before="120"/>
      </w:pPr>
      <w:r>
        <w:rPr>
          <w:rFonts w:ascii="Arial" w:cs="Arial" w:eastAsia="Arial" w:hAnsi="Arial"/>
          <w:b/>
          <w:bCs/>
          <w:color w:val="185FA5"/>
          <w:sz w:val="22"/>
          <w:szCs w:val="22"/>
        </w:rPr>
        <w:t xml:space="preserve">Cart to Purchase %</w:t>
      </w:r>
    </w:p>
    <w:p>
      <w:pPr>
        <w:spacing w:after="100" w:before="0"/>
      </w:pPr>
      <w:r>
        <w:rPr>
          <w:rFonts w:ascii="Courier New" w:cs="Courier New" w:eastAsia="Courier New" w:hAnsi="Courier New"/>
          <w:color w:val="1a1a2e"/>
          <w:sz w:val="18"/>
          <w:szCs w:val="18"/>
        </w:rPr>
        <w:t xml:space="preserve">DIVIDE(CALCULATE(DISTINCTCOUNT('feb2020_clean_powerbi'[user_id]),'feb2020_clean_powerbi'[event_type]="purchase"),CALCULATE(DISTINCTCOUNT('feb2020_clean_powerbi'[user_id]),'feb2020_clean_powerbi'[event_type]="cart"))*100</w:t>
      </w:r>
    </w:p>
    <w:p>
      <w:pPr>
        <w:spacing w:after="40" w:before="120"/>
      </w:pPr>
      <w:r>
        <w:rPr>
          <w:rFonts w:ascii="Arial" w:cs="Arial" w:eastAsia="Arial" w:hAnsi="Arial"/>
          <w:b/>
          <w:bCs/>
          <w:color w:val="185FA5"/>
          <w:sz w:val="22"/>
          <w:szCs w:val="22"/>
        </w:rPr>
        <w:t xml:space="preserve">Overall Conversion %</w:t>
      </w:r>
    </w:p>
    <w:p>
      <w:pPr>
        <w:spacing w:after="100" w:before="0"/>
      </w:pPr>
      <w:r>
        <w:rPr>
          <w:rFonts w:ascii="Courier New" w:cs="Courier New" w:eastAsia="Courier New" w:hAnsi="Courier New"/>
          <w:color w:val="1a1a2e"/>
          <w:sz w:val="18"/>
          <w:szCs w:val="18"/>
        </w:rPr>
        <w:t xml:space="preserve">DIVIDE(CALCULATE(DISTINCTCOUNT('feb2020_clean_powerbi'[user_id]),'feb2020_clean_powerbi'[event_type]="purchase"),CALCULATE(DISTINCTCOUNT('feb2020_clean_powerbi'[user_id]),'feb2020_clean_powerbi'[event_type]="view"))*100</w:t>
      </w:r>
    </w:p>
    <w:p>
      <w:pPr>
        <w:spacing w:after="40" w:before="120"/>
      </w:pPr>
      <w:r>
        <w:rPr>
          <w:rFonts w:ascii="Arial" w:cs="Arial" w:eastAsia="Arial" w:hAnsi="Arial"/>
          <w:b/>
          <w:bCs/>
          <w:color w:val="185FA5"/>
          <w:sz w:val="22"/>
          <w:szCs w:val="22"/>
        </w:rPr>
        <w:t xml:space="preserve">Repeat Rate %</w:t>
      </w:r>
    </w:p>
    <w:p>
      <w:pPr>
        <w:spacing w:after="100" w:before="0"/>
      </w:pPr>
      <w:r>
        <w:rPr>
          <w:rFonts w:ascii="Courier New" w:cs="Courier New" w:eastAsia="Courier New" w:hAnsi="Courier New"/>
          <w:color w:val="1a1a2e"/>
          <w:sz w:val="18"/>
          <w:szCs w:val="18"/>
        </w:rPr>
        <w:t xml:space="preserve">VAR PurchaseTable=CALCULATETABLE(VALUES('feb2020_clean_powerbi'[user_id]),'feb2020_clean_powerbi'[event_type]="purchase") VAR TotalBuyers=COUNTROWS(PurchaseTable) VAR UPC=ADDCOLUMNS(PurchaseTable,"PCount",CALCULATE(COUNT('feb2020_clean_powerbi'[event_type]),'feb2020_clean_powerbi'[event_type]="purchase")) VAR RepeatBuyers=COUNTROWS(FILTER(UPC,[PCount]&gt;1)) RETURN DIVIDE(RepeatBuyers,TotalBuyers)*100</w:t>
      </w:r>
    </w:p>
    <w:p>
      <w:r>
        <w:br w:type="page"/>
      </w:r>
    </w:p>
    <w:p>
      <w:pPr>
        <w:pStyle w:val="Heading1"/>
        <w:spacing w:after="160" w:before="360"/>
      </w:pPr>
      <w:r>
        <w:rPr>
          <w:rFonts w:ascii="Arial" w:cs="Arial" w:eastAsia="Arial" w:hAnsi="Arial"/>
          <w:b/>
          <w:bCs/>
          <w:color w:val="042C53"/>
          <w:sz w:val="32"/>
          <w:szCs w:val="32"/>
        </w:rPr>
        <w:t xml:space="preserve">7. Conclusion</w:t>
      </w:r>
    </w:p>
    <w:p>
      <w:pPr>
        <w:spacing w:after="80" w:before="80"/>
      </w:pPr>
      <w:r>
        <w:rPr>
          <w:rFonts w:ascii="Arial" w:cs="Arial" w:eastAsia="Arial" w:hAnsi="Arial"/>
          <w:sz w:val="22"/>
          <w:szCs w:val="22"/>
        </w:rPr>
        <w:t xml:space="preserve">This dashboard successfully delivers all requirements of a PM + Analyst combo project:</w:t>
      </w:r>
    </w:p>
    <w:p>
      <w:pPr>
        <w:pStyle w:val="ListParagraph"/>
        <w:numPr>
          <w:ilvl w:val="0"/>
          <w:numId w:val="2"/>
        </w:numPr>
        <w:spacing w:after="60" w:before="60"/>
      </w:pPr>
      <w:r>
        <w:rPr>
          <w:rFonts w:ascii="Arial" w:cs="Arial" w:eastAsia="Arial" w:hAnsi="Arial"/>
          <w:sz w:val="22"/>
          <w:szCs w:val="22"/>
        </w:rPr>
        <w:t xml:space="preserve">Real dataset — 173,198 events from a live e-commerce store</w:t>
      </w:r>
    </w:p>
    <w:p>
      <w:pPr>
        <w:pStyle w:val="ListParagraph"/>
        <w:numPr>
          <w:ilvl w:val="0"/>
          <w:numId w:val="2"/>
        </w:numPr>
        <w:spacing w:after="60" w:before="60"/>
      </w:pPr>
      <w:r>
        <w:rPr>
          <w:rFonts w:ascii="Arial" w:cs="Arial" w:eastAsia="Arial" w:hAnsi="Arial"/>
          <w:sz w:val="22"/>
          <w:szCs w:val="22"/>
        </w:rPr>
        <w:t xml:space="preserve">North Star Metric — 5.13% overall conversion clearly featured</w:t>
      </w:r>
    </w:p>
    <w:p>
      <w:pPr>
        <w:pStyle w:val="ListParagraph"/>
        <w:numPr>
          <w:ilvl w:val="0"/>
          <w:numId w:val="2"/>
        </w:numPr>
        <w:spacing w:after="60" w:before="60"/>
      </w:pPr>
      <w:r>
        <w:rPr>
          <w:rFonts w:ascii="Arial" w:cs="Arial" w:eastAsia="Arial" w:hAnsi="Arial"/>
          <w:sz w:val="22"/>
          <w:szCs w:val="22"/>
        </w:rPr>
        <w:t xml:space="preserve">Conversion funnel — view → cart → purchase with drop-off rates</w:t>
      </w:r>
    </w:p>
    <w:p>
      <w:pPr>
        <w:pStyle w:val="ListParagraph"/>
        <w:numPr>
          <w:ilvl w:val="0"/>
          <w:numId w:val="2"/>
        </w:numPr>
        <w:spacing w:after="60" w:before="60"/>
      </w:pPr>
      <w:r>
        <w:rPr>
          <w:rFonts w:ascii="Arial" w:cs="Arial" w:eastAsia="Arial" w:hAnsi="Arial"/>
          <w:sz w:val="22"/>
          <w:szCs w:val="22"/>
        </w:rPr>
        <w:t xml:space="preserve">Retention analysis — 17.85% repeat buyer rate identified</w:t>
      </w:r>
    </w:p>
    <w:p>
      <w:pPr>
        <w:pStyle w:val="ListParagraph"/>
        <w:numPr>
          <w:ilvl w:val="0"/>
          <w:numId w:val="2"/>
        </w:numPr>
        <w:spacing w:after="60" w:before="60"/>
      </w:pPr>
      <w:r>
        <w:rPr>
          <w:rFonts w:ascii="Arial" w:cs="Arial" w:eastAsia="Arial" w:hAnsi="Arial"/>
          <w:sz w:val="22"/>
          <w:szCs w:val="22"/>
        </w:rPr>
        <w:t xml:space="preserve">DAU metric — 37,287 daily active users</w:t>
      </w:r>
    </w:p>
    <w:p>
      <w:pPr>
        <w:pStyle w:val="ListParagraph"/>
        <w:numPr>
          <w:ilvl w:val="0"/>
          <w:numId w:val="2"/>
        </w:numPr>
        <w:spacing w:after="60" w:before="60"/>
      </w:pPr>
      <w:r>
        <w:rPr>
          <w:rFonts w:ascii="Arial" w:cs="Arial" w:eastAsia="Arial" w:hAnsi="Arial"/>
          <w:sz w:val="22"/>
          <w:szCs w:val="22"/>
        </w:rPr>
        <w:t xml:space="preserve">What is going wrong — 3 prioritized business problems identified</w:t>
      </w:r>
    </w:p>
    <w:p>
      <w:pPr>
        <w:pStyle w:val="ListParagraph"/>
        <w:numPr>
          <w:ilvl w:val="0"/>
          <w:numId w:val="2"/>
        </w:numPr>
        <w:spacing w:after="60" w:before="60"/>
      </w:pPr>
      <w:r>
        <w:rPr>
          <w:rFonts w:ascii="Arial" w:cs="Arial" w:eastAsia="Arial" w:hAnsi="Arial"/>
          <w:sz w:val="22"/>
          <w:szCs w:val="22"/>
        </w:rPr>
        <w:t xml:space="preserve">Where users drop off — 85.1% view-to-no-cart gap quantified</w:t>
      </w:r>
    </w:p>
    <w:p>
      <w:pPr>
        <w:pStyle w:val="ListParagraph"/>
        <w:numPr>
          <w:ilvl w:val="0"/>
          <w:numId w:val="2"/>
        </w:numPr>
        <w:spacing w:after="60" w:before="60"/>
      </w:pPr>
      <w:r>
        <w:rPr>
          <w:rFonts w:ascii="Arial" w:cs="Arial" w:eastAsia="Arial" w:hAnsi="Arial"/>
          <w:sz w:val="22"/>
          <w:szCs w:val="22"/>
        </w:rPr>
        <w:t xml:space="preserve">PM recommendations — prioritized P0/P1/P2/P3 roadmap</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most impactful single action is improving the product page view-to-cart rate. A 5 percentage point improvement (from 14.85% to ~20%) would increase purchases by approximately 600 transactions and revenue by approximately $173,000 — with zero additional marketing spend.</w:t>
      </w:r>
    </w:p>
    <w:p>
      <w:pPr>
        <w:pBdr>
          <w:bottom w:val="single" w:color="185FA5" w:sz="4" w:space="1"/>
        </w:pBdr>
        <w:spacing w:after="200" w:before="200"/>
      </w:pPr>
    </w:p>
    <w:p>
      <w:pPr>
        <w:spacing w:after="0" w:before="240"/>
        <w:jc w:val="center"/>
      </w:pPr>
      <w:r>
        <w:rPr>
          <w:rFonts w:ascii="Arial" w:cs="Arial" w:eastAsia="Arial" w:hAnsi="Arial"/>
          <w:i/>
          <w:iCs/>
          <w:color w:val="888888"/>
          <w:sz w:val="18"/>
          <w:szCs w:val="18"/>
        </w:rPr>
        <w:t xml:space="preserve">End of Report  |  Data: Kaggle Ecommerce Behavior Dataset  |  Tool: Power BI Desktop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Startup Growth &amp; Conversion Dashboard  |  Feb 2020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42C53"/>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85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2026-04-19T05:36:09.964Z</dcterms:created>
  <dcterms:modified xsi:type="dcterms:W3CDTF">2026-04-19T05:36:09.965Z</dcterms:modified>
</cp:coreProperties>
</file>

<file path=docProps/custom.xml><?xml version="1.0" encoding="utf-8"?>
<Properties xmlns="http://schemas.openxmlformats.org/officeDocument/2006/custom-properties" xmlns:vt="http://schemas.openxmlformats.org/officeDocument/2006/docPropsVTypes"/>
</file>