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D8758" w14:textId="77777777" w:rsidR="00A76274" w:rsidRDefault="00000000">
      <w:pPr>
        <w:pStyle w:val="Heading2"/>
      </w:pPr>
      <w:bookmarkStart w:id="0" w:name="introduction"/>
      <w:r>
        <w:t>Introduction</w:t>
      </w:r>
    </w:p>
    <w:p w14:paraId="228E2BBD" w14:textId="77777777" w:rsidR="00A76274" w:rsidRDefault="00000000">
      <w:pPr>
        <w:pStyle w:val="FirstParagraph"/>
      </w:pPr>
      <w:r>
        <w:t>The transition from school to work represents a pivotal phase in the lives of young individuals, marked by decisions that significantly shape their future careers and overall lives. Importance of school-to-work transition is emphasized by the fact that it has long-term implications on socio-economic outcomes of individuals beyond youth period: while success in getting a first job that matches skills and expectations constitutes the further path to occupational success, early non-employment or poor transition to the world of work have long-lasting and negative implications on professional outcomes and beyond (Akkermans et al., 2021; Baert et al., 2013; Luijkx &amp; Wolbers, 2009; Verbruggen et al., 2015; Zacher &amp; Froidevaux, 2021). Moreover, the evidence points out that “association between having a high level of education and securing permanent full-time employment is weaker than expected”, meaning that level of education does not lead to the higher levels of job satisfaction (Chesters, 2020).</w:t>
      </w:r>
    </w:p>
    <w:p w14:paraId="4330B35F" w14:textId="77777777" w:rsidR="00A76274" w:rsidRDefault="00000000">
      <w:pPr>
        <w:pStyle w:val="BodyText"/>
      </w:pPr>
      <w:r>
        <w:t>While there are many approaches to the definitions of school-to-work transition, their extensive survey is provided in (Blokker et al., 2023). International Labour Organization (ILO), a United Nations custodian agency on setting global labor standards and promoting decent work for all, defines school-to-work transition “as the passage of a young person (aged 15 to 29 years) from the end of schooling to the first fixed-term or satisfactory employment” (Matsumoto &amp; Elder, 2010, p. 4). With that respect, each young person aged 15-29 is classified under the following categories: (1) transition not yet started for those who are either in school or not in school but inactive and with no intention to look for a job; (2) in transition, for those who are either unemployed, or in unsatisfactory self-employment temporary job, in unpaid family employment, or not in school but searching for a job; (3) transited, for those who are either in fixed-term employment or in satisfactory temporary or self-employment. While Sustainable Development Goals define youth as the population in the age 15 to 24 yeras old, ILO extended the upper bound to acknowledge that many young women and men remain in education till 24 years, and a wider age frame is required to capture employment experiences of youth post graduation.</w:t>
      </w:r>
    </w:p>
    <w:p w14:paraId="3E5E28D1" w14:textId="77777777" w:rsidR="00A76274" w:rsidRDefault="00000000">
      <w:pPr>
        <w:pStyle w:val="BodyText"/>
      </w:pPr>
      <w:r>
        <w:t xml:space="preserve">The success of school-to-work transition, i.e., if a young person finds a decent job, is determined by various factors such as education, training, as well as supply and demand for qualified workforce on the labor market. Those young people who, in addition to being unemployed, also do not study, constitute the most vulnerable group in the school-to-work transition and are defined as not in education, employment, or training (NEET). In the recent past, two events amplified vulnerability of youth in terms of labor market outcomes: the Great recession of 2009 and the COVID-19 outbreak. The evidence points out that the financial crisis substantially challenged the integration of young people on the labor market all over the world (Kelly &amp; McGuinness, 2015; Mont’alvao et al., 2017; Tanveer Choudhry et al., 2012; Verd et al., 2019; Verick, 2011). Some time later, around 2015, youth employment specifically was put at the center of the global sustainable development agenda, summarized in Sustainable Development Goal 8 on decent jobs and economic growth (e.g., SDG 8.6: Promote Youth Employment, Education and Training). However, the </w:t>
      </w:r>
      <w:r>
        <w:lastRenderedPageBreak/>
        <w:t>global pandemic happened in 2019 amplified the labor market challenges faced by the global community, affecting the young more than other demographic groups. It “has heightened the level of uncertainty experienced by many young people worldwide and has complicated the developmental tasks associated with the transition to adulthood, including leaving home, completing education, and obtaining full-time employment” (Allmang et al., 2022). The initial pandemic estimates suggested that young people were hit more than others by job loss, fell in working hours and faced substantial drops of income (International Labour Organization (ILO), 2020). It was estimated that as the result of the pandemic shock in 2020, global youth employment rates fell by 8.7% in comparison to a 3.7 % drop for adults (ILO, 2021).</w:t>
      </w:r>
    </w:p>
    <w:p w14:paraId="3D50A395" w14:textId="77777777" w:rsidR="00A76274" w:rsidRDefault="00000000">
      <w:pPr>
        <w:pStyle w:val="BodyText"/>
      </w:pPr>
      <w:r>
        <w:t>Though initially the problems of employment and labor market were in the primary interest of economists, the analysis of available academic literature highlights the interdisciplinary nature of the topic, with psychology, sociology, and economics being top 3 academic disciplines to focus on the subject (Blokker et al., 2023). With different disciplines bringing various determinants of employment that were not conventionally regarded by economists, the recent studies point out that non-cognitive skills refer to one of the critical components in the school-to-work transition (Avanesian et al., 2024; Glewwe et al., 2017; Lerman, 2013; Ripamonti, 2023; Zudina, 2022). These skills encompass characteristics of personality not directly tied to cognitive abilities, including motivation, self-control, social skills, and emotional regulation. Research increasingly suggests that non-cognitive skills play a crucial role in determining success in the labor market, influencing both employment opportunities and earning potential in both developed (Almlund et al., 2011a, 2011b; Ferguson et al., 2011) and developing economies (V. E. Gimpelson et al., 2020; Rozhkova, 2019).</w:t>
      </w:r>
    </w:p>
    <w:p w14:paraId="59A053CF" w14:textId="77777777" w:rsidR="00A76274" w:rsidRDefault="00000000">
      <w:pPr>
        <w:pStyle w:val="BodyText"/>
      </w:pPr>
      <w:r>
        <w:t>While the debates on the taxonomy of non-cognitive skills are still present in the literature, with different scholars using different characteristics in measuring their impact on socio-economic outcomes, a five-factor model of personality traits, also known as “Big Five Inventory” (Goldberg, 1990), became the most mainstream approach in economics. Under this framework, all the variations in personality can be summarized by five orthogonal and independent characteristics, which include openness to new experience, conscientiousness, extraversion, agreeableness, and neuroticism (emotional stability). The state of the art research in economics, psychology, and sociology points out that these personality factors are pivotal in determining the outcomes of youth during school-to-work transition. Evidence suggests that personality measured by the big five taxonomy makes a strong impact on wellbeing of youth during the transition from graduate schools to the world of work (Buhl, 2007). Research based on the longitudinal data of vocational training graduates showed that “extraversion and emotional stability were related to better job-search outcomes after graduation”, and “some relations between Big Five personality traits and job-search outcomes were explained by social capital”, or, in other words, “available resources through social relations” (Baay et al., 2014, p. 739).</w:t>
      </w:r>
    </w:p>
    <w:p w14:paraId="76BC0D61" w14:textId="77777777" w:rsidR="00A76274" w:rsidRDefault="00000000">
      <w:pPr>
        <w:pStyle w:val="BodyText"/>
      </w:pPr>
      <w:r>
        <w:t xml:space="preserve">A study that used the data on participants from early childhood to retirement, assessed the impact of personality traits across the life span on intrinsic (job satisfaction) and </w:t>
      </w:r>
      <w:r>
        <w:lastRenderedPageBreak/>
        <w:t>extrinsic career success (occupation status and income) (Judge et al., 1999). It found out that conscientiousness positively predicts both intrinsic and extrinsic career success, while neuroticism negatively predicts extrinsic success. Overall, controlling for general cognitive ability, the study identified that even measured in early childhood, personality traits explain substantial portion of variance in career outcomes. Based on the data of the German Socio-Economic Panel (SOEP), another study estimated the effect of five personality factors on the duration of unemployment. The results highlight that such traits as conscientiousness and neuroticism have a strong impact on the instantaneous probability of finding a job, with the first affecting it positively, whereas the latter producing a negative effect (Uysal &amp; Pohlmeier, 2011).</w:t>
      </w:r>
    </w:p>
    <w:p w14:paraId="275A32A2" w14:textId="77777777" w:rsidR="00A76274" w:rsidRDefault="00000000">
      <w:pPr>
        <w:pStyle w:val="BodyText"/>
      </w:pPr>
      <w:r>
        <w:t>A few studies were exploring the role of non-cognitive skills measured by BFI with respect to NEET youth, the most vulnerable cohort in the school-to-work transition. Based on Russian Longitudinal Monitoring Survey, they produced consistent findings that point out at the negative association between conscientiousness and the NEET status, and positive relationship between neuroticism and the NEET status (Avanesian et al., 2024; Zudina, 2022).</w:t>
      </w:r>
    </w:p>
    <w:p w14:paraId="4A553603" w14:textId="77777777" w:rsidR="00A76274" w:rsidRDefault="00000000">
      <w:pPr>
        <w:pStyle w:val="BodyText"/>
      </w:pPr>
      <w:r>
        <w:t>Another research pillar explored the effect of non-cognitive skills on school-to-work transition beyond Big Five personality traits. The large body of work indicates the special role of self-efficacy in the school-to-work transition (Emirza et al., 2021; Grosemans et al., 2018; Lent et al., 1999; Masdonati et al., 2021; Tolentino et al., 2018). The concept was introduced by psychologist A. Bandura who made it central in his social cognitive theory and defined it as the mechanism of personal agency that “refers to beliefs in one’s capabilities to organize and execute the courses of action required to manage prospective situations” (Bandura, 1995, p. 2). To put it simpler, this non-cognitive characteristics refers to personal belief in achieving a certain task or accomplishing a goal. With that respect, being convinced in the success of getting the job does not guarantee that a person will get it, but it produces the behaviors, actions and attitudes that in the end facilitate achievement of this goal. In that light, this concept is somewhat similar to another psychological concept of locus of control, as both are the expressions of personal agency. Defined as an extent to which people believe to have control of events in their life as opposed to external forces, this non-cognitive characteristic may partially help to compensate for socio-economic disadvantage regarding avoidance of economic inactivity and unemployment to some extent; however, it did not prove to provide protection against long-term economic inactivity, i.e. if an young individual for more than 6 months was not in education, employment or training (Ng-Knight &amp; Schoon, 2017).</w:t>
      </w:r>
    </w:p>
    <w:p w14:paraId="4205DDAB" w14:textId="77777777" w:rsidR="00A76274" w:rsidRDefault="00000000">
      <w:pPr>
        <w:pStyle w:val="BodyText"/>
      </w:pPr>
      <w:r>
        <w:t xml:space="preserve">Current study explores the effect of non-cognitive skills on employment outcomes of youth during school-to-work transition in Russia. The Russian official statistics highlights that youth has the highest unemployment rates: in 2022, they accounted for 26% for 15-19 year olds, 13.6% for 20-24 year olds, and 5.2% for 25-29 year olds. This is compared to 2.8% of unemployment for individuals in the age of 40 to 44 year olds, the lowest value by the age cohort breakdown (Rosstat, 2024, p. 122). Further, out of all higher education graduates between 2020-2022 who found a job, for 24% the obtained employment did not match the </w:t>
      </w:r>
      <w:r>
        <w:lastRenderedPageBreak/>
        <w:t>received profession, highlighting an explicit institutional contradiction between the supply and demand sides of the national labor market. Finally, the available national data evidence that the labor market in the country demonstrates unprecedented spatial segregation: with the 4% as a country’s average unemployment in 2022, it varies in the range between 1.6% in Yamalo-Nenets Autonomous Okrug and 30% in Republic of Ingushetia.</w:t>
      </w:r>
      <w:r>
        <w:rPr>
          <w:rStyle w:val="FootnoteReference"/>
        </w:rPr>
        <w:footnoteReference w:id="1"/>
      </w:r>
    </w:p>
    <w:p w14:paraId="7615B505" w14:textId="77777777" w:rsidR="00A76274" w:rsidRDefault="00000000">
      <w:pPr>
        <w:pStyle w:val="BodyText"/>
      </w:pPr>
      <w:r>
        <w:t>While spatial disparities in employment persist at the macro-level and constitute institutional settings, this study focuses on the supply side of labor, exploring individual factors attributed to the labor market entry. Based on data of Russia Longitudinal Monitoring Survey (RLMS), this study aims to address the following research question: do non-cognitive skills affect the probability of employment for youth during school-to-work transition? If yes, what are the most influential skills?</w:t>
      </w:r>
    </w:p>
    <w:p w14:paraId="39CE8118" w14:textId="77777777" w:rsidR="00A76274" w:rsidRDefault="00000000">
      <w:pPr>
        <w:pStyle w:val="BodyText"/>
      </w:pPr>
      <w:r>
        <w:t>This research question is guided by supplementary inquiries. First, it seeks to estimate the age within the school-to-work transition period that is associated with the highest probability of gaining employment. Second, it examines whether the effect of non-cognitive skills on employment outcomes varies based on initial socio-economic conditions. i.e., family socio-economic status (SES) at the age of 15 or 16 years old. There are two main rationales behind this problem statement. First, it accounts for the transitional effects of SES on job search, recognizing that youth from wealthier households have a higher baseline probability of finding a job. Second, it investigates which non-cognitive skills are most important for integrating the economically disadvantaged youth into the labor market. The latter has significant implications for labor market policies aimed at providing marginalized youth with opportunities for social mobility.</w:t>
      </w:r>
    </w:p>
    <w:p w14:paraId="423B4E5C" w14:textId="77777777" w:rsidR="00A76274" w:rsidRDefault="00000000">
      <w:pPr>
        <w:pStyle w:val="BodyText"/>
      </w:pPr>
      <w:r>
        <w:t>Another supplementary research question proceeds from the assumption that the effect of non-cognitive skills could vary due to gender, as gender characteristics are strongly associated with labor market outcomes given the segregation faced by women in employment and wage premium. With that respect the study aims to investigate if non-cognitive skills can help reducing the gender gap in employment outcomes. Lastly, it is possible to hypothesize that different completed levels of education could produce heterogeneous returns to non-cognitive skills when it comes to the employment. In other words, the study wants to investigate if the higher levels of education completed are associated with the stronger effects of non-cognitive skills on employment.</w:t>
      </w:r>
    </w:p>
    <w:p w14:paraId="7839F4B0" w14:textId="77777777" w:rsidR="00A76274" w:rsidRDefault="00000000">
      <w:pPr>
        <w:pStyle w:val="Heading2"/>
      </w:pPr>
      <w:bookmarkStart w:id="1" w:name="data"/>
      <w:bookmarkEnd w:id="0"/>
      <w:r>
        <w:t>Data</w:t>
      </w:r>
    </w:p>
    <w:p w14:paraId="626CF8E6" w14:textId="77777777" w:rsidR="00A76274" w:rsidRDefault="00000000">
      <w:pPr>
        <w:pStyle w:val="FirstParagraph"/>
      </w:pPr>
      <w:r>
        <w:t xml:space="preserve">The data used in this study is comprised of two waves of Russia Longitudinal Monitoring Survey, the one in 2016 and 2019 as these years correspond to the ones when information on Big Five personality traits was collected. Sample those who were 15-29 years old in 2016 was extracted. It needs to be noted that the selected variables on non-cognitive skills </w:t>
      </w:r>
      <w:r>
        <w:lastRenderedPageBreak/>
        <w:t xml:space="preserve">substantially suffered from the missingness. The data for two waves was merged and cleaned from the missing values, which resulted in the data set accounting for 5994 observations in total, with 3323 coming from the 2016 wave and 2671 from the 2019 wave. Out of all observations, 4348 observations refer to unique individual IDs. The summary statistics are presented on </w:t>
      </w:r>
      <w:hyperlink w:anchor="tbl-sample-summary">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A76274" w14:paraId="1081D6AA" w14:textId="77777777">
        <w:tc>
          <w:tcPr>
            <w:tcW w:w="7920" w:type="dxa"/>
          </w:tcPr>
          <w:p w14:paraId="09957E3A" w14:textId="77777777" w:rsidR="00A76274" w:rsidRDefault="00000000">
            <w:pPr>
              <w:pStyle w:val="ImageCaption"/>
              <w:spacing w:before="200"/>
            </w:pPr>
            <w:bookmarkStart w:id="2" w:name="tbl-sample-summary"/>
            <w:r>
              <w:t>Table 1: Sample Summary</w:t>
            </w:r>
          </w:p>
          <w:tbl>
            <w:tblPr>
              <w:tblStyle w:val="Table"/>
              <w:tblW w:w="9438" w:type="dxa"/>
              <w:jc w:val="center"/>
              <w:tblCellMar>
                <w:left w:w="60" w:type="dxa"/>
                <w:right w:w="60" w:type="dxa"/>
              </w:tblCellMar>
              <w:tblLook w:val="0000" w:firstRow="0" w:lastRow="0" w:firstColumn="0" w:lastColumn="0" w:noHBand="0" w:noVBand="0"/>
            </w:tblPr>
            <w:tblGrid>
              <w:gridCol w:w="2557"/>
              <w:gridCol w:w="2593"/>
              <w:gridCol w:w="598"/>
              <w:gridCol w:w="1350"/>
              <w:gridCol w:w="338"/>
              <w:gridCol w:w="1540"/>
              <w:gridCol w:w="462"/>
            </w:tblGrid>
            <w:tr w:rsidR="000C6231" w14:paraId="5CC75B93" w14:textId="77777777" w:rsidTr="000C6231">
              <w:trPr>
                <w:gridAfter w:val="1"/>
                <w:wAfter w:w="462" w:type="dxa"/>
                <w:cantSplit/>
                <w:tblHeader/>
                <w:jc w:val="center"/>
              </w:trPr>
              <w:tc>
                <w:tcPr>
                  <w:tcW w:w="2557" w:type="dxa"/>
                </w:tcPr>
                <w:p w14:paraId="47183569" w14:textId="77777777" w:rsidR="00A76274" w:rsidRDefault="00000000">
                  <w:pPr>
                    <w:keepNext/>
                    <w:spacing w:after="60"/>
                  </w:pPr>
                  <w:r>
                    <w:rPr>
                      <w:rFonts w:ascii="Calibri" w:hAnsi="Calibri"/>
                      <w:sz w:val="20"/>
                    </w:rPr>
                    <w:t>Variable</w:t>
                  </w:r>
                </w:p>
              </w:tc>
              <w:tc>
                <w:tcPr>
                  <w:tcW w:w="2593" w:type="dxa"/>
                  <w:tcBorders>
                    <w:top w:val="single" w:sz="16" w:space="0" w:color="D3D3D3"/>
                    <w:bottom w:val="single" w:sz="16" w:space="0" w:color="D3D3D3"/>
                  </w:tcBorders>
                </w:tcPr>
                <w:p w14:paraId="06C5DBC8" w14:textId="77777777" w:rsidR="00A76274" w:rsidRDefault="00000000">
                  <w:pPr>
                    <w:keepNext/>
                    <w:spacing w:after="60"/>
                    <w:jc w:val="center"/>
                  </w:pPr>
                  <w:r>
                    <w:rPr>
                      <w:rFonts w:ascii="Calibri" w:hAnsi="Calibri"/>
                      <w:b/>
                      <w:sz w:val="20"/>
                    </w:rPr>
                    <w:t>Overall</w:t>
                  </w:r>
                  <w:r>
                    <w:rPr>
                      <w:rFonts w:ascii="Calibri" w:hAnsi="Calibri"/>
                      <w:sz w:val="20"/>
                    </w:rPr>
                    <w:t xml:space="preserve"> N = 5,994</w:t>
                  </w:r>
                  <w:r>
                    <w:rPr>
                      <w:rFonts w:ascii="Calibri" w:hAnsi="Calibri"/>
                      <w:i/>
                      <w:sz w:val="20"/>
                      <w:vertAlign w:val="superscript"/>
                    </w:rPr>
                    <w:t>1</w:t>
                  </w:r>
                </w:p>
              </w:tc>
              <w:tc>
                <w:tcPr>
                  <w:tcW w:w="2286" w:type="dxa"/>
                  <w:gridSpan w:val="3"/>
                  <w:tcBorders>
                    <w:top w:val="single" w:sz="16" w:space="0" w:color="D3D3D3"/>
                    <w:bottom w:val="single" w:sz="16" w:space="0" w:color="D3D3D3"/>
                  </w:tcBorders>
                </w:tcPr>
                <w:p w14:paraId="6F8D4AF0" w14:textId="77777777" w:rsidR="00A76274" w:rsidRDefault="00000000">
                  <w:pPr>
                    <w:keepNext/>
                    <w:spacing w:after="60"/>
                    <w:jc w:val="center"/>
                  </w:pPr>
                  <w:r>
                    <w:rPr>
                      <w:rFonts w:ascii="Calibri" w:hAnsi="Calibri"/>
                      <w:b/>
                      <w:sz w:val="20"/>
                    </w:rPr>
                    <w:t>2016</w:t>
                  </w:r>
                  <w:r>
                    <w:rPr>
                      <w:rFonts w:ascii="Calibri" w:hAnsi="Calibri"/>
                      <w:sz w:val="20"/>
                    </w:rPr>
                    <w:t xml:space="preserve"> N = 3,323</w:t>
                  </w:r>
                  <w:r>
                    <w:rPr>
                      <w:rFonts w:ascii="Calibri" w:hAnsi="Calibri"/>
                      <w:i/>
                      <w:sz w:val="20"/>
                      <w:vertAlign w:val="superscript"/>
                    </w:rPr>
                    <w:t>1</w:t>
                  </w:r>
                </w:p>
              </w:tc>
              <w:tc>
                <w:tcPr>
                  <w:tcW w:w="1540" w:type="dxa"/>
                </w:tcPr>
                <w:p w14:paraId="1A80DDBD" w14:textId="77777777" w:rsidR="00A76274" w:rsidRDefault="00000000">
                  <w:pPr>
                    <w:keepNext/>
                    <w:spacing w:after="60"/>
                    <w:jc w:val="center"/>
                  </w:pPr>
                  <w:r>
                    <w:rPr>
                      <w:rFonts w:ascii="Calibri" w:hAnsi="Calibri"/>
                      <w:b/>
                      <w:sz w:val="20"/>
                    </w:rPr>
                    <w:t>2019</w:t>
                  </w:r>
                  <w:r>
                    <w:rPr>
                      <w:rFonts w:ascii="Calibri" w:hAnsi="Calibri"/>
                      <w:sz w:val="20"/>
                    </w:rPr>
                    <w:t xml:space="preserve"> N = 2,671</w:t>
                  </w:r>
                  <w:r>
                    <w:rPr>
                      <w:rFonts w:ascii="Calibri" w:hAnsi="Calibri"/>
                      <w:i/>
                      <w:sz w:val="20"/>
                      <w:vertAlign w:val="superscript"/>
                    </w:rPr>
                    <w:t>1</w:t>
                  </w:r>
                </w:p>
              </w:tc>
            </w:tr>
            <w:tr w:rsidR="000C6231" w14:paraId="3F174EE0" w14:textId="77777777" w:rsidTr="000C6231">
              <w:trPr>
                <w:cantSplit/>
                <w:jc w:val="center"/>
              </w:trPr>
              <w:tc>
                <w:tcPr>
                  <w:tcW w:w="2557" w:type="dxa"/>
                </w:tcPr>
                <w:p w14:paraId="6710EDEB" w14:textId="77777777" w:rsidR="00A76274" w:rsidRDefault="00000000">
                  <w:pPr>
                    <w:keepNext/>
                    <w:spacing w:after="60"/>
                  </w:pPr>
                  <w:r>
                    <w:rPr>
                      <w:rFonts w:ascii="Calibri" w:hAnsi="Calibri"/>
                      <w:b/>
                      <w:sz w:val="20"/>
                    </w:rPr>
                    <w:t>Age</w:t>
                  </w:r>
                </w:p>
              </w:tc>
              <w:tc>
                <w:tcPr>
                  <w:tcW w:w="3191" w:type="dxa"/>
                  <w:gridSpan w:val="2"/>
                </w:tcPr>
                <w:p w14:paraId="0F843035" w14:textId="77777777" w:rsidR="00A76274" w:rsidRDefault="00A76274">
                  <w:pPr>
                    <w:keepNext/>
                    <w:spacing w:after="60"/>
                    <w:jc w:val="center"/>
                  </w:pPr>
                </w:p>
              </w:tc>
              <w:tc>
                <w:tcPr>
                  <w:tcW w:w="1350" w:type="dxa"/>
                </w:tcPr>
                <w:p w14:paraId="5D3A20F1" w14:textId="77777777" w:rsidR="00A76274" w:rsidRDefault="00A76274">
                  <w:pPr>
                    <w:keepNext/>
                    <w:spacing w:after="60"/>
                    <w:jc w:val="center"/>
                  </w:pPr>
                </w:p>
              </w:tc>
              <w:tc>
                <w:tcPr>
                  <w:tcW w:w="2340" w:type="dxa"/>
                  <w:gridSpan w:val="3"/>
                </w:tcPr>
                <w:p w14:paraId="1A0EA687" w14:textId="77777777" w:rsidR="00A76274" w:rsidRDefault="00A76274">
                  <w:pPr>
                    <w:keepNext/>
                    <w:spacing w:after="60"/>
                    <w:jc w:val="center"/>
                  </w:pPr>
                </w:p>
              </w:tc>
            </w:tr>
            <w:tr w:rsidR="000C6231" w14:paraId="0794B037" w14:textId="77777777" w:rsidTr="000C6231">
              <w:trPr>
                <w:cantSplit/>
                <w:jc w:val="center"/>
              </w:trPr>
              <w:tc>
                <w:tcPr>
                  <w:tcW w:w="2557" w:type="dxa"/>
                </w:tcPr>
                <w:p w14:paraId="7C39CC4D" w14:textId="77777777" w:rsidR="00A76274" w:rsidRDefault="00000000">
                  <w:pPr>
                    <w:keepNext/>
                    <w:spacing w:after="60"/>
                  </w:pPr>
                  <w:r>
                    <w:rPr>
                      <w:rFonts w:ascii="Calibri" w:hAnsi="Calibri"/>
                      <w:sz w:val="20"/>
                    </w:rPr>
                    <w:t>    Mean (SD)</w:t>
                  </w:r>
                </w:p>
              </w:tc>
              <w:tc>
                <w:tcPr>
                  <w:tcW w:w="3191" w:type="dxa"/>
                  <w:gridSpan w:val="2"/>
                </w:tcPr>
                <w:p w14:paraId="505F9983" w14:textId="77777777" w:rsidR="00A76274" w:rsidRDefault="00000000">
                  <w:pPr>
                    <w:keepNext/>
                    <w:spacing w:after="60"/>
                    <w:jc w:val="center"/>
                  </w:pPr>
                  <w:r>
                    <w:rPr>
                      <w:rFonts w:ascii="Calibri" w:hAnsi="Calibri"/>
                      <w:sz w:val="20"/>
                    </w:rPr>
                    <w:t>22.7 (4.5)</w:t>
                  </w:r>
                </w:p>
              </w:tc>
              <w:tc>
                <w:tcPr>
                  <w:tcW w:w="1350" w:type="dxa"/>
                </w:tcPr>
                <w:p w14:paraId="7E9113DF" w14:textId="77777777" w:rsidR="00A76274" w:rsidRDefault="00000000">
                  <w:pPr>
                    <w:keepNext/>
                    <w:spacing w:after="60"/>
                    <w:jc w:val="center"/>
                  </w:pPr>
                  <w:r>
                    <w:rPr>
                      <w:rFonts w:ascii="Calibri" w:hAnsi="Calibri"/>
                      <w:sz w:val="20"/>
                    </w:rPr>
                    <w:t>23.0 (4.5)</w:t>
                  </w:r>
                </w:p>
              </w:tc>
              <w:tc>
                <w:tcPr>
                  <w:tcW w:w="2340" w:type="dxa"/>
                  <w:gridSpan w:val="3"/>
                </w:tcPr>
                <w:p w14:paraId="1EB457B0" w14:textId="77777777" w:rsidR="00A76274" w:rsidRDefault="00000000">
                  <w:pPr>
                    <w:keepNext/>
                    <w:spacing w:after="60"/>
                    <w:jc w:val="center"/>
                  </w:pPr>
                  <w:r>
                    <w:rPr>
                      <w:rFonts w:ascii="Calibri" w:hAnsi="Calibri"/>
                      <w:sz w:val="20"/>
                    </w:rPr>
                    <w:t>22.5 (4.5)</w:t>
                  </w:r>
                </w:p>
              </w:tc>
            </w:tr>
            <w:tr w:rsidR="000C6231" w14:paraId="3FFFF4C8" w14:textId="77777777" w:rsidTr="000C6231">
              <w:trPr>
                <w:cantSplit/>
                <w:jc w:val="center"/>
              </w:trPr>
              <w:tc>
                <w:tcPr>
                  <w:tcW w:w="2557" w:type="dxa"/>
                </w:tcPr>
                <w:p w14:paraId="6E38E713" w14:textId="77777777" w:rsidR="00A76274" w:rsidRDefault="00000000">
                  <w:pPr>
                    <w:keepNext/>
                    <w:spacing w:after="60"/>
                  </w:pPr>
                  <w:r>
                    <w:rPr>
                      <w:rFonts w:ascii="Calibri" w:hAnsi="Calibri"/>
                      <w:b/>
                      <w:sz w:val="20"/>
                    </w:rPr>
                    <w:t>Sex</w:t>
                  </w:r>
                </w:p>
              </w:tc>
              <w:tc>
                <w:tcPr>
                  <w:tcW w:w="3191" w:type="dxa"/>
                  <w:gridSpan w:val="2"/>
                </w:tcPr>
                <w:p w14:paraId="1805AD7B" w14:textId="77777777" w:rsidR="00A76274" w:rsidRDefault="00A76274">
                  <w:pPr>
                    <w:keepNext/>
                    <w:spacing w:after="60"/>
                    <w:jc w:val="center"/>
                  </w:pPr>
                </w:p>
              </w:tc>
              <w:tc>
                <w:tcPr>
                  <w:tcW w:w="1350" w:type="dxa"/>
                </w:tcPr>
                <w:p w14:paraId="2CDCF89D" w14:textId="77777777" w:rsidR="00A76274" w:rsidRDefault="00A76274">
                  <w:pPr>
                    <w:keepNext/>
                    <w:spacing w:after="60"/>
                    <w:jc w:val="center"/>
                  </w:pPr>
                </w:p>
              </w:tc>
              <w:tc>
                <w:tcPr>
                  <w:tcW w:w="2340" w:type="dxa"/>
                  <w:gridSpan w:val="3"/>
                </w:tcPr>
                <w:p w14:paraId="343A69F7" w14:textId="77777777" w:rsidR="00A76274" w:rsidRDefault="00A76274">
                  <w:pPr>
                    <w:keepNext/>
                    <w:spacing w:after="60"/>
                    <w:jc w:val="center"/>
                  </w:pPr>
                </w:p>
              </w:tc>
            </w:tr>
            <w:tr w:rsidR="000C6231" w14:paraId="66FD7762" w14:textId="77777777" w:rsidTr="000C6231">
              <w:trPr>
                <w:cantSplit/>
                <w:jc w:val="center"/>
              </w:trPr>
              <w:tc>
                <w:tcPr>
                  <w:tcW w:w="2557" w:type="dxa"/>
                </w:tcPr>
                <w:p w14:paraId="595E8481" w14:textId="77777777" w:rsidR="00A76274" w:rsidRDefault="00000000">
                  <w:pPr>
                    <w:keepNext/>
                    <w:spacing w:after="60"/>
                  </w:pPr>
                  <w:r>
                    <w:rPr>
                      <w:rFonts w:ascii="Calibri" w:hAnsi="Calibri"/>
                      <w:sz w:val="20"/>
                    </w:rPr>
                    <w:t>    Female</w:t>
                  </w:r>
                </w:p>
              </w:tc>
              <w:tc>
                <w:tcPr>
                  <w:tcW w:w="3191" w:type="dxa"/>
                  <w:gridSpan w:val="2"/>
                </w:tcPr>
                <w:p w14:paraId="1A0E3FA1" w14:textId="77777777" w:rsidR="00A76274" w:rsidRDefault="00000000">
                  <w:pPr>
                    <w:keepNext/>
                    <w:spacing w:after="60"/>
                    <w:jc w:val="center"/>
                  </w:pPr>
                  <w:r>
                    <w:rPr>
                      <w:rFonts w:ascii="Calibri" w:hAnsi="Calibri"/>
                      <w:sz w:val="20"/>
                    </w:rPr>
                    <w:t>3,109 (52%)</w:t>
                  </w:r>
                </w:p>
              </w:tc>
              <w:tc>
                <w:tcPr>
                  <w:tcW w:w="1350" w:type="dxa"/>
                </w:tcPr>
                <w:p w14:paraId="2FABB325" w14:textId="77777777" w:rsidR="00A76274" w:rsidRDefault="00000000">
                  <w:pPr>
                    <w:keepNext/>
                    <w:spacing w:after="60"/>
                    <w:jc w:val="center"/>
                  </w:pPr>
                  <w:r>
                    <w:rPr>
                      <w:rFonts w:ascii="Calibri" w:hAnsi="Calibri"/>
                      <w:sz w:val="20"/>
                    </w:rPr>
                    <w:t>1,716 (52%)</w:t>
                  </w:r>
                </w:p>
              </w:tc>
              <w:tc>
                <w:tcPr>
                  <w:tcW w:w="2340" w:type="dxa"/>
                  <w:gridSpan w:val="3"/>
                </w:tcPr>
                <w:p w14:paraId="690459FF" w14:textId="77777777" w:rsidR="00A76274" w:rsidRDefault="00000000">
                  <w:pPr>
                    <w:keepNext/>
                    <w:spacing w:after="60"/>
                    <w:jc w:val="center"/>
                  </w:pPr>
                  <w:r>
                    <w:rPr>
                      <w:rFonts w:ascii="Calibri" w:hAnsi="Calibri"/>
                      <w:sz w:val="20"/>
                    </w:rPr>
                    <w:t>1,393 (52%)</w:t>
                  </w:r>
                </w:p>
              </w:tc>
            </w:tr>
            <w:tr w:rsidR="000C6231" w14:paraId="56DCF597" w14:textId="77777777" w:rsidTr="000C6231">
              <w:trPr>
                <w:cantSplit/>
                <w:jc w:val="center"/>
              </w:trPr>
              <w:tc>
                <w:tcPr>
                  <w:tcW w:w="2557" w:type="dxa"/>
                </w:tcPr>
                <w:p w14:paraId="24D9CC16" w14:textId="77777777" w:rsidR="00A76274" w:rsidRDefault="00000000">
                  <w:pPr>
                    <w:keepNext/>
                    <w:spacing w:after="60"/>
                  </w:pPr>
                  <w:r>
                    <w:rPr>
                      <w:rFonts w:ascii="Calibri" w:hAnsi="Calibri"/>
                      <w:sz w:val="20"/>
                    </w:rPr>
                    <w:t>    Male</w:t>
                  </w:r>
                </w:p>
              </w:tc>
              <w:tc>
                <w:tcPr>
                  <w:tcW w:w="3191" w:type="dxa"/>
                  <w:gridSpan w:val="2"/>
                </w:tcPr>
                <w:p w14:paraId="52772788" w14:textId="77777777" w:rsidR="00A76274" w:rsidRDefault="00000000">
                  <w:pPr>
                    <w:keepNext/>
                    <w:spacing w:after="60"/>
                    <w:jc w:val="center"/>
                  </w:pPr>
                  <w:r>
                    <w:rPr>
                      <w:rFonts w:ascii="Calibri" w:hAnsi="Calibri"/>
                      <w:sz w:val="20"/>
                    </w:rPr>
                    <w:t>2,885 (48%)</w:t>
                  </w:r>
                </w:p>
              </w:tc>
              <w:tc>
                <w:tcPr>
                  <w:tcW w:w="1350" w:type="dxa"/>
                </w:tcPr>
                <w:p w14:paraId="40346772" w14:textId="77777777" w:rsidR="00A76274" w:rsidRDefault="00000000">
                  <w:pPr>
                    <w:keepNext/>
                    <w:spacing w:after="60"/>
                    <w:jc w:val="center"/>
                  </w:pPr>
                  <w:r>
                    <w:rPr>
                      <w:rFonts w:ascii="Calibri" w:hAnsi="Calibri"/>
                      <w:sz w:val="20"/>
                    </w:rPr>
                    <w:t>1,607 (48%)</w:t>
                  </w:r>
                </w:p>
              </w:tc>
              <w:tc>
                <w:tcPr>
                  <w:tcW w:w="2340" w:type="dxa"/>
                  <w:gridSpan w:val="3"/>
                </w:tcPr>
                <w:p w14:paraId="35714E7E" w14:textId="77777777" w:rsidR="00A76274" w:rsidRDefault="00000000">
                  <w:pPr>
                    <w:keepNext/>
                    <w:spacing w:after="60"/>
                    <w:jc w:val="center"/>
                  </w:pPr>
                  <w:r>
                    <w:rPr>
                      <w:rFonts w:ascii="Calibri" w:hAnsi="Calibri"/>
                      <w:sz w:val="20"/>
                    </w:rPr>
                    <w:t>1,278 (48%)</w:t>
                  </w:r>
                </w:p>
              </w:tc>
            </w:tr>
            <w:tr w:rsidR="000C6231" w14:paraId="1F8B3A3D" w14:textId="77777777" w:rsidTr="000C6231">
              <w:trPr>
                <w:cantSplit/>
                <w:jc w:val="center"/>
              </w:trPr>
              <w:tc>
                <w:tcPr>
                  <w:tcW w:w="2557" w:type="dxa"/>
                </w:tcPr>
                <w:p w14:paraId="75C67612" w14:textId="77777777" w:rsidR="00A76274" w:rsidRDefault="00000000">
                  <w:pPr>
                    <w:keepNext/>
                    <w:spacing w:after="60"/>
                  </w:pPr>
                  <w:r>
                    <w:rPr>
                      <w:rFonts w:ascii="Calibri" w:hAnsi="Calibri"/>
                      <w:b/>
                      <w:sz w:val="20"/>
                    </w:rPr>
                    <w:t>Employed</w:t>
                  </w:r>
                </w:p>
              </w:tc>
              <w:tc>
                <w:tcPr>
                  <w:tcW w:w="3191" w:type="dxa"/>
                  <w:gridSpan w:val="2"/>
                </w:tcPr>
                <w:p w14:paraId="59AC9709" w14:textId="77777777" w:rsidR="00A76274" w:rsidRDefault="00000000">
                  <w:pPr>
                    <w:keepNext/>
                    <w:spacing w:after="60"/>
                    <w:jc w:val="center"/>
                  </w:pPr>
                  <w:r>
                    <w:rPr>
                      <w:rFonts w:ascii="Calibri" w:hAnsi="Calibri"/>
                      <w:sz w:val="20"/>
                    </w:rPr>
                    <w:t>2,948 (49%)</w:t>
                  </w:r>
                </w:p>
              </w:tc>
              <w:tc>
                <w:tcPr>
                  <w:tcW w:w="1350" w:type="dxa"/>
                </w:tcPr>
                <w:p w14:paraId="4D2B0FE8" w14:textId="77777777" w:rsidR="00A76274" w:rsidRDefault="00000000">
                  <w:pPr>
                    <w:keepNext/>
                    <w:spacing w:after="60"/>
                    <w:jc w:val="center"/>
                  </w:pPr>
                  <w:r>
                    <w:rPr>
                      <w:rFonts w:ascii="Calibri" w:hAnsi="Calibri"/>
                      <w:sz w:val="20"/>
                    </w:rPr>
                    <w:t>1,712 (52%)</w:t>
                  </w:r>
                </w:p>
              </w:tc>
              <w:tc>
                <w:tcPr>
                  <w:tcW w:w="2340" w:type="dxa"/>
                  <w:gridSpan w:val="3"/>
                </w:tcPr>
                <w:p w14:paraId="080E16BE" w14:textId="77777777" w:rsidR="00A76274" w:rsidRDefault="00000000">
                  <w:pPr>
                    <w:keepNext/>
                    <w:spacing w:after="60"/>
                    <w:jc w:val="center"/>
                  </w:pPr>
                  <w:r>
                    <w:rPr>
                      <w:rFonts w:ascii="Calibri" w:hAnsi="Calibri"/>
                      <w:sz w:val="20"/>
                    </w:rPr>
                    <w:t>1,236 (46%)</w:t>
                  </w:r>
                </w:p>
              </w:tc>
            </w:tr>
            <w:tr w:rsidR="000C6231" w14:paraId="0B4B2FDC" w14:textId="77777777" w:rsidTr="000C6231">
              <w:trPr>
                <w:cantSplit/>
                <w:jc w:val="center"/>
              </w:trPr>
              <w:tc>
                <w:tcPr>
                  <w:tcW w:w="2557" w:type="dxa"/>
                </w:tcPr>
                <w:p w14:paraId="3B45E704" w14:textId="77777777" w:rsidR="00A76274" w:rsidRDefault="00000000">
                  <w:pPr>
                    <w:keepNext/>
                    <w:spacing w:after="60"/>
                  </w:pPr>
                  <w:r>
                    <w:rPr>
                      <w:rFonts w:ascii="Calibri" w:hAnsi="Calibri"/>
                      <w:b/>
                      <w:sz w:val="20"/>
                    </w:rPr>
                    <w:t>Officially Employed</w:t>
                  </w:r>
                </w:p>
              </w:tc>
              <w:tc>
                <w:tcPr>
                  <w:tcW w:w="3191" w:type="dxa"/>
                  <w:gridSpan w:val="2"/>
                </w:tcPr>
                <w:p w14:paraId="03BC486B" w14:textId="77777777" w:rsidR="00A76274" w:rsidRDefault="00000000">
                  <w:pPr>
                    <w:keepNext/>
                    <w:spacing w:after="60"/>
                    <w:jc w:val="center"/>
                  </w:pPr>
                  <w:r>
                    <w:rPr>
                      <w:rFonts w:ascii="Calibri" w:hAnsi="Calibri"/>
                      <w:sz w:val="20"/>
                    </w:rPr>
                    <w:t>2,414 (40%)</w:t>
                  </w:r>
                </w:p>
              </w:tc>
              <w:tc>
                <w:tcPr>
                  <w:tcW w:w="1350" w:type="dxa"/>
                </w:tcPr>
                <w:p w14:paraId="6932DAAE" w14:textId="77777777" w:rsidR="00A76274" w:rsidRDefault="00000000">
                  <w:pPr>
                    <w:keepNext/>
                    <w:spacing w:after="60"/>
                    <w:jc w:val="center"/>
                  </w:pPr>
                  <w:r>
                    <w:rPr>
                      <w:rFonts w:ascii="Calibri" w:hAnsi="Calibri"/>
                      <w:sz w:val="20"/>
                    </w:rPr>
                    <w:t>1,383 (42%)</w:t>
                  </w:r>
                </w:p>
              </w:tc>
              <w:tc>
                <w:tcPr>
                  <w:tcW w:w="2340" w:type="dxa"/>
                  <w:gridSpan w:val="3"/>
                </w:tcPr>
                <w:p w14:paraId="5EFC2CAF" w14:textId="77777777" w:rsidR="00A76274" w:rsidRDefault="00000000">
                  <w:pPr>
                    <w:keepNext/>
                    <w:spacing w:after="60"/>
                    <w:jc w:val="center"/>
                  </w:pPr>
                  <w:r>
                    <w:rPr>
                      <w:rFonts w:ascii="Calibri" w:hAnsi="Calibri"/>
                      <w:sz w:val="20"/>
                    </w:rPr>
                    <w:t>1,031 (39%)</w:t>
                  </w:r>
                </w:p>
              </w:tc>
            </w:tr>
            <w:tr w:rsidR="000C6231" w14:paraId="4A2E3CA0" w14:textId="77777777" w:rsidTr="000C6231">
              <w:trPr>
                <w:cantSplit/>
                <w:jc w:val="center"/>
              </w:trPr>
              <w:tc>
                <w:tcPr>
                  <w:tcW w:w="2557" w:type="dxa"/>
                </w:tcPr>
                <w:p w14:paraId="5E77CF2E" w14:textId="77777777" w:rsidR="00A76274" w:rsidRDefault="00000000">
                  <w:pPr>
                    <w:keepNext/>
                    <w:spacing w:after="60"/>
                  </w:pPr>
                  <w:r>
                    <w:rPr>
                      <w:rFonts w:ascii="Calibri" w:hAnsi="Calibri"/>
                      <w:b/>
                      <w:sz w:val="20"/>
                    </w:rPr>
                    <w:t>Self-Employed</w:t>
                  </w:r>
                </w:p>
              </w:tc>
              <w:tc>
                <w:tcPr>
                  <w:tcW w:w="3191" w:type="dxa"/>
                  <w:gridSpan w:val="2"/>
                </w:tcPr>
                <w:p w14:paraId="355403C2" w14:textId="77777777" w:rsidR="00A76274" w:rsidRDefault="00000000">
                  <w:pPr>
                    <w:keepNext/>
                    <w:spacing w:after="60"/>
                    <w:jc w:val="center"/>
                  </w:pPr>
                  <w:r>
                    <w:rPr>
                      <w:rFonts w:ascii="Calibri" w:hAnsi="Calibri"/>
                      <w:sz w:val="20"/>
                    </w:rPr>
                    <w:t>41 (0.7%)</w:t>
                  </w:r>
                </w:p>
              </w:tc>
              <w:tc>
                <w:tcPr>
                  <w:tcW w:w="1350" w:type="dxa"/>
                </w:tcPr>
                <w:p w14:paraId="73210077" w14:textId="77777777" w:rsidR="00A76274" w:rsidRDefault="00000000">
                  <w:pPr>
                    <w:keepNext/>
                    <w:spacing w:after="60"/>
                    <w:jc w:val="center"/>
                  </w:pPr>
                  <w:r>
                    <w:rPr>
                      <w:rFonts w:ascii="Calibri" w:hAnsi="Calibri"/>
                      <w:sz w:val="20"/>
                    </w:rPr>
                    <w:t>25 (0.8%)</w:t>
                  </w:r>
                </w:p>
              </w:tc>
              <w:tc>
                <w:tcPr>
                  <w:tcW w:w="2340" w:type="dxa"/>
                  <w:gridSpan w:val="3"/>
                </w:tcPr>
                <w:p w14:paraId="541BD103" w14:textId="77777777" w:rsidR="00A76274" w:rsidRDefault="00000000">
                  <w:pPr>
                    <w:keepNext/>
                    <w:spacing w:after="60"/>
                    <w:jc w:val="center"/>
                  </w:pPr>
                  <w:r>
                    <w:rPr>
                      <w:rFonts w:ascii="Calibri" w:hAnsi="Calibri"/>
                      <w:sz w:val="20"/>
                    </w:rPr>
                    <w:t>16 (0.6%)</w:t>
                  </w:r>
                </w:p>
              </w:tc>
            </w:tr>
            <w:tr w:rsidR="000C6231" w14:paraId="671E30DC" w14:textId="77777777" w:rsidTr="000C6231">
              <w:trPr>
                <w:cantSplit/>
                <w:jc w:val="center"/>
              </w:trPr>
              <w:tc>
                <w:tcPr>
                  <w:tcW w:w="2557" w:type="dxa"/>
                </w:tcPr>
                <w:p w14:paraId="6AD8AC7A" w14:textId="77777777" w:rsidR="00A76274" w:rsidRDefault="00000000">
                  <w:pPr>
                    <w:keepNext/>
                    <w:spacing w:after="60"/>
                  </w:pPr>
                  <w:r>
                    <w:rPr>
                      <w:rFonts w:ascii="Calibri" w:hAnsi="Calibri"/>
                      <w:b/>
                      <w:sz w:val="20"/>
                    </w:rPr>
                    <w:t>Satisfied with Job</w:t>
                  </w:r>
                </w:p>
              </w:tc>
              <w:tc>
                <w:tcPr>
                  <w:tcW w:w="3191" w:type="dxa"/>
                  <w:gridSpan w:val="2"/>
                </w:tcPr>
                <w:p w14:paraId="155DA2CF" w14:textId="77777777" w:rsidR="00A76274" w:rsidRDefault="00000000">
                  <w:pPr>
                    <w:keepNext/>
                    <w:spacing w:after="60"/>
                    <w:jc w:val="center"/>
                  </w:pPr>
                  <w:r>
                    <w:rPr>
                      <w:rFonts w:ascii="Calibri" w:hAnsi="Calibri"/>
                      <w:sz w:val="20"/>
                    </w:rPr>
                    <w:t>426 (7.1%)</w:t>
                  </w:r>
                </w:p>
              </w:tc>
              <w:tc>
                <w:tcPr>
                  <w:tcW w:w="1350" w:type="dxa"/>
                </w:tcPr>
                <w:p w14:paraId="443B94A0" w14:textId="77777777" w:rsidR="00A76274" w:rsidRDefault="00000000">
                  <w:pPr>
                    <w:keepNext/>
                    <w:spacing w:after="60"/>
                    <w:jc w:val="center"/>
                  </w:pPr>
                  <w:r>
                    <w:rPr>
                      <w:rFonts w:ascii="Calibri" w:hAnsi="Calibri"/>
                      <w:sz w:val="20"/>
                    </w:rPr>
                    <w:t>237 (7.1%)</w:t>
                  </w:r>
                </w:p>
              </w:tc>
              <w:tc>
                <w:tcPr>
                  <w:tcW w:w="2340" w:type="dxa"/>
                  <w:gridSpan w:val="3"/>
                </w:tcPr>
                <w:p w14:paraId="3CC18528" w14:textId="77777777" w:rsidR="00A76274" w:rsidRDefault="00000000">
                  <w:pPr>
                    <w:keepNext/>
                    <w:spacing w:after="60"/>
                    <w:jc w:val="center"/>
                  </w:pPr>
                  <w:r>
                    <w:rPr>
                      <w:rFonts w:ascii="Calibri" w:hAnsi="Calibri"/>
                      <w:sz w:val="20"/>
                    </w:rPr>
                    <w:t>189 (7.1%)</w:t>
                  </w:r>
                </w:p>
              </w:tc>
            </w:tr>
            <w:tr w:rsidR="000C6231" w14:paraId="002E289A" w14:textId="77777777" w:rsidTr="000C6231">
              <w:trPr>
                <w:cantSplit/>
                <w:jc w:val="center"/>
              </w:trPr>
              <w:tc>
                <w:tcPr>
                  <w:tcW w:w="2557" w:type="dxa"/>
                </w:tcPr>
                <w:p w14:paraId="0C456641" w14:textId="77777777" w:rsidR="00A76274" w:rsidRDefault="00000000">
                  <w:pPr>
                    <w:keepNext/>
                    <w:spacing w:after="60"/>
                  </w:pPr>
                  <w:r>
                    <w:rPr>
                      <w:rFonts w:ascii="Calibri" w:hAnsi="Calibri"/>
                      <w:b/>
                      <w:sz w:val="20"/>
                    </w:rPr>
                    <w:t>Transition Successful</w:t>
                  </w:r>
                </w:p>
              </w:tc>
              <w:tc>
                <w:tcPr>
                  <w:tcW w:w="3191" w:type="dxa"/>
                  <w:gridSpan w:val="2"/>
                </w:tcPr>
                <w:p w14:paraId="5D708887" w14:textId="77777777" w:rsidR="00A76274" w:rsidRDefault="00000000">
                  <w:pPr>
                    <w:keepNext/>
                    <w:spacing w:after="60"/>
                    <w:jc w:val="center"/>
                  </w:pPr>
                  <w:r>
                    <w:rPr>
                      <w:rFonts w:ascii="Calibri" w:hAnsi="Calibri"/>
                      <w:sz w:val="20"/>
                    </w:rPr>
                    <w:t>2,390 (40%)</w:t>
                  </w:r>
                </w:p>
              </w:tc>
              <w:tc>
                <w:tcPr>
                  <w:tcW w:w="1350" w:type="dxa"/>
                </w:tcPr>
                <w:p w14:paraId="413296BC" w14:textId="77777777" w:rsidR="00A76274" w:rsidRDefault="00000000">
                  <w:pPr>
                    <w:keepNext/>
                    <w:spacing w:after="60"/>
                    <w:jc w:val="center"/>
                  </w:pPr>
                  <w:r>
                    <w:rPr>
                      <w:rFonts w:ascii="Calibri" w:hAnsi="Calibri"/>
                      <w:sz w:val="20"/>
                    </w:rPr>
                    <w:t>1,367 (41%)</w:t>
                  </w:r>
                </w:p>
              </w:tc>
              <w:tc>
                <w:tcPr>
                  <w:tcW w:w="2340" w:type="dxa"/>
                  <w:gridSpan w:val="3"/>
                </w:tcPr>
                <w:p w14:paraId="4CCD6F28" w14:textId="77777777" w:rsidR="00A76274" w:rsidRDefault="00000000">
                  <w:pPr>
                    <w:keepNext/>
                    <w:spacing w:after="60"/>
                    <w:jc w:val="center"/>
                  </w:pPr>
                  <w:r>
                    <w:rPr>
                      <w:rFonts w:ascii="Calibri" w:hAnsi="Calibri"/>
                      <w:sz w:val="20"/>
                    </w:rPr>
                    <w:t>1,023 (38%)</w:t>
                  </w:r>
                </w:p>
              </w:tc>
            </w:tr>
            <w:tr w:rsidR="000C6231" w14:paraId="32E1AD83" w14:textId="77777777" w:rsidTr="000C6231">
              <w:trPr>
                <w:cantSplit/>
                <w:jc w:val="center"/>
              </w:trPr>
              <w:tc>
                <w:tcPr>
                  <w:tcW w:w="2557" w:type="dxa"/>
                </w:tcPr>
                <w:p w14:paraId="05D851F9" w14:textId="77777777" w:rsidR="00A76274" w:rsidRDefault="00000000">
                  <w:pPr>
                    <w:keepNext/>
                    <w:spacing w:after="60"/>
                  </w:pPr>
                  <w:r>
                    <w:rPr>
                      <w:rFonts w:ascii="Calibri" w:hAnsi="Calibri"/>
                      <w:b/>
                      <w:sz w:val="20"/>
                    </w:rPr>
                    <w:t>Attending Education</w:t>
                  </w:r>
                </w:p>
              </w:tc>
              <w:tc>
                <w:tcPr>
                  <w:tcW w:w="3191" w:type="dxa"/>
                  <w:gridSpan w:val="2"/>
                </w:tcPr>
                <w:p w14:paraId="56CD6F82" w14:textId="77777777" w:rsidR="00A76274" w:rsidRDefault="00000000">
                  <w:pPr>
                    <w:keepNext/>
                    <w:spacing w:after="60"/>
                    <w:jc w:val="center"/>
                  </w:pPr>
                  <w:r>
                    <w:rPr>
                      <w:rFonts w:ascii="Calibri" w:hAnsi="Calibri"/>
                      <w:sz w:val="20"/>
                    </w:rPr>
                    <w:t>2,368 (40%)</w:t>
                  </w:r>
                </w:p>
              </w:tc>
              <w:tc>
                <w:tcPr>
                  <w:tcW w:w="1350" w:type="dxa"/>
                </w:tcPr>
                <w:p w14:paraId="223BC354" w14:textId="77777777" w:rsidR="00A76274" w:rsidRDefault="00000000">
                  <w:pPr>
                    <w:keepNext/>
                    <w:spacing w:after="60"/>
                    <w:jc w:val="center"/>
                  </w:pPr>
                  <w:r>
                    <w:rPr>
                      <w:rFonts w:ascii="Calibri" w:hAnsi="Calibri"/>
                      <w:sz w:val="20"/>
                    </w:rPr>
                    <w:t>1,218 (37%)</w:t>
                  </w:r>
                </w:p>
              </w:tc>
              <w:tc>
                <w:tcPr>
                  <w:tcW w:w="2340" w:type="dxa"/>
                  <w:gridSpan w:val="3"/>
                </w:tcPr>
                <w:p w14:paraId="69C12CD4" w14:textId="77777777" w:rsidR="00A76274" w:rsidRDefault="00000000">
                  <w:pPr>
                    <w:keepNext/>
                    <w:spacing w:after="60"/>
                    <w:jc w:val="center"/>
                  </w:pPr>
                  <w:r>
                    <w:rPr>
                      <w:rFonts w:ascii="Calibri" w:hAnsi="Calibri"/>
                      <w:sz w:val="20"/>
                    </w:rPr>
                    <w:t>1,150 (43%)</w:t>
                  </w:r>
                </w:p>
              </w:tc>
            </w:tr>
            <w:tr w:rsidR="000C6231" w14:paraId="6D451953" w14:textId="77777777" w:rsidTr="000C6231">
              <w:trPr>
                <w:cantSplit/>
                <w:jc w:val="center"/>
              </w:trPr>
              <w:tc>
                <w:tcPr>
                  <w:tcW w:w="2557" w:type="dxa"/>
                </w:tcPr>
                <w:p w14:paraId="16CA5508" w14:textId="77777777" w:rsidR="00A76274" w:rsidRDefault="00000000">
                  <w:pPr>
                    <w:keepNext/>
                    <w:spacing w:after="60"/>
                  </w:pPr>
                  <w:r>
                    <w:rPr>
                      <w:rFonts w:ascii="Calibri" w:hAnsi="Calibri"/>
                      <w:b/>
                      <w:sz w:val="20"/>
                    </w:rPr>
                    <w:t>Highest Level of Education</w:t>
                  </w:r>
                </w:p>
              </w:tc>
              <w:tc>
                <w:tcPr>
                  <w:tcW w:w="3191" w:type="dxa"/>
                  <w:gridSpan w:val="2"/>
                </w:tcPr>
                <w:p w14:paraId="6B2CD099" w14:textId="77777777" w:rsidR="00A76274" w:rsidRDefault="00A76274">
                  <w:pPr>
                    <w:keepNext/>
                    <w:spacing w:after="60"/>
                    <w:jc w:val="center"/>
                  </w:pPr>
                </w:p>
              </w:tc>
              <w:tc>
                <w:tcPr>
                  <w:tcW w:w="1350" w:type="dxa"/>
                </w:tcPr>
                <w:p w14:paraId="314B5C5E" w14:textId="77777777" w:rsidR="00A76274" w:rsidRDefault="00A76274">
                  <w:pPr>
                    <w:keepNext/>
                    <w:spacing w:after="60"/>
                    <w:jc w:val="center"/>
                  </w:pPr>
                </w:p>
              </w:tc>
              <w:tc>
                <w:tcPr>
                  <w:tcW w:w="2340" w:type="dxa"/>
                  <w:gridSpan w:val="3"/>
                </w:tcPr>
                <w:p w14:paraId="33235372" w14:textId="77777777" w:rsidR="00A76274" w:rsidRDefault="00A76274">
                  <w:pPr>
                    <w:keepNext/>
                    <w:spacing w:after="60"/>
                    <w:jc w:val="center"/>
                  </w:pPr>
                </w:p>
              </w:tc>
            </w:tr>
            <w:tr w:rsidR="000C6231" w14:paraId="7F84528B" w14:textId="77777777" w:rsidTr="000C6231">
              <w:trPr>
                <w:cantSplit/>
                <w:jc w:val="center"/>
              </w:trPr>
              <w:tc>
                <w:tcPr>
                  <w:tcW w:w="2557" w:type="dxa"/>
                </w:tcPr>
                <w:p w14:paraId="0EE967FC" w14:textId="77777777" w:rsidR="00A76274" w:rsidRDefault="00000000">
                  <w:pPr>
                    <w:keepNext/>
                    <w:spacing w:after="60"/>
                  </w:pPr>
                  <w:r>
                    <w:rPr>
                      <w:rFonts w:ascii="Calibri" w:hAnsi="Calibri"/>
                      <w:sz w:val="20"/>
                    </w:rPr>
                    <w:t>    1. No school</w:t>
                  </w:r>
                </w:p>
              </w:tc>
              <w:tc>
                <w:tcPr>
                  <w:tcW w:w="3191" w:type="dxa"/>
                  <w:gridSpan w:val="2"/>
                </w:tcPr>
                <w:p w14:paraId="2B46F881" w14:textId="77777777" w:rsidR="00A76274" w:rsidRDefault="00000000">
                  <w:pPr>
                    <w:keepNext/>
                    <w:spacing w:after="60"/>
                    <w:jc w:val="center"/>
                  </w:pPr>
                  <w:r>
                    <w:rPr>
                      <w:rFonts w:ascii="Calibri" w:hAnsi="Calibri"/>
                      <w:sz w:val="20"/>
                    </w:rPr>
                    <w:t>1,724 (29%)</w:t>
                  </w:r>
                </w:p>
              </w:tc>
              <w:tc>
                <w:tcPr>
                  <w:tcW w:w="1350" w:type="dxa"/>
                </w:tcPr>
                <w:p w14:paraId="5CB82B0D" w14:textId="77777777" w:rsidR="00A76274" w:rsidRDefault="00000000">
                  <w:pPr>
                    <w:keepNext/>
                    <w:spacing w:after="60"/>
                    <w:jc w:val="center"/>
                  </w:pPr>
                  <w:r>
                    <w:rPr>
                      <w:rFonts w:ascii="Calibri" w:hAnsi="Calibri"/>
                      <w:sz w:val="20"/>
                    </w:rPr>
                    <w:t>930 (28%)</w:t>
                  </w:r>
                </w:p>
              </w:tc>
              <w:tc>
                <w:tcPr>
                  <w:tcW w:w="2340" w:type="dxa"/>
                  <w:gridSpan w:val="3"/>
                </w:tcPr>
                <w:p w14:paraId="205888C9" w14:textId="77777777" w:rsidR="00A76274" w:rsidRDefault="00000000">
                  <w:pPr>
                    <w:keepNext/>
                    <w:spacing w:after="60"/>
                    <w:jc w:val="center"/>
                  </w:pPr>
                  <w:r>
                    <w:rPr>
                      <w:rFonts w:ascii="Calibri" w:hAnsi="Calibri"/>
                      <w:sz w:val="20"/>
                    </w:rPr>
                    <w:t>794 (30%)</w:t>
                  </w:r>
                </w:p>
              </w:tc>
            </w:tr>
            <w:tr w:rsidR="000C6231" w14:paraId="529395D3" w14:textId="77777777" w:rsidTr="000C6231">
              <w:trPr>
                <w:cantSplit/>
                <w:jc w:val="center"/>
              </w:trPr>
              <w:tc>
                <w:tcPr>
                  <w:tcW w:w="2557" w:type="dxa"/>
                </w:tcPr>
                <w:p w14:paraId="125FA24C" w14:textId="77777777" w:rsidR="00A76274" w:rsidRDefault="00000000">
                  <w:pPr>
                    <w:keepNext/>
                    <w:spacing w:after="60"/>
                  </w:pPr>
                  <w:r>
                    <w:rPr>
                      <w:rFonts w:ascii="Calibri" w:hAnsi="Calibri"/>
                      <w:sz w:val="20"/>
                    </w:rPr>
                    <w:t>    2. Secondary School</w:t>
                  </w:r>
                </w:p>
              </w:tc>
              <w:tc>
                <w:tcPr>
                  <w:tcW w:w="3191" w:type="dxa"/>
                  <w:gridSpan w:val="2"/>
                </w:tcPr>
                <w:p w14:paraId="79E20490" w14:textId="77777777" w:rsidR="00A76274" w:rsidRDefault="00000000">
                  <w:pPr>
                    <w:keepNext/>
                    <w:spacing w:after="60"/>
                    <w:jc w:val="center"/>
                  </w:pPr>
                  <w:r>
                    <w:rPr>
                      <w:rFonts w:ascii="Calibri" w:hAnsi="Calibri"/>
                      <w:sz w:val="20"/>
                    </w:rPr>
                    <w:t>1,323 (22%)</w:t>
                  </w:r>
                </w:p>
              </w:tc>
              <w:tc>
                <w:tcPr>
                  <w:tcW w:w="1350" w:type="dxa"/>
                </w:tcPr>
                <w:p w14:paraId="6ED60909" w14:textId="77777777" w:rsidR="00A76274" w:rsidRDefault="00000000">
                  <w:pPr>
                    <w:keepNext/>
                    <w:spacing w:after="60"/>
                    <w:jc w:val="center"/>
                  </w:pPr>
                  <w:r>
                    <w:rPr>
                      <w:rFonts w:ascii="Calibri" w:hAnsi="Calibri"/>
                      <w:sz w:val="20"/>
                    </w:rPr>
                    <w:t>777 (23%)</w:t>
                  </w:r>
                </w:p>
              </w:tc>
              <w:tc>
                <w:tcPr>
                  <w:tcW w:w="2340" w:type="dxa"/>
                  <w:gridSpan w:val="3"/>
                </w:tcPr>
                <w:p w14:paraId="2425A0B9" w14:textId="77777777" w:rsidR="00A76274" w:rsidRDefault="00000000">
                  <w:pPr>
                    <w:keepNext/>
                    <w:spacing w:after="60"/>
                    <w:jc w:val="center"/>
                  </w:pPr>
                  <w:r>
                    <w:rPr>
                      <w:rFonts w:ascii="Calibri" w:hAnsi="Calibri"/>
                      <w:sz w:val="20"/>
                    </w:rPr>
                    <w:t>546 (20%)</w:t>
                  </w:r>
                </w:p>
              </w:tc>
            </w:tr>
            <w:tr w:rsidR="000C6231" w14:paraId="3D65B5E3" w14:textId="77777777" w:rsidTr="000C6231">
              <w:trPr>
                <w:cantSplit/>
                <w:jc w:val="center"/>
              </w:trPr>
              <w:tc>
                <w:tcPr>
                  <w:tcW w:w="2557" w:type="dxa"/>
                </w:tcPr>
                <w:p w14:paraId="02E79779" w14:textId="77777777" w:rsidR="00A76274" w:rsidRDefault="00000000">
                  <w:pPr>
                    <w:keepNext/>
                    <w:spacing w:after="60"/>
                  </w:pPr>
                  <w:r>
                    <w:rPr>
                      <w:rFonts w:ascii="Calibri" w:hAnsi="Calibri"/>
                      <w:sz w:val="20"/>
                    </w:rPr>
                    <w:t>    3. Secondary Vocational</w:t>
                  </w:r>
                </w:p>
              </w:tc>
              <w:tc>
                <w:tcPr>
                  <w:tcW w:w="3191" w:type="dxa"/>
                  <w:gridSpan w:val="2"/>
                </w:tcPr>
                <w:p w14:paraId="09AAABF1" w14:textId="77777777" w:rsidR="00A76274" w:rsidRDefault="00000000">
                  <w:pPr>
                    <w:keepNext/>
                    <w:spacing w:after="60"/>
                    <w:jc w:val="center"/>
                  </w:pPr>
                  <w:r>
                    <w:rPr>
                      <w:rFonts w:ascii="Calibri" w:hAnsi="Calibri"/>
                      <w:sz w:val="20"/>
                    </w:rPr>
                    <w:t>1,695 (28%)</w:t>
                  </w:r>
                </w:p>
              </w:tc>
              <w:tc>
                <w:tcPr>
                  <w:tcW w:w="1350" w:type="dxa"/>
                </w:tcPr>
                <w:p w14:paraId="7392EBC1" w14:textId="77777777" w:rsidR="00A76274" w:rsidRDefault="00000000">
                  <w:pPr>
                    <w:keepNext/>
                    <w:spacing w:after="60"/>
                    <w:jc w:val="center"/>
                  </w:pPr>
                  <w:r>
                    <w:rPr>
                      <w:rFonts w:ascii="Calibri" w:hAnsi="Calibri"/>
                      <w:sz w:val="20"/>
                    </w:rPr>
                    <w:t>881 (27%)</w:t>
                  </w:r>
                </w:p>
              </w:tc>
              <w:tc>
                <w:tcPr>
                  <w:tcW w:w="2340" w:type="dxa"/>
                  <w:gridSpan w:val="3"/>
                </w:tcPr>
                <w:p w14:paraId="666B4C94" w14:textId="77777777" w:rsidR="00A76274" w:rsidRDefault="00000000">
                  <w:pPr>
                    <w:keepNext/>
                    <w:spacing w:after="60"/>
                    <w:jc w:val="center"/>
                  </w:pPr>
                  <w:r>
                    <w:rPr>
                      <w:rFonts w:ascii="Calibri" w:hAnsi="Calibri"/>
                      <w:sz w:val="20"/>
                    </w:rPr>
                    <w:t>814 (30%)</w:t>
                  </w:r>
                </w:p>
              </w:tc>
            </w:tr>
            <w:tr w:rsidR="000C6231" w14:paraId="6BDE7CF8" w14:textId="77777777" w:rsidTr="000C6231">
              <w:trPr>
                <w:cantSplit/>
                <w:jc w:val="center"/>
              </w:trPr>
              <w:tc>
                <w:tcPr>
                  <w:tcW w:w="2557" w:type="dxa"/>
                </w:tcPr>
                <w:p w14:paraId="01FFA36E" w14:textId="77777777" w:rsidR="00A76274" w:rsidRDefault="00000000">
                  <w:pPr>
                    <w:keepNext/>
                    <w:spacing w:after="60"/>
                  </w:pPr>
                  <w:r>
                    <w:rPr>
                      <w:rFonts w:ascii="Calibri" w:hAnsi="Calibri"/>
                      <w:sz w:val="20"/>
                    </w:rPr>
                    <w:t>    4. Tertiary</w:t>
                  </w:r>
                </w:p>
              </w:tc>
              <w:tc>
                <w:tcPr>
                  <w:tcW w:w="3191" w:type="dxa"/>
                  <w:gridSpan w:val="2"/>
                </w:tcPr>
                <w:p w14:paraId="472D5DE5" w14:textId="77777777" w:rsidR="00A76274" w:rsidRDefault="00000000">
                  <w:pPr>
                    <w:keepNext/>
                    <w:spacing w:after="60"/>
                    <w:jc w:val="center"/>
                  </w:pPr>
                  <w:r>
                    <w:rPr>
                      <w:rFonts w:ascii="Calibri" w:hAnsi="Calibri"/>
                      <w:sz w:val="20"/>
                    </w:rPr>
                    <w:t>1,252 (21%)</w:t>
                  </w:r>
                </w:p>
              </w:tc>
              <w:tc>
                <w:tcPr>
                  <w:tcW w:w="1350" w:type="dxa"/>
                </w:tcPr>
                <w:p w14:paraId="3277F71B" w14:textId="77777777" w:rsidR="00A76274" w:rsidRDefault="00000000">
                  <w:pPr>
                    <w:keepNext/>
                    <w:spacing w:after="60"/>
                    <w:jc w:val="center"/>
                  </w:pPr>
                  <w:r>
                    <w:rPr>
                      <w:rFonts w:ascii="Calibri" w:hAnsi="Calibri"/>
                      <w:sz w:val="20"/>
                    </w:rPr>
                    <w:t>735 (22%)</w:t>
                  </w:r>
                </w:p>
              </w:tc>
              <w:tc>
                <w:tcPr>
                  <w:tcW w:w="2340" w:type="dxa"/>
                  <w:gridSpan w:val="3"/>
                </w:tcPr>
                <w:p w14:paraId="3F4F9A47" w14:textId="77777777" w:rsidR="00A76274" w:rsidRDefault="00000000">
                  <w:pPr>
                    <w:keepNext/>
                    <w:spacing w:after="60"/>
                    <w:jc w:val="center"/>
                  </w:pPr>
                  <w:r>
                    <w:rPr>
                      <w:rFonts w:ascii="Calibri" w:hAnsi="Calibri"/>
                      <w:sz w:val="20"/>
                    </w:rPr>
                    <w:t>517 (19%)</w:t>
                  </w:r>
                </w:p>
              </w:tc>
            </w:tr>
            <w:tr w:rsidR="000C6231" w14:paraId="6D7ACB53" w14:textId="77777777" w:rsidTr="000C6231">
              <w:trPr>
                <w:cantSplit/>
                <w:jc w:val="center"/>
              </w:trPr>
              <w:tc>
                <w:tcPr>
                  <w:tcW w:w="2557" w:type="dxa"/>
                </w:tcPr>
                <w:p w14:paraId="516D1481" w14:textId="77777777" w:rsidR="00A76274" w:rsidRDefault="00000000">
                  <w:pPr>
                    <w:keepNext/>
                    <w:spacing w:after="60"/>
                  </w:pPr>
                  <w:r>
                    <w:rPr>
                      <w:rFonts w:ascii="Calibri" w:hAnsi="Calibri"/>
                      <w:b/>
                      <w:sz w:val="20"/>
                    </w:rPr>
                    <w:t>Area</w:t>
                  </w:r>
                </w:p>
              </w:tc>
              <w:tc>
                <w:tcPr>
                  <w:tcW w:w="3191" w:type="dxa"/>
                  <w:gridSpan w:val="2"/>
                </w:tcPr>
                <w:p w14:paraId="60B86D9B" w14:textId="77777777" w:rsidR="00A76274" w:rsidRDefault="00A76274">
                  <w:pPr>
                    <w:keepNext/>
                    <w:spacing w:after="60"/>
                    <w:jc w:val="center"/>
                  </w:pPr>
                </w:p>
              </w:tc>
              <w:tc>
                <w:tcPr>
                  <w:tcW w:w="1350" w:type="dxa"/>
                </w:tcPr>
                <w:p w14:paraId="1E51BDDC" w14:textId="77777777" w:rsidR="00A76274" w:rsidRDefault="00A76274">
                  <w:pPr>
                    <w:keepNext/>
                    <w:spacing w:after="60"/>
                    <w:jc w:val="center"/>
                  </w:pPr>
                </w:p>
              </w:tc>
              <w:tc>
                <w:tcPr>
                  <w:tcW w:w="2340" w:type="dxa"/>
                  <w:gridSpan w:val="3"/>
                </w:tcPr>
                <w:p w14:paraId="40ED5FA3" w14:textId="77777777" w:rsidR="00A76274" w:rsidRDefault="00A76274">
                  <w:pPr>
                    <w:keepNext/>
                    <w:spacing w:after="60"/>
                    <w:jc w:val="center"/>
                  </w:pPr>
                </w:p>
              </w:tc>
            </w:tr>
            <w:tr w:rsidR="000C6231" w14:paraId="1A060D95" w14:textId="77777777" w:rsidTr="000C6231">
              <w:trPr>
                <w:cantSplit/>
                <w:jc w:val="center"/>
              </w:trPr>
              <w:tc>
                <w:tcPr>
                  <w:tcW w:w="2557" w:type="dxa"/>
                </w:tcPr>
                <w:p w14:paraId="1AD72A90" w14:textId="77777777" w:rsidR="00A76274" w:rsidRDefault="00000000">
                  <w:pPr>
                    <w:keepNext/>
                    <w:spacing w:after="60"/>
                  </w:pPr>
                  <w:r>
                    <w:rPr>
                      <w:rFonts w:ascii="Calibri" w:hAnsi="Calibri"/>
                      <w:sz w:val="20"/>
                    </w:rPr>
                    <w:t>    Rural</w:t>
                  </w:r>
                </w:p>
              </w:tc>
              <w:tc>
                <w:tcPr>
                  <w:tcW w:w="3191" w:type="dxa"/>
                  <w:gridSpan w:val="2"/>
                </w:tcPr>
                <w:p w14:paraId="4B889015" w14:textId="77777777" w:rsidR="00A76274" w:rsidRDefault="00000000">
                  <w:pPr>
                    <w:keepNext/>
                    <w:spacing w:after="60"/>
                    <w:jc w:val="center"/>
                  </w:pPr>
                  <w:r>
                    <w:rPr>
                      <w:rFonts w:ascii="Calibri" w:hAnsi="Calibri"/>
                      <w:sz w:val="20"/>
                    </w:rPr>
                    <w:t>1,488 (25%)</w:t>
                  </w:r>
                </w:p>
              </w:tc>
              <w:tc>
                <w:tcPr>
                  <w:tcW w:w="1350" w:type="dxa"/>
                </w:tcPr>
                <w:p w14:paraId="510C5131" w14:textId="77777777" w:rsidR="00A76274" w:rsidRDefault="00000000">
                  <w:pPr>
                    <w:keepNext/>
                    <w:spacing w:after="60"/>
                    <w:jc w:val="center"/>
                  </w:pPr>
                  <w:r>
                    <w:rPr>
                      <w:rFonts w:ascii="Calibri" w:hAnsi="Calibri"/>
                      <w:sz w:val="20"/>
                    </w:rPr>
                    <w:t>817 (25%)</w:t>
                  </w:r>
                </w:p>
              </w:tc>
              <w:tc>
                <w:tcPr>
                  <w:tcW w:w="2340" w:type="dxa"/>
                  <w:gridSpan w:val="3"/>
                </w:tcPr>
                <w:p w14:paraId="60939D4A" w14:textId="77777777" w:rsidR="00A76274" w:rsidRDefault="00000000">
                  <w:pPr>
                    <w:keepNext/>
                    <w:spacing w:after="60"/>
                    <w:jc w:val="center"/>
                  </w:pPr>
                  <w:r>
                    <w:rPr>
                      <w:rFonts w:ascii="Calibri" w:hAnsi="Calibri"/>
                      <w:sz w:val="20"/>
                    </w:rPr>
                    <w:t>671 (25%)</w:t>
                  </w:r>
                </w:p>
              </w:tc>
            </w:tr>
            <w:tr w:rsidR="000C6231" w14:paraId="7EE1437A" w14:textId="77777777" w:rsidTr="000C6231">
              <w:trPr>
                <w:cantSplit/>
                <w:jc w:val="center"/>
              </w:trPr>
              <w:tc>
                <w:tcPr>
                  <w:tcW w:w="2557" w:type="dxa"/>
                </w:tcPr>
                <w:p w14:paraId="7543BD9B" w14:textId="77777777" w:rsidR="00A76274" w:rsidRDefault="00000000">
                  <w:pPr>
                    <w:keepNext/>
                    <w:spacing w:after="60"/>
                  </w:pPr>
                  <w:r>
                    <w:rPr>
                      <w:rFonts w:ascii="Calibri" w:hAnsi="Calibri"/>
                      <w:sz w:val="20"/>
                    </w:rPr>
                    <w:t>    Urban-Type Settlement</w:t>
                  </w:r>
                </w:p>
              </w:tc>
              <w:tc>
                <w:tcPr>
                  <w:tcW w:w="3191" w:type="dxa"/>
                  <w:gridSpan w:val="2"/>
                </w:tcPr>
                <w:p w14:paraId="42CDD127" w14:textId="77777777" w:rsidR="00A76274" w:rsidRDefault="00000000">
                  <w:pPr>
                    <w:keepNext/>
                    <w:spacing w:after="60"/>
                    <w:jc w:val="center"/>
                  </w:pPr>
                  <w:r>
                    <w:rPr>
                      <w:rFonts w:ascii="Calibri" w:hAnsi="Calibri"/>
                      <w:sz w:val="20"/>
                    </w:rPr>
                    <w:t>395 (6.6%)</w:t>
                  </w:r>
                </w:p>
              </w:tc>
              <w:tc>
                <w:tcPr>
                  <w:tcW w:w="1350" w:type="dxa"/>
                </w:tcPr>
                <w:p w14:paraId="6CDDA9F2" w14:textId="77777777" w:rsidR="00A76274" w:rsidRDefault="00000000">
                  <w:pPr>
                    <w:keepNext/>
                    <w:spacing w:after="60"/>
                    <w:jc w:val="center"/>
                  </w:pPr>
                  <w:r>
                    <w:rPr>
                      <w:rFonts w:ascii="Calibri" w:hAnsi="Calibri"/>
                      <w:sz w:val="20"/>
                    </w:rPr>
                    <w:t>217 (6.5%)</w:t>
                  </w:r>
                </w:p>
              </w:tc>
              <w:tc>
                <w:tcPr>
                  <w:tcW w:w="2340" w:type="dxa"/>
                  <w:gridSpan w:val="3"/>
                </w:tcPr>
                <w:p w14:paraId="0ECD8E85" w14:textId="77777777" w:rsidR="00A76274" w:rsidRDefault="00000000">
                  <w:pPr>
                    <w:keepNext/>
                    <w:spacing w:after="60"/>
                    <w:jc w:val="center"/>
                  </w:pPr>
                  <w:r>
                    <w:rPr>
                      <w:rFonts w:ascii="Calibri" w:hAnsi="Calibri"/>
                      <w:sz w:val="20"/>
                    </w:rPr>
                    <w:t>178 (6.7%)</w:t>
                  </w:r>
                </w:p>
              </w:tc>
            </w:tr>
            <w:tr w:rsidR="000C6231" w14:paraId="4E207558" w14:textId="77777777" w:rsidTr="000C6231">
              <w:trPr>
                <w:cantSplit/>
                <w:jc w:val="center"/>
              </w:trPr>
              <w:tc>
                <w:tcPr>
                  <w:tcW w:w="2557" w:type="dxa"/>
                </w:tcPr>
                <w:p w14:paraId="22E6A43F" w14:textId="77777777" w:rsidR="00A76274" w:rsidRDefault="00000000">
                  <w:pPr>
                    <w:keepNext/>
                    <w:spacing w:after="60"/>
                  </w:pPr>
                  <w:r>
                    <w:rPr>
                      <w:rFonts w:ascii="Calibri" w:hAnsi="Calibri"/>
                      <w:sz w:val="20"/>
                    </w:rPr>
                    <w:t>    City</w:t>
                  </w:r>
                </w:p>
              </w:tc>
              <w:tc>
                <w:tcPr>
                  <w:tcW w:w="3191" w:type="dxa"/>
                  <w:gridSpan w:val="2"/>
                </w:tcPr>
                <w:p w14:paraId="0537C135" w14:textId="77777777" w:rsidR="00A76274" w:rsidRDefault="00000000">
                  <w:pPr>
                    <w:keepNext/>
                    <w:spacing w:after="60"/>
                    <w:jc w:val="center"/>
                  </w:pPr>
                  <w:r>
                    <w:rPr>
                      <w:rFonts w:ascii="Calibri" w:hAnsi="Calibri"/>
                      <w:sz w:val="20"/>
                    </w:rPr>
                    <w:t>1,522 (25%)</w:t>
                  </w:r>
                </w:p>
              </w:tc>
              <w:tc>
                <w:tcPr>
                  <w:tcW w:w="1350" w:type="dxa"/>
                </w:tcPr>
                <w:p w14:paraId="46FBCA32" w14:textId="77777777" w:rsidR="00A76274" w:rsidRDefault="00000000">
                  <w:pPr>
                    <w:keepNext/>
                    <w:spacing w:after="60"/>
                    <w:jc w:val="center"/>
                  </w:pPr>
                  <w:r>
                    <w:rPr>
                      <w:rFonts w:ascii="Calibri" w:hAnsi="Calibri"/>
                      <w:sz w:val="20"/>
                    </w:rPr>
                    <w:t>877 (26%)</w:t>
                  </w:r>
                </w:p>
              </w:tc>
              <w:tc>
                <w:tcPr>
                  <w:tcW w:w="2340" w:type="dxa"/>
                  <w:gridSpan w:val="3"/>
                </w:tcPr>
                <w:p w14:paraId="4488C5FE" w14:textId="77777777" w:rsidR="00A76274" w:rsidRDefault="00000000">
                  <w:pPr>
                    <w:keepNext/>
                    <w:spacing w:after="60"/>
                    <w:jc w:val="center"/>
                  </w:pPr>
                  <w:r>
                    <w:rPr>
                      <w:rFonts w:ascii="Calibri" w:hAnsi="Calibri"/>
                      <w:sz w:val="20"/>
                    </w:rPr>
                    <w:t>645 (24%)</w:t>
                  </w:r>
                </w:p>
              </w:tc>
            </w:tr>
            <w:tr w:rsidR="000C6231" w14:paraId="4FCB1B0E" w14:textId="77777777" w:rsidTr="000C6231">
              <w:trPr>
                <w:cantSplit/>
                <w:jc w:val="center"/>
              </w:trPr>
              <w:tc>
                <w:tcPr>
                  <w:tcW w:w="2557" w:type="dxa"/>
                </w:tcPr>
                <w:p w14:paraId="4E42832A" w14:textId="77777777" w:rsidR="00A76274" w:rsidRDefault="00000000">
                  <w:pPr>
                    <w:keepNext/>
                    <w:spacing w:after="60"/>
                  </w:pPr>
                  <w:r>
                    <w:rPr>
                      <w:rFonts w:ascii="Calibri" w:hAnsi="Calibri"/>
                      <w:sz w:val="20"/>
                    </w:rPr>
                    <w:t>    Regional Center</w:t>
                  </w:r>
                </w:p>
              </w:tc>
              <w:tc>
                <w:tcPr>
                  <w:tcW w:w="3191" w:type="dxa"/>
                  <w:gridSpan w:val="2"/>
                </w:tcPr>
                <w:p w14:paraId="68AEC60F" w14:textId="77777777" w:rsidR="00A76274" w:rsidRDefault="00000000">
                  <w:pPr>
                    <w:keepNext/>
                    <w:spacing w:after="60"/>
                    <w:jc w:val="center"/>
                  </w:pPr>
                  <w:r>
                    <w:rPr>
                      <w:rFonts w:ascii="Calibri" w:hAnsi="Calibri"/>
                      <w:sz w:val="20"/>
                    </w:rPr>
                    <w:t>2,589 (43%)</w:t>
                  </w:r>
                </w:p>
              </w:tc>
              <w:tc>
                <w:tcPr>
                  <w:tcW w:w="1350" w:type="dxa"/>
                </w:tcPr>
                <w:p w14:paraId="13F12B8E" w14:textId="77777777" w:rsidR="00A76274" w:rsidRDefault="00000000">
                  <w:pPr>
                    <w:keepNext/>
                    <w:spacing w:after="60"/>
                    <w:jc w:val="center"/>
                  </w:pPr>
                  <w:r>
                    <w:rPr>
                      <w:rFonts w:ascii="Calibri" w:hAnsi="Calibri"/>
                      <w:sz w:val="20"/>
                    </w:rPr>
                    <w:t>1,412 (42%)</w:t>
                  </w:r>
                </w:p>
              </w:tc>
              <w:tc>
                <w:tcPr>
                  <w:tcW w:w="2340" w:type="dxa"/>
                  <w:gridSpan w:val="3"/>
                </w:tcPr>
                <w:p w14:paraId="2620B4F6" w14:textId="77777777" w:rsidR="00A76274" w:rsidRDefault="00000000">
                  <w:pPr>
                    <w:keepNext/>
                    <w:spacing w:after="60"/>
                    <w:jc w:val="center"/>
                  </w:pPr>
                  <w:r>
                    <w:rPr>
                      <w:rFonts w:ascii="Calibri" w:hAnsi="Calibri"/>
                      <w:sz w:val="20"/>
                    </w:rPr>
                    <w:t>1,177 (44%)</w:t>
                  </w:r>
                </w:p>
              </w:tc>
            </w:tr>
            <w:tr w:rsidR="000C6231" w14:paraId="46988B55" w14:textId="77777777" w:rsidTr="000C6231">
              <w:trPr>
                <w:cantSplit/>
                <w:jc w:val="center"/>
              </w:trPr>
              <w:tc>
                <w:tcPr>
                  <w:tcW w:w="2557" w:type="dxa"/>
                </w:tcPr>
                <w:p w14:paraId="3DD9D22F" w14:textId="77777777" w:rsidR="00A76274" w:rsidRDefault="00000000">
                  <w:pPr>
                    <w:keepNext/>
                    <w:spacing w:after="60"/>
                  </w:pPr>
                  <w:r>
                    <w:rPr>
                      <w:rFonts w:ascii="Calibri" w:hAnsi="Calibri"/>
                      <w:b/>
                      <w:sz w:val="20"/>
                    </w:rPr>
                    <w:t>HH Income Per Cap Quintile</w:t>
                  </w:r>
                </w:p>
              </w:tc>
              <w:tc>
                <w:tcPr>
                  <w:tcW w:w="3191" w:type="dxa"/>
                  <w:gridSpan w:val="2"/>
                </w:tcPr>
                <w:p w14:paraId="686136B4" w14:textId="77777777" w:rsidR="00A76274" w:rsidRDefault="00A76274">
                  <w:pPr>
                    <w:keepNext/>
                    <w:spacing w:after="60"/>
                    <w:jc w:val="center"/>
                  </w:pPr>
                </w:p>
              </w:tc>
              <w:tc>
                <w:tcPr>
                  <w:tcW w:w="1350" w:type="dxa"/>
                </w:tcPr>
                <w:p w14:paraId="747C8B3A" w14:textId="77777777" w:rsidR="00A76274" w:rsidRDefault="00A76274">
                  <w:pPr>
                    <w:keepNext/>
                    <w:spacing w:after="60"/>
                    <w:jc w:val="center"/>
                  </w:pPr>
                </w:p>
              </w:tc>
              <w:tc>
                <w:tcPr>
                  <w:tcW w:w="2340" w:type="dxa"/>
                  <w:gridSpan w:val="3"/>
                </w:tcPr>
                <w:p w14:paraId="68F6293A" w14:textId="77777777" w:rsidR="00A76274" w:rsidRDefault="00A76274">
                  <w:pPr>
                    <w:keepNext/>
                    <w:spacing w:after="60"/>
                    <w:jc w:val="center"/>
                  </w:pPr>
                </w:p>
              </w:tc>
            </w:tr>
            <w:tr w:rsidR="000C6231" w14:paraId="663C6A78" w14:textId="77777777" w:rsidTr="000C6231">
              <w:trPr>
                <w:cantSplit/>
                <w:jc w:val="center"/>
              </w:trPr>
              <w:tc>
                <w:tcPr>
                  <w:tcW w:w="2557" w:type="dxa"/>
                </w:tcPr>
                <w:p w14:paraId="65261FFB" w14:textId="77777777" w:rsidR="00A76274" w:rsidRDefault="00000000">
                  <w:pPr>
                    <w:keepNext/>
                    <w:spacing w:after="60"/>
                  </w:pPr>
                  <w:r>
                    <w:rPr>
                      <w:rFonts w:ascii="Calibri" w:hAnsi="Calibri"/>
                      <w:sz w:val="20"/>
                    </w:rPr>
                    <w:t>    Q1</w:t>
                  </w:r>
                </w:p>
              </w:tc>
              <w:tc>
                <w:tcPr>
                  <w:tcW w:w="3191" w:type="dxa"/>
                  <w:gridSpan w:val="2"/>
                </w:tcPr>
                <w:p w14:paraId="02A5D3CD" w14:textId="77777777" w:rsidR="00A76274" w:rsidRDefault="00000000">
                  <w:pPr>
                    <w:keepNext/>
                    <w:spacing w:after="60"/>
                    <w:jc w:val="center"/>
                  </w:pPr>
                  <w:r>
                    <w:rPr>
                      <w:rFonts w:ascii="Calibri" w:hAnsi="Calibri"/>
                      <w:sz w:val="20"/>
                    </w:rPr>
                    <w:t>1,767 (29%)</w:t>
                  </w:r>
                </w:p>
              </w:tc>
              <w:tc>
                <w:tcPr>
                  <w:tcW w:w="1350" w:type="dxa"/>
                </w:tcPr>
                <w:p w14:paraId="2EBB1D5D" w14:textId="77777777" w:rsidR="00A76274" w:rsidRDefault="00000000">
                  <w:pPr>
                    <w:keepNext/>
                    <w:spacing w:after="60"/>
                    <w:jc w:val="center"/>
                  </w:pPr>
                  <w:r>
                    <w:rPr>
                      <w:rFonts w:ascii="Calibri" w:hAnsi="Calibri"/>
                      <w:sz w:val="20"/>
                    </w:rPr>
                    <w:t>955 (29%)</w:t>
                  </w:r>
                </w:p>
              </w:tc>
              <w:tc>
                <w:tcPr>
                  <w:tcW w:w="2340" w:type="dxa"/>
                  <w:gridSpan w:val="3"/>
                </w:tcPr>
                <w:p w14:paraId="5B6253F9" w14:textId="77777777" w:rsidR="00A76274" w:rsidRDefault="00000000">
                  <w:pPr>
                    <w:keepNext/>
                    <w:spacing w:after="60"/>
                    <w:jc w:val="center"/>
                  </w:pPr>
                  <w:r>
                    <w:rPr>
                      <w:rFonts w:ascii="Calibri" w:hAnsi="Calibri"/>
                      <w:sz w:val="20"/>
                    </w:rPr>
                    <w:t>812 (30%)</w:t>
                  </w:r>
                </w:p>
              </w:tc>
            </w:tr>
            <w:tr w:rsidR="000C6231" w14:paraId="62C6EFEE" w14:textId="77777777" w:rsidTr="000C6231">
              <w:trPr>
                <w:cantSplit/>
                <w:jc w:val="center"/>
              </w:trPr>
              <w:tc>
                <w:tcPr>
                  <w:tcW w:w="2557" w:type="dxa"/>
                </w:tcPr>
                <w:p w14:paraId="36CD76D4" w14:textId="77777777" w:rsidR="00A76274" w:rsidRDefault="00000000">
                  <w:pPr>
                    <w:keepNext/>
                    <w:spacing w:after="60"/>
                  </w:pPr>
                  <w:r>
                    <w:rPr>
                      <w:rFonts w:ascii="Calibri" w:hAnsi="Calibri"/>
                      <w:sz w:val="20"/>
                    </w:rPr>
                    <w:t>    Q2</w:t>
                  </w:r>
                </w:p>
              </w:tc>
              <w:tc>
                <w:tcPr>
                  <w:tcW w:w="3191" w:type="dxa"/>
                  <w:gridSpan w:val="2"/>
                </w:tcPr>
                <w:p w14:paraId="035478D0" w14:textId="77777777" w:rsidR="00A76274" w:rsidRDefault="00000000">
                  <w:pPr>
                    <w:keepNext/>
                    <w:spacing w:after="60"/>
                    <w:jc w:val="center"/>
                  </w:pPr>
                  <w:r>
                    <w:rPr>
                      <w:rFonts w:ascii="Calibri" w:hAnsi="Calibri"/>
                      <w:sz w:val="20"/>
                    </w:rPr>
                    <w:t>1,253 (21%)</w:t>
                  </w:r>
                </w:p>
              </w:tc>
              <w:tc>
                <w:tcPr>
                  <w:tcW w:w="1350" w:type="dxa"/>
                </w:tcPr>
                <w:p w14:paraId="5AAB7636" w14:textId="77777777" w:rsidR="00A76274" w:rsidRDefault="00000000">
                  <w:pPr>
                    <w:keepNext/>
                    <w:spacing w:after="60"/>
                    <w:jc w:val="center"/>
                  </w:pPr>
                  <w:r>
                    <w:rPr>
                      <w:rFonts w:ascii="Calibri" w:hAnsi="Calibri"/>
                      <w:sz w:val="20"/>
                    </w:rPr>
                    <w:t>696 (21%)</w:t>
                  </w:r>
                </w:p>
              </w:tc>
              <w:tc>
                <w:tcPr>
                  <w:tcW w:w="2340" w:type="dxa"/>
                  <w:gridSpan w:val="3"/>
                </w:tcPr>
                <w:p w14:paraId="7EE2EDBA" w14:textId="77777777" w:rsidR="00A76274" w:rsidRDefault="00000000">
                  <w:pPr>
                    <w:keepNext/>
                    <w:spacing w:after="60"/>
                    <w:jc w:val="center"/>
                  </w:pPr>
                  <w:r>
                    <w:rPr>
                      <w:rFonts w:ascii="Calibri" w:hAnsi="Calibri"/>
                      <w:sz w:val="20"/>
                    </w:rPr>
                    <w:t>557 (21%)</w:t>
                  </w:r>
                </w:p>
              </w:tc>
            </w:tr>
            <w:tr w:rsidR="000C6231" w14:paraId="72568CA9" w14:textId="77777777" w:rsidTr="000C6231">
              <w:trPr>
                <w:cantSplit/>
                <w:jc w:val="center"/>
              </w:trPr>
              <w:tc>
                <w:tcPr>
                  <w:tcW w:w="2557" w:type="dxa"/>
                </w:tcPr>
                <w:p w14:paraId="04EF64F1" w14:textId="77777777" w:rsidR="00A76274" w:rsidRDefault="00000000">
                  <w:pPr>
                    <w:keepNext/>
                    <w:spacing w:after="60"/>
                  </w:pPr>
                  <w:r>
                    <w:rPr>
                      <w:rFonts w:ascii="Calibri" w:hAnsi="Calibri"/>
                      <w:sz w:val="20"/>
                    </w:rPr>
                    <w:t>    Q3</w:t>
                  </w:r>
                </w:p>
              </w:tc>
              <w:tc>
                <w:tcPr>
                  <w:tcW w:w="3191" w:type="dxa"/>
                  <w:gridSpan w:val="2"/>
                </w:tcPr>
                <w:p w14:paraId="6F001F1B" w14:textId="77777777" w:rsidR="00A76274" w:rsidRDefault="00000000">
                  <w:pPr>
                    <w:keepNext/>
                    <w:spacing w:after="60"/>
                    <w:jc w:val="center"/>
                  </w:pPr>
                  <w:r>
                    <w:rPr>
                      <w:rFonts w:ascii="Calibri" w:hAnsi="Calibri"/>
                      <w:sz w:val="20"/>
                    </w:rPr>
                    <w:t>1,108 (18%)</w:t>
                  </w:r>
                </w:p>
              </w:tc>
              <w:tc>
                <w:tcPr>
                  <w:tcW w:w="1350" w:type="dxa"/>
                </w:tcPr>
                <w:p w14:paraId="72B6396E" w14:textId="77777777" w:rsidR="00A76274" w:rsidRDefault="00000000">
                  <w:pPr>
                    <w:keepNext/>
                    <w:spacing w:after="60"/>
                    <w:jc w:val="center"/>
                  </w:pPr>
                  <w:r>
                    <w:rPr>
                      <w:rFonts w:ascii="Calibri" w:hAnsi="Calibri"/>
                      <w:sz w:val="20"/>
                    </w:rPr>
                    <w:t>598 (18%)</w:t>
                  </w:r>
                </w:p>
              </w:tc>
              <w:tc>
                <w:tcPr>
                  <w:tcW w:w="2340" w:type="dxa"/>
                  <w:gridSpan w:val="3"/>
                </w:tcPr>
                <w:p w14:paraId="53C61D15" w14:textId="77777777" w:rsidR="00A76274" w:rsidRDefault="00000000">
                  <w:pPr>
                    <w:keepNext/>
                    <w:spacing w:after="60"/>
                    <w:jc w:val="center"/>
                  </w:pPr>
                  <w:r>
                    <w:rPr>
                      <w:rFonts w:ascii="Calibri" w:hAnsi="Calibri"/>
                      <w:sz w:val="20"/>
                    </w:rPr>
                    <w:t>510 (19%)</w:t>
                  </w:r>
                </w:p>
              </w:tc>
            </w:tr>
            <w:tr w:rsidR="000C6231" w14:paraId="41E578C0" w14:textId="77777777" w:rsidTr="000C6231">
              <w:trPr>
                <w:cantSplit/>
                <w:jc w:val="center"/>
              </w:trPr>
              <w:tc>
                <w:tcPr>
                  <w:tcW w:w="2557" w:type="dxa"/>
                </w:tcPr>
                <w:p w14:paraId="7D5F2E05" w14:textId="77777777" w:rsidR="00A76274" w:rsidRDefault="00000000">
                  <w:pPr>
                    <w:keepNext/>
                    <w:spacing w:after="60"/>
                  </w:pPr>
                  <w:r>
                    <w:rPr>
                      <w:rFonts w:ascii="Calibri" w:hAnsi="Calibri"/>
                      <w:sz w:val="20"/>
                    </w:rPr>
                    <w:t>    Q4</w:t>
                  </w:r>
                </w:p>
              </w:tc>
              <w:tc>
                <w:tcPr>
                  <w:tcW w:w="3191" w:type="dxa"/>
                  <w:gridSpan w:val="2"/>
                </w:tcPr>
                <w:p w14:paraId="477574F8" w14:textId="77777777" w:rsidR="00A76274" w:rsidRDefault="00000000">
                  <w:pPr>
                    <w:keepNext/>
                    <w:spacing w:after="60"/>
                    <w:jc w:val="center"/>
                  </w:pPr>
                  <w:r>
                    <w:rPr>
                      <w:rFonts w:ascii="Calibri" w:hAnsi="Calibri"/>
                      <w:sz w:val="20"/>
                    </w:rPr>
                    <w:t>966 (16%)</w:t>
                  </w:r>
                </w:p>
              </w:tc>
              <w:tc>
                <w:tcPr>
                  <w:tcW w:w="1350" w:type="dxa"/>
                </w:tcPr>
                <w:p w14:paraId="00153161" w14:textId="77777777" w:rsidR="00A76274" w:rsidRDefault="00000000">
                  <w:pPr>
                    <w:keepNext/>
                    <w:spacing w:after="60"/>
                    <w:jc w:val="center"/>
                  </w:pPr>
                  <w:r>
                    <w:rPr>
                      <w:rFonts w:ascii="Calibri" w:hAnsi="Calibri"/>
                      <w:sz w:val="20"/>
                    </w:rPr>
                    <w:t>546 (16%)</w:t>
                  </w:r>
                </w:p>
              </w:tc>
              <w:tc>
                <w:tcPr>
                  <w:tcW w:w="2340" w:type="dxa"/>
                  <w:gridSpan w:val="3"/>
                </w:tcPr>
                <w:p w14:paraId="4813FD33" w14:textId="77777777" w:rsidR="00A76274" w:rsidRDefault="00000000">
                  <w:pPr>
                    <w:keepNext/>
                    <w:spacing w:after="60"/>
                    <w:jc w:val="center"/>
                  </w:pPr>
                  <w:r>
                    <w:rPr>
                      <w:rFonts w:ascii="Calibri" w:hAnsi="Calibri"/>
                      <w:sz w:val="20"/>
                    </w:rPr>
                    <w:t>420 (16%)</w:t>
                  </w:r>
                </w:p>
              </w:tc>
            </w:tr>
            <w:tr w:rsidR="000C6231" w14:paraId="498F6E7B" w14:textId="77777777" w:rsidTr="000C6231">
              <w:trPr>
                <w:cantSplit/>
                <w:jc w:val="center"/>
              </w:trPr>
              <w:tc>
                <w:tcPr>
                  <w:tcW w:w="2557" w:type="dxa"/>
                </w:tcPr>
                <w:p w14:paraId="1B564275" w14:textId="77777777" w:rsidR="00A76274" w:rsidRDefault="00000000">
                  <w:pPr>
                    <w:keepNext/>
                    <w:spacing w:after="60"/>
                  </w:pPr>
                  <w:r>
                    <w:rPr>
                      <w:rFonts w:ascii="Calibri" w:hAnsi="Calibri"/>
                      <w:sz w:val="20"/>
                    </w:rPr>
                    <w:t>    Q5</w:t>
                  </w:r>
                </w:p>
              </w:tc>
              <w:tc>
                <w:tcPr>
                  <w:tcW w:w="3191" w:type="dxa"/>
                  <w:gridSpan w:val="2"/>
                </w:tcPr>
                <w:p w14:paraId="57403AC6" w14:textId="77777777" w:rsidR="00A76274" w:rsidRDefault="00000000">
                  <w:pPr>
                    <w:keepNext/>
                    <w:spacing w:after="60"/>
                    <w:jc w:val="center"/>
                  </w:pPr>
                  <w:r>
                    <w:rPr>
                      <w:rFonts w:ascii="Calibri" w:hAnsi="Calibri"/>
                      <w:sz w:val="20"/>
                    </w:rPr>
                    <w:t>900 (15%)</w:t>
                  </w:r>
                </w:p>
              </w:tc>
              <w:tc>
                <w:tcPr>
                  <w:tcW w:w="1350" w:type="dxa"/>
                </w:tcPr>
                <w:p w14:paraId="561BA794" w14:textId="77777777" w:rsidR="00A76274" w:rsidRDefault="00000000">
                  <w:pPr>
                    <w:keepNext/>
                    <w:spacing w:after="60"/>
                    <w:jc w:val="center"/>
                  </w:pPr>
                  <w:r>
                    <w:rPr>
                      <w:rFonts w:ascii="Calibri" w:hAnsi="Calibri"/>
                      <w:sz w:val="20"/>
                    </w:rPr>
                    <w:t>528 (16%)</w:t>
                  </w:r>
                </w:p>
              </w:tc>
              <w:tc>
                <w:tcPr>
                  <w:tcW w:w="2340" w:type="dxa"/>
                  <w:gridSpan w:val="3"/>
                </w:tcPr>
                <w:p w14:paraId="7DF8B6F2" w14:textId="77777777" w:rsidR="00A76274" w:rsidRDefault="00000000">
                  <w:pPr>
                    <w:keepNext/>
                    <w:spacing w:after="60"/>
                    <w:jc w:val="center"/>
                  </w:pPr>
                  <w:r>
                    <w:rPr>
                      <w:rFonts w:ascii="Calibri" w:hAnsi="Calibri"/>
                      <w:sz w:val="20"/>
                    </w:rPr>
                    <w:t>372 (14%)</w:t>
                  </w:r>
                </w:p>
              </w:tc>
            </w:tr>
            <w:tr w:rsidR="00A76274" w14:paraId="509CFC63" w14:textId="77777777" w:rsidTr="000C6231">
              <w:trPr>
                <w:cantSplit/>
                <w:jc w:val="center"/>
              </w:trPr>
              <w:tc>
                <w:tcPr>
                  <w:tcW w:w="9438" w:type="dxa"/>
                  <w:gridSpan w:val="7"/>
                </w:tcPr>
                <w:p w14:paraId="1E8E353C" w14:textId="77777777" w:rsidR="00A76274" w:rsidRDefault="00000000">
                  <w:pPr>
                    <w:keepNext/>
                    <w:spacing w:after="60"/>
                  </w:pPr>
                  <w:r>
                    <w:rPr>
                      <w:rFonts w:ascii="Calibri" w:hAnsi="Calibri"/>
                      <w:i/>
                      <w:sz w:val="20"/>
                      <w:vertAlign w:val="superscript"/>
                    </w:rPr>
                    <w:t>1</w:t>
                  </w:r>
                  <w:r>
                    <w:rPr>
                      <w:rFonts w:ascii="Calibri" w:hAnsi="Calibri"/>
                      <w:sz w:val="20"/>
                    </w:rPr>
                    <w:t>n (%)</w:t>
                  </w:r>
                </w:p>
              </w:tc>
            </w:tr>
            <w:tr w:rsidR="00A76274" w14:paraId="47484B13" w14:textId="77777777" w:rsidTr="000C6231">
              <w:trPr>
                <w:cantSplit/>
                <w:jc w:val="center"/>
              </w:trPr>
              <w:tc>
                <w:tcPr>
                  <w:tcW w:w="9438" w:type="dxa"/>
                  <w:gridSpan w:val="7"/>
                </w:tcPr>
                <w:p w14:paraId="318B47A5" w14:textId="77777777" w:rsidR="00A76274" w:rsidRDefault="00000000">
                  <w:pPr>
                    <w:keepNext/>
                    <w:spacing w:after="60"/>
                  </w:pPr>
                  <w:r>
                    <w:rPr>
                      <w:rFonts w:ascii="Calibri" w:hAnsi="Calibri"/>
                      <w:sz w:val="20"/>
                    </w:rPr>
                    <w:t>Source: Author's calculations based on RLMS-HSE data</w:t>
                  </w:r>
                </w:p>
              </w:tc>
            </w:tr>
            <w:bookmarkEnd w:id="2"/>
          </w:tbl>
          <w:p w14:paraId="3B74F257" w14:textId="77777777" w:rsidR="00000000" w:rsidRDefault="00000000">
            <w:pPr>
              <w:spacing w:after="0"/>
            </w:pPr>
          </w:p>
        </w:tc>
      </w:tr>
    </w:tbl>
    <w:p w14:paraId="6014F02D" w14:textId="77777777" w:rsidR="00A76274" w:rsidRDefault="00000000">
      <w:pPr>
        <w:pStyle w:val="BodyText"/>
      </w:pPr>
      <w:r>
        <w:rPr>
          <w:b/>
          <w:bCs/>
        </w:rPr>
        <w:t>Output Variable</w:t>
      </w:r>
    </w:p>
    <w:p w14:paraId="1E4EE5F0" w14:textId="77777777" w:rsidR="00A76274" w:rsidRDefault="00000000">
      <w:pPr>
        <w:pStyle w:val="BodyText"/>
      </w:pPr>
      <w:r>
        <w:t xml:space="preserve">The dependent variable of the study is derived based on multiple variables. First, it takes as the basis the variable j1, which refers to a question that asks what is the main labor market </w:t>
      </w:r>
      <w:r>
        <w:lastRenderedPageBreak/>
        <w:t>status of a respondent. The options include (1) “currently working”, (2) “on a paternal leave”, (3) “on a paid vocation”, (4) “on an unpaid vacation”, (5) “not currently working”. With that respect, a binary variable is derived where options 1 to 4 are recoded as employed and option 5 is recoded as 0, namely, unemployed. However, on the next stage, we control that this employment is formal, which is collected via the question j11.1. Further, based on variables j26 (self-employed or hired) and j1.1.1 (job satisfaction) we end up deriving a variable “transition successful” that to the possible extent is aligned with the ILO definitions. It codes as 1 those individuals who are either formally employed or formally self-employed and satisfied with their job, and assigns 0 otherwise.</w:t>
      </w:r>
    </w:p>
    <w:p w14:paraId="53D7D7C4" w14:textId="77777777" w:rsidR="00A76274" w:rsidRDefault="00000000">
      <w:pPr>
        <w:pStyle w:val="BodyText"/>
      </w:pPr>
      <w:r>
        <w:rPr>
          <w:b/>
          <w:bCs/>
        </w:rPr>
        <w:t>Input Variables</w:t>
      </w:r>
    </w:p>
    <w:p w14:paraId="1A7D6128" w14:textId="77777777" w:rsidR="00A76274" w:rsidRDefault="00000000">
      <w:pPr>
        <w:pStyle w:val="BodyText"/>
      </w:pPr>
      <w:r>
        <w:t xml:space="preserve">In addition to such controls as sex, age, area or residence, current education attendance (i.e., transition has not yet started), highest level of education completed, and household income per capita quintile when a respondent was 15 or 16 years old, the study also included five non-cognitive characteristics, namely, openness, conscientiousness, extraversion, agreeableness, and emotional stability (reverse of neuroticism). These variables were produced as a simple arithmetic mean of the items to measure them in accordance with the methodology proposed in the World Bank-supported Skills Towards Employability and Productivity (STEP) survey program (World Bank, 2014) and further adopted in RLMS. The calculated values were further standardized, with 0 being a sample mean and 1 denoting a standard deviation. The descriptive statistics of these variables across the derived sample is outlined in </w:t>
      </w:r>
      <w:hyperlink w:anchor="tbl-ncs-descr">
        <w:r>
          <w:rPr>
            <w:rStyle w:val="Hyperlink"/>
          </w:rPr>
          <w:t>Table 2</w:t>
        </w:r>
      </w:hyperlink>
      <w:r>
        <w:t>.</w:t>
      </w:r>
    </w:p>
    <w:tbl>
      <w:tblPr>
        <w:tblStyle w:val="Table"/>
        <w:tblW w:w="5000" w:type="pct"/>
        <w:tblLayout w:type="fixed"/>
        <w:tblLook w:val="0000" w:firstRow="0" w:lastRow="0" w:firstColumn="0" w:lastColumn="0" w:noHBand="0" w:noVBand="0"/>
      </w:tblPr>
      <w:tblGrid>
        <w:gridCol w:w="9360"/>
      </w:tblGrid>
      <w:tr w:rsidR="00A76274" w14:paraId="3F2BE1CB" w14:textId="77777777">
        <w:tc>
          <w:tcPr>
            <w:tcW w:w="7920" w:type="dxa"/>
          </w:tcPr>
          <w:p w14:paraId="57050509" w14:textId="77777777" w:rsidR="00A76274" w:rsidRDefault="00000000">
            <w:pPr>
              <w:pStyle w:val="ImageCaption"/>
              <w:spacing w:before="200"/>
            </w:pPr>
            <w:bookmarkStart w:id="3" w:name="tbl-ncs-descr"/>
            <w:r>
              <w:t>Table 2: Descriptive Statistics of Non-Cognitive Characteristics</w:t>
            </w:r>
          </w:p>
          <w:tbl>
            <w:tblPr>
              <w:tblStyle w:val="Table"/>
              <w:tblW w:w="10992" w:type="dxa"/>
              <w:tblLayout w:type="fixed"/>
              <w:tblLook w:val="0020" w:firstRow="1" w:lastRow="0" w:firstColumn="0" w:lastColumn="0" w:noHBand="0" w:noVBand="0"/>
            </w:tblPr>
            <w:tblGrid>
              <w:gridCol w:w="1616"/>
              <w:gridCol w:w="674"/>
              <w:gridCol w:w="1226"/>
              <w:gridCol w:w="921"/>
              <w:gridCol w:w="670"/>
              <w:gridCol w:w="751"/>
              <w:gridCol w:w="1112"/>
              <w:gridCol w:w="738"/>
              <w:gridCol w:w="3284"/>
            </w:tblGrid>
            <w:tr w:rsidR="000C6231" w14:paraId="63C01D62" w14:textId="77777777" w:rsidTr="000C6231">
              <w:trPr>
                <w:cnfStyle w:val="100000000000" w:firstRow="1" w:lastRow="0" w:firstColumn="0" w:lastColumn="0" w:oddVBand="0" w:evenVBand="0" w:oddHBand="0" w:evenHBand="0" w:firstRowFirstColumn="0" w:firstRowLastColumn="0" w:lastRowFirstColumn="0" w:lastRowLastColumn="0"/>
                <w:trHeight w:val="646"/>
                <w:tblHeader/>
              </w:trPr>
              <w:tc>
                <w:tcPr>
                  <w:tcW w:w="1616" w:type="dxa"/>
                </w:tcPr>
                <w:p w14:paraId="769F0B60" w14:textId="77777777" w:rsidR="00A76274" w:rsidRDefault="00A76274">
                  <w:pPr>
                    <w:pStyle w:val="Compact"/>
                  </w:pPr>
                </w:p>
              </w:tc>
              <w:tc>
                <w:tcPr>
                  <w:tcW w:w="674" w:type="dxa"/>
                </w:tcPr>
                <w:p w14:paraId="4E844B4C" w14:textId="77777777" w:rsidR="00A76274" w:rsidRDefault="00000000">
                  <w:pPr>
                    <w:pStyle w:val="Compact"/>
                    <w:jc w:val="center"/>
                  </w:pPr>
                  <w:r>
                    <w:t>Unique</w:t>
                  </w:r>
                </w:p>
              </w:tc>
              <w:tc>
                <w:tcPr>
                  <w:tcW w:w="1226" w:type="dxa"/>
                </w:tcPr>
                <w:p w14:paraId="44499254" w14:textId="77777777" w:rsidR="00A76274" w:rsidRDefault="00000000">
                  <w:pPr>
                    <w:pStyle w:val="Compact"/>
                    <w:jc w:val="center"/>
                  </w:pPr>
                  <w:r>
                    <w:t>Missing Pct.</w:t>
                  </w:r>
                </w:p>
              </w:tc>
              <w:tc>
                <w:tcPr>
                  <w:tcW w:w="921" w:type="dxa"/>
                </w:tcPr>
                <w:p w14:paraId="557F73AF" w14:textId="77777777" w:rsidR="00A76274" w:rsidRDefault="00000000">
                  <w:pPr>
                    <w:pStyle w:val="Compact"/>
                    <w:jc w:val="center"/>
                  </w:pPr>
                  <w:r>
                    <w:t>Mean</w:t>
                  </w:r>
                </w:p>
              </w:tc>
              <w:tc>
                <w:tcPr>
                  <w:tcW w:w="670" w:type="dxa"/>
                </w:tcPr>
                <w:p w14:paraId="1585F23E" w14:textId="77777777" w:rsidR="00A76274" w:rsidRDefault="00000000">
                  <w:pPr>
                    <w:pStyle w:val="Compact"/>
                    <w:jc w:val="center"/>
                  </w:pPr>
                  <w:r>
                    <w:t>SD</w:t>
                  </w:r>
                </w:p>
              </w:tc>
              <w:tc>
                <w:tcPr>
                  <w:tcW w:w="751" w:type="dxa"/>
                </w:tcPr>
                <w:p w14:paraId="4EAAFD0E" w14:textId="77777777" w:rsidR="00A76274" w:rsidRDefault="00000000">
                  <w:pPr>
                    <w:pStyle w:val="Compact"/>
                    <w:jc w:val="center"/>
                  </w:pPr>
                  <w:r>
                    <w:t>Min</w:t>
                  </w:r>
                </w:p>
              </w:tc>
              <w:tc>
                <w:tcPr>
                  <w:tcW w:w="1112" w:type="dxa"/>
                </w:tcPr>
                <w:p w14:paraId="10BAD556" w14:textId="77777777" w:rsidR="00A76274" w:rsidRDefault="00000000">
                  <w:pPr>
                    <w:pStyle w:val="Compact"/>
                    <w:jc w:val="center"/>
                  </w:pPr>
                  <w:r>
                    <w:t>Median</w:t>
                  </w:r>
                </w:p>
              </w:tc>
              <w:tc>
                <w:tcPr>
                  <w:tcW w:w="738" w:type="dxa"/>
                </w:tcPr>
                <w:p w14:paraId="6A96F026" w14:textId="77777777" w:rsidR="00A76274" w:rsidRDefault="00000000">
                  <w:pPr>
                    <w:pStyle w:val="Compact"/>
                    <w:jc w:val="center"/>
                  </w:pPr>
                  <w:r>
                    <w:t>Max</w:t>
                  </w:r>
                </w:p>
              </w:tc>
              <w:tc>
                <w:tcPr>
                  <w:tcW w:w="3284" w:type="dxa"/>
                </w:tcPr>
                <w:p w14:paraId="3B87CC94" w14:textId="77777777" w:rsidR="00A76274" w:rsidRDefault="00000000" w:rsidP="000C6231">
                  <w:pPr>
                    <w:pStyle w:val="Compact"/>
                  </w:pPr>
                  <w:r>
                    <w:t>Histogram</w:t>
                  </w:r>
                </w:p>
              </w:tc>
            </w:tr>
            <w:tr w:rsidR="000C6231" w14:paraId="5C3C19EC" w14:textId="77777777" w:rsidTr="000C6231">
              <w:trPr>
                <w:trHeight w:val="363"/>
              </w:trPr>
              <w:tc>
                <w:tcPr>
                  <w:tcW w:w="1616" w:type="dxa"/>
                </w:tcPr>
                <w:p w14:paraId="5C342DB7" w14:textId="77777777" w:rsidR="00A76274" w:rsidRDefault="00000000">
                  <w:pPr>
                    <w:pStyle w:val="Compact"/>
                    <w:jc w:val="center"/>
                  </w:pPr>
                  <w:r>
                    <w:t>Openness</w:t>
                  </w:r>
                </w:p>
              </w:tc>
              <w:tc>
                <w:tcPr>
                  <w:tcW w:w="674" w:type="dxa"/>
                </w:tcPr>
                <w:p w14:paraId="58CA9BA6" w14:textId="77777777" w:rsidR="00A76274" w:rsidRDefault="00000000">
                  <w:pPr>
                    <w:pStyle w:val="Compact"/>
                    <w:jc w:val="center"/>
                  </w:pPr>
                  <w:r>
                    <w:t>12</w:t>
                  </w:r>
                </w:p>
              </w:tc>
              <w:tc>
                <w:tcPr>
                  <w:tcW w:w="1226" w:type="dxa"/>
                </w:tcPr>
                <w:p w14:paraId="6FC204CC" w14:textId="77777777" w:rsidR="00A76274" w:rsidRDefault="00000000">
                  <w:pPr>
                    <w:pStyle w:val="Compact"/>
                    <w:jc w:val="center"/>
                  </w:pPr>
                  <w:r>
                    <w:t>0</w:t>
                  </w:r>
                </w:p>
              </w:tc>
              <w:tc>
                <w:tcPr>
                  <w:tcW w:w="921" w:type="dxa"/>
                </w:tcPr>
                <w:p w14:paraId="013EE99E" w14:textId="77777777" w:rsidR="00A76274" w:rsidRDefault="00000000">
                  <w:pPr>
                    <w:pStyle w:val="Compact"/>
                    <w:jc w:val="center"/>
                  </w:pPr>
                  <w:r>
                    <w:t>0.2</w:t>
                  </w:r>
                </w:p>
              </w:tc>
              <w:tc>
                <w:tcPr>
                  <w:tcW w:w="670" w:type="dxa"/>
                </w:tcPr>
                <w:p w14:paraId="65950E44" w14:textId="77777777" w:rsidR="00A76274" w:rsidRDefault="00000000">
                  <w:pPr>
                    <w:pStyle w:val="Compact"/>
                    <w:jc w:val="center"/>
                  </w:pPr>
                  <w:r>
                    <w:t>0.9</w:t>
                  </w:r>
                </w:p>
              </w:tc>
              <w:tc>
                <w:tcPr>
                  <w:tcW w:w="751" w:type="dxa"/>
                </w:tcPr>
                <w:p w14:paraId="22512591" w14:textId="77777777" w:rsidR="00A76274" w:rsidRDefault="00000000">
                  <w:pPr>
                    <w:pStyle w:val="Compact"/>
                    <w:jc w:val="center"/>
                  </w:pPr>
                  <w:r>
                    <w:t>-3.2</w:t>
                  </w:r>
                </w:p>
              </w:tc>
              <w:tc>
                <w:tcPr>
                  <w:tcW w:w="1112" w:type="dxa"/>
                </w:tcPr>
                <w:p w14:paraId="1E1AE8F8" w14:textId="77777777" w:rsidR="00A76274" w:rsidRDefault="00000000">
                  <w:pPr>
                    <w:pStyle w:val="Compact"/>
                    <w:jc w:val="center"/>
                  </w:pPr>
                  <w:r>
                    <w:t>0.2</w:t>
                  </w:r>
                </w:p>
              </w:tc>
              <w:tc>
                <w:tcPr>
                  <w:tcW w:w="738" w:type="dxa"/>
                </w:tcPr>
                <w:p w14:paraId="09683BE7" w14:textId="77777777" w:rsidR="00A76274" w:rsidRDefault="00000000">
                  <w:pPr>
                    <w:pStyle w:val="Compact"/>
                    <w:jc w:val="center"/>
                  </w:pPr>
                  <w:r>
                    <w:t>1.9</w:t>
                  </w:r>
                </w:p>
              </w:tc>
              <w:tc>
                <w:tcPr>
                  <w:tcW w:w="3284" w:type="dxa"/>
                </w:tcPr>
                <w:p w14:paraId="7ECEBD2B" w14:textId="77777777" w:rsidR="00A76274" w:rsidRDefault="00000000" w:rsidP="000C6231">
                  <w:pPr>
                    <w:pStyle w:val="Compact"/>
                  </w:pPr>
                  <w:r>
                    <w:rPr>
                      <w:noProof/>
                    </w:rPr>
                    <w:drawing>
                      <wp:inline distT="0" distB="0" distL="0" distR="0" wp14:anchorId="61482332" wp14:editId="277B16CC">
                        <wp:extent cx="457657"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inytable_assets/id2rmuf69dopgcuxilsirv.png"/>
                                <pic:cNvPicPr>
                                  <a:picLocks noChangeAspect="1" noChangeArrowheads="1"/>
                                </pic:cNvPicPr>
                              </pic:nvPicPr>
                              <pic:blipFill>
                                <a:blip r:embed="rId7"/>
                                <a:stretch>
                                  <a:fillRect/>
                                </a:stretch>
                              </pic:blipFill>
                              <pic:spPr bwMode="auto">
                                <a:xfrm>
                                  <a:off x="0" y="0"/>
                                  <a:ext cx="457657" cy="152400"/>
                                </a:xfrm>
                                <a:prstGeom prst="rect">
                                  <a:avLst/>
                                </a:prstGeom>
                                <a:noFill/>
                                <a:ln w="9525">
                                  <a:noFill/>
                                  <a:headEnd/>
                                  <a:tailEnd/>
                                </a:ln>
                              </pic:spPr>
                            </pic:pic>
                          </a:graphicData>
                        </a:graphic>
                      </wp:inline>
                    </w:drawing>
                  </w:r>
                </w:p>
              </w:tc>
            </w:tr>
            <w:tr w:rsidR="000C6231" w14:paraId="4E7C34C8" w14:textId="77777777" w:rsidTr="000C6231">
              <w:trPr>
                <w:trHeight w:val="646"/>
              </w:trPr>
              <w:tc>
                <w:tcPr>
                  <w:tcW w:w="1616" w:type="dxa"/>
                </w:tcPr>
                <w:p w14:paraId="08BB63F4" w14:textId="77777777" w:rsidR="00A76274" w:rsidRDefault="00000000">
                  <w:pPr>
                    <w:pStyle w:val="Compact"/>
                    <w:jc w:val="center"/>
                  </w:pPr>
                  <w:r>
                    <w:t>Conscientiousness</w:t>
                  </w:r>
                </w:p>
              </w:tc>
              <w:tc>
                <w:tcPr>
                  <w:tcW w:w="674" w:type="dxa"/>
                </w:tcPr>
                <w:p w14:paraId="17F64CBA" w14:textId="77777777" w:rsidR="00A76274" w:rsidRDefault="00000000">
                  <w:pPr>
                    <w:pStyle w:val="Compact"/>
                    <w:jc w:val="center"/>
                  </w:pPr>
                  <w:r>
                    <w:t>13</w:t>
                  </w:r>
                </w:p>
              </w:tc>
              <w:tc>
                <w:tcPr>
                  <w:tcW w:w="1226" w:type="dxa"/>
                </w:tcPr>
                <w:p w14:paraId="5EEA412D" w14:textId="77777777" w:rsidR="00A76274" w:rsidRDefault="00000000">
                  <w:pPr>
                    <w:pStyle w:val="Compact"/>
                    <w:jc w:val="center"/>
                  </w:pPr>
                  <w:r>
                    <w:t>0</w:t>
                  </w:r>
                </w:p>
              </w:tc>
              <w:tc>
                <w:tcPr>
                  <w:tcW w:w="921" w:type="dxa"/>
                </w:tcPr>
                <w:p w14:paraId="5BD351BC" w14:textId="77777777" w:rsidR="00A76274" w:rsidRDefault="00000000">
                  <w:pPr>
                    <w:pStyle w:val="Compact"/>
                    <w:jc w:val="center"/>
                  </w:pPr>
                  <w:r>
                    <w:t>-0.2</w:t>
                  </w:r>
                </w:p>
              </w:tc>
              <w:tc>
                <w:tcPr>
                  <w:tcW w:w="670" w:type="dxa"/>
                </w:tcPr>
                <w:p w14:paraId="54F372D6" w14:textId="77777777" w:rsidR="00A76274" w:rsidRDefault="00000000">
                  <w:pPr>
                    <w:pStyle w:val="Compact"/>
                    <w:jc w:val="center"/>
                  </w:pPr>
                  <w:r>
                    <w:t>1.0</w:t>
                  </w:r>
                </w:p>
              </w:tc>
              <w:tc>
                <w:tcPr>
                  <w:tcW w:w="751" w:type="dxa"/>
                </w:tcPr>
                <w:p w14:paraId="1A8957E8" w14:textId="77777777" w:rsidR="00A76274" w:rsidRDefault="00000000">
                  <w:pPr>
                    <w:pStyle w:val="Compact"/>
                    <w:jc w:val="center"/>
                  </w:pPr>
                  <w:r>
                    <w:t>-3.7</w:t>
                  </w:r>
                </w:p>
              </w:tc>
              <w:tc>
                <w:tcPr>
                  <w:tcW w:w="1112" w:type="dxa"/>
                </w:tcPr>
                <w:p w14:paraId="21FE22CB" w14:textId="77777777" w:rsidR="00A76274" w:rsidRDefault="00000000">
                  <w:pPr>
                    <w:pStyle w:val="Compact"/>
                    <w:jc w:val="center"/>
                  </w:pPr>
                  <w:r>
                    <w:t>-0.5</w:t>
                  </w:r>
                </w:p>
              </w:tc>
              <w:tc>
                <w:tcPr>
                  <w:tcW w:w="738" w:type="dxa"/>
                </w:tcPr>
                <w:p w14:paraId="2D899279" w14:textId="77777777" w:rsidR="00A76274" w:rsidRDefault="00000000">
                  <w:pPr>
                    <w:pStyle w:val="Compact"/>
                    <w:jc w:val="center"/>
                  </w:pPr>
                  <w:r>
                    <w:t>2.0</w:t>
                  </w:r>
                </w:p>
              </w:tc>
              <w:tc>
                <w:tcPr>
                  <w:tcW w:w="3284" w:type="dxa"/>
                </w:tcPr>
                <w:p w14:paraId="11C505CD" w14:textId="77777777" w:rsidR="00A76274" w:rsidRDefault="00000000" w:rsidP="000C6231">
                  <w:pPr>
                    <w:pStyle w:val="Compact"/>
                  </w:pPr>
                  <w:r>
                    <w:rPr>
                      <w:noProof/>
                    </w:rPr>
                    <w:drawing>
                      <wp:inline distT="0" distB="0" distL="0" distR="0" wp14:anchorId="38265D96" wp14:editId="32E1164A">
                        <wp:extent cx="457657"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inytable_assets/idfrlprkqh4u7drr81cyb5.png"/>
                                <pic:cNvPicPr>
                                  <a:picLocks noChangeAspect="1" noChangeArrowheads="1"/>
                                </pic:cNvPicPr>
                              </pic:nvPicPr>
                              <pic:blipFill>
                                <a:blip r:embed="rId8"/>
                                <a:stretch>
                                  <a:fillRect/>
                                </a:stretch>
                              </pic:blipFill>
                              <pic:spPr bwMode="auto">
                                <a:xfrm>
                                  <a:off x="0" y="0"/>
                                  <a:ext cx="457657" cy="152400"/>
                                </a:xfrm>
                                <a:prstGeom prst="rect">
                                  <a:avLst/>
                                </a:prstGeom>
                                <a:noFill/>
                                <a:ln w="9525">
                                  <a:noFill/>
                                  <a:headEnd/>
                                  <a:tailEnd/>
                                </a:ln>
                              </pic:spPr>
                            </pic:pic>
                          </a:graphicData>
                        </a:graphic>
                      </wp:inline>
                    </w:drawing>
                  </w:r>
                </w:p>
              </w:tc>
            </w:tr>
            <w:tr w:rsidR="000C6231" w14:paraId="2AF2CDFE" w14:textId="77777777" w:rsidTr="000C6231">
              <w:trPr>
                <w:trHeight w:val="350"/>
              </w:trPr>
              <w:tc>
                <w:tcPr>
                  <w:tcW w:w="1616" w:type="dxa"/>
                </w:tcPr>
                <w:p w14:paraId="0E01B60D" w14:textId="77777777" w:rsidR="00A76274" w:rsidRDefault="00000000">
                  <w:pPr>
                    <w:pStyle w:val="Compact"/>
                    <w:jc w:val="center"/>
                  </w:pPr>
                  <w:r>
                    <w:t>Extraversion</w:t>
                  </w:r>
                </w:p>
              </w:tc>
              <w:tc>
                <w:tcPr>
                  <w:tcW w:w="674" w:type="dxa"/>
                </w:tcPr>
                <w:p w14:paraId="72B1B895" w14:textId="77777777" w:rsidR="00A76274" w:rsidRDefault="00000000">
                  <w:pPr>
                    <w:pStyle w:val="Compact"/>
                    <w:jc w:val="center"/>
                  </w:pPr>
                  <w:r>
                    <w:t>13</w:t>
                  </w:r>
                </w:p>
              </w:tc>
              <w:tc>
                <w:tcPr>
                  <w:tcW w:w="1226" w:type="dxa"/>
                </w:tcPr>
                <w:p w14:paraId="27031E3F" w14:textId="77777777" w:rsidR="00A76274" w:rsidRDefault="00000000">
                  <w:pPr>
                    <w:pStyle w:val="Compact"/>
                    <w:jc w:val="center"/>
                  </w:pPr>
                  <w:r>
                    <w:t>0</w:t>
                  </w:r>
                </w:p>
              </w:tc>
              <w:tc>
                <w:tcPr>
                  <w:tcW w:w="921" w:type="dxa"/>
                </w:tcPr>
                <w:p w14:paraId="3DAC22F0" w14:textId="77777777" w:rsidR="00A76274" w:rsidRDefault="00000000">
                  <w:pPr>
                    <w:pStyle w:val="Compact"/>
                    <w:jc w:val="center"/>
                  </w:pPr>
                  <w:r>
                    <w:t>0.2</w:t>
                  </w:r>
                </w:p>
              </w:tc>
              <w:tc>
                <w:tcPr>
                  <w:tcW w:w="670" w:type="dxa"/>
                </w:tcPr>
                <w:p w14:paraId="0FC5390B" w14:textId="77777777" w:rsidR="00A76274" w:rsidRDefault="00000000">
                  <w:pPr>
                    <w:pStyle w:val="Compact"/>
                    <w:jc w:val="center"/>
                  </w:pPr>
                  <w:r>
                    <w:t>1.0</w:t>
                  </w:r>
                </w:p>
              </w:tc>
              <w:tc>
                <w:tcPr>
                  <w:tcW w:w="751" w:type="dxa"/>
                </w:tcPr>
                <w:p w14:paraId="1C2A0509" w14:textId="77777777" w:rsidR="00A76274" w:rsidRDefault="00000000">
                  <w:pPr>
                    <w:pStyle w:val="Compact"/>
                    <w:jc w:val="center"/>
                  </w:pPr>
                  <w:r>
                    <w:t>-2.7</w:t>
                  </w:r>
                </w:p>
              </w:tc>
              <w:tc>
                <w:tcPr>
                  <w:tcW w:w="1112" w:type="dxa"/>
                </w:tcPr>
                <w:p w14:paraId="130FD9ED" w14:textId="77777777" w:rsidR="00A76274" w:rsidRDefault="00000000">
                  <w:pPr>
                    <w:pStyle w:val="Compact"/>
                    <w:jc w:val="center"/>
                  </w:pPr>
                  <w:r>
                    <w:t>0.0</w:t>
                  </w:r>
                </w:p>
              </w:tc>
              <w:tc>
                <w:tcPr>
                  <w:tcW w:w="738" w:type="dxa"/>
                </w:tcPr>
                <w:p w14:paraId="622820A7" w14:textId="77777777" w:rsidR="00A76274" w:rsidRDefault="00000000">
                  <w:pPr>
                    <w:pStyle w:val="Compact"/>
                    <w:jc w:val="center"/>
                  </w:pPr>
                  <w:r>
                    <w:t>2.2</w:t>
                  </w:r>
                </w:p>
              </w:tc>
              <w:tc>
                <w:tcPr>
                  <w:tcW w:w="3284" w:type="dxa"/>
                </w:tcPr>
                <w:p w14:paraId="3879926A" w14:textId="77777777" w:rsidR="00A76274" w:rsidRDefault="00000000" w:rsidP="000C6231">
                  <w:pPr>
                    <w:pStyle w:val="Compact"/>
                  </w:pPr>
                  <w:r>
                    <w:rPr>
                      <w:noProof/>
                    </w:rPr>
                    <w:drawing>
                      <wp:inline distT="0" distB="0" distL="0" distR="0" wp14:anchorId="0020E3B6" wp14:editId="08CC73E5">
                        <wp:extent cx="457657"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inytable_assets/id1aj5s1fx72s476fjfj2s.png"/>
                                <pic:cNvPicPr>
                                  <a:picLocks noChangeAspect="1" noChangeArrowheads="1"/>
                                </pic:cNvPicPr>
                              </pic:nvPicPr>
                              <pic:blipFill>
                                <a:blip r:embed="rId9"/>
                                <a:stretch>
                                  <a:fillRect/>
                                </a:stretch>
                              </pic:blipFill>
                              <pic:spPr bwMode="auto">
                                <a:xfrm>
                                  <a:off x="0" y="0"/>
                                  <a:ext cx="457657" cy="152400"/>
                                </a:xfrm>
                                <a:prstGeom prst="rect">
                                  <a:avLst/>
                                </a:prstGeom>
                                <a:noFill/>
                                <a:ln w="9525">
                                  <a:noFill/>
                                  <a:headEnd/>
                                  <a:tailEnd/>
                                </a:ln>
                              </pic:spPr>
                            </pic:pic>
                          </a:graphicData>
                        </a:graphic>
                      </wp:inline>
                    </w:drawing>
                  </w:r>
                </w:p>
              </w:tc>
            </w:tr>
            <w:tr w:rsidR="000C6231" w14:paraId="6ECA96F7" w14:textId="77777777" w:rsidTr="000C6231">
              <w:trPr>
                <w:trHeight w:val="363"/>
              </w:trPr>
              <w:tc>
                <w:tcPr>
                  <w:tcW w:w="1616" w:type="dxa"/>
                </w:tcPr>
                <w:p w14:paraId="3FD548D0" w14:textId="77777777" w:rsidR="00A76274" w:rsidRDefault="00000000">
                  <w:pPr>
                    <w:pStyle w:val="Compact"/>
                    <w:jc w:val="center"/>
                  </w:pPr>
                  <w:r>
                    <w:t>Agreeableness</w:t>
                  </w:r>
                </w:p>
              </w:tc>
              <w:tc>
                <w:tcPr>
                  <w:tcW w:w="674" w:type="dxa"/>
                </w:tcPr>
                <w:p w14:paraId="74572E99" w14:textId="77777777" w:rsidR="00A76274" w:rsidRDefault="00000000">
                  <w:pPr>
                    <w:pStyle w:val="Compact"/>
                    <w:jc w:val="center"/>
                  </w:pPr>
                  <w:r>
                    <w:t>12</w:t>
                  </w:r>
                </w:p>
              </w:tc>
              <w:tc>
                <w:tcPr>
                  <w:tcW w:w="1226" w:type="dxa"/>
                </w:tcPr>
                <w:p w14:paraId="4FA39805" w14:textId="77777777" w:rsidR="00A76274" w:rsidRDefault="00000000">
                  <w:pPr>
                    <w:pStyle w:val="Compact"/>
                    <w:jc w:val="center"/>
                  </w:pPr>
                  <w:r>
                    <w:t>0</w:t>
                  </w:r>
                </w:p>
              </w:tc>
              <w:tc>
                <w:tcPr>
                  <w:tcW w:w="921" w:type="dxa"/>
                </w:tcPr>
                <w:p w14:paraId="520BDBFF" w14:textId="77777777" w:rsidR="00A76274" w:rsidRDefault="00000000">
                  <w:pPr>
                    <w:pStyle w:val="Compact"/>
                    <w:jc w:val="center"/>
                  </w:pPr>
                  <w:r>
                    <w:t>-0.1</w:t>
                  </w:r>
                </w:p>
              </w:tc>
              <w:tc>
                <w:tcPr>
                  <w:tcW w:w="670" w:type="dxa"/>
                </w:tcPr>
                <w:p w14:paraId="2C0399DC" w14:textId="77777777" w:rsidR="00A76274" w:rsidRDefault="00000000">
                  <w:pPr>
                    <w:pStyle w:val="Compact"/>
                    <w:jc w:val="center"/>
                  </w:pPr>
                  <w:r>
                    <w:t>1.0</w:t>
                  </w:r>
                </w:p>
              </w:tc>
              <w:tc>
                <w:tcPr>
                  <w:tcW w:w="751" w:type="dxa"/>
                </w:tcPr>
                <w:p w14:paraId="213246B2" w14:textId="77777777" w:rsidR="00A76274" w:rsidRDefault="00000000">
                  <w:pPr>
                    <w:pStyle w:val="Compact"/>
                    <w:jc w:val="center"/>
                  </w:pPr>
                  <w:r>
                    <w:t>-3.2</w:t>
                  </w:r>
                </w:p>
              </w:tc>
              <w:tc>
                <w:tcPr>
                  <w:tcW w:w="1112" w:type="dxa"/>
                </w:tcPr>
                <w:p w14:paraId="20CECFDE" w14:textId="77777777" w:rsidR="00A76274" w:rsidRDefault="00000000">
                  <w:pPr>
                    <w:pStyle w:val="Compact"/>
                    <w:jc w:val="center"/>
                  </w:pPr>
                  <w:r>
                    <w:t>-0.2</w:t>
                  </w:r>
                </w:p>
              </w:tc>
              <w:tc>
                <w:tcPr>
                  <w:tcW w:w="738" w:type="dxa"/>
                </w:tcPr>
                <w:p w14:paraId="390929C7" w14:textId="77777777" w:rsidR="00A76274" w:rsidRDefault="00000000">
                  <w:pPr>
                    <w:pStyle w:val="Compact"/>
                    <w:jc w:val="center"/>
                  </w:pPr>
                  <w:r>
                    <w:t>2.2</w:t>
                  </w:r>
                </w:p>
              </w:tc>
              <w:tc>
                <w:tcPr>
                  <w:tcW w:w="3284" w:type="dxa"/>
                </w:tcPr>
                <w:p w14:paraId="2F947EA0" w14:textId="77777777" w:rsidR="00A76274" w:rsidRDefault="00000000" w:rsidP="000C6231">
                  <w:pPr>
                    <w:pStyle w:val="Compact"/>
                  </w:pPr>
                  <w:r>
                    <w:rPr>
                      <w:noProof/>
                    </w:rPr>
                    <w:drawing>
                      <wp:inline distT="0" distB="0" distL="0" distR="0" wp14:anchorId="2686C334" wp14:editId="1AFB6DC9">
                        <wp:extent cx="457657" cy="1524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tinytable_assets/idmu9jrltstoyk2wusax5g.png"/>
                                <pic:cNvPicPr>
                                  <a:picLocks noChangeAspect="1" noChangeArrowheads="1"/>
                                </pic:cNvPicPr>
                              </pic:nvPicPr>
                              <pic:blipFill>
                                <a:blip r:embed="rId10"/>
                                <a:stretch>
                                  <a:fillRect/>
                                </a:stretch>
                              </pic:blipFill>
                              <pic:spPr bwMode="auto">
                                <a:xfrm>
                                  <a:off x="0" y="0"/>
                                  <a:ext cx="457657" cy="152400"/>
                                </a:xfrm>
                                <a:prstGeom prst="rect">
                                  <a:avLst/>
                                </a:prstGeom>
                                <a:noFill/>
                                <a:ln w="9525">
                                  <a:noFill/>
                                  <a:headEnd/>
                                  <a:tailEnd/>
                                </a:ln>
                              </pic:spPr>
                            </pic:pic>
                          </a:graphicData>
                        </a:graphic>
                      </wp:inline>
                    </w:drawing>
                  </w:r>
                </w:p>
              </w:tc>
            </w:tr>
            <w:tr w:rsidR="000C6231" w14:paraId="4B348231" w14:textId="77777777" w:rsidTr="000C6231">
              <w:trPr>
                <w:trHeight w:val="646"/>
              </w:trPr>
              <w:tc>
                <w:tcPr>
                  <w:tcW w:w="1616" w:type="dxa"/>
                </w:tcPr>
                <w:p w14:paraId="6D0E6F93" w14:textId="77777777" w:rsidR="00A76274" w:rsidRDefault="00000000">
                  <w:pPr>
                    <w:pStyle w:val="Compact"/>
                    <w:jc w:val="center"/>
                  </w:pPr>
                  <w:r>
                    <w:t>Emotional Stability</w:t>
                  </w:r>
                </w:p>
              </w:tc>
              <w:tc>
                <w:tcPr>
                  <w:tcW w:w="674" w:type="dxa"/>
                </w:tcPr>
                <w:p w14:paraId="5DDB3F2E" w14:textId="77777777" w:rsidR="00A76274" w:rsidRDefault="00000000">
                  <w:pPr>
                    <w:pStyle w:val="Compact"/>
                    <w:jc w:val="center"/>
                  </w:pPr>
                  <w:r>
                    <w:t>13</w:t>
                  </w:r>
                </w:p>
              </w:tc>
              <w:tc>
                <w:tcPr>
                  <w:tcW w:w="1226" w:type="dxa"/>
                </w:tcPr>
                <w:p w14:paraId="3F13AD64" w14:textId="77777777" w:rsidR="00A76274" w:rsidRDefault="00000000">
                  <w:pPr>
                    <w:pStyle w:val="Compact"/>
                    <w:jc w:val="center"/>
                  </w:pPr>
                  <w:r>
                    <w:t>0</w:t>
                  </w:r>
                </w:p>
              </w:tc>
              <w:tc>
                <w:tcPr>
                  <w:tcW w:w="921" w:type="dxa"/>
                </w:tcPr>
                <w:p w14:paraId="70EF9B75" w14:textId="77777777" w:rsidR="00A76274" w:rsidRDefault="00000000">
                  <w:pPr>
                    <w:pStyle w:val="Compact"/>
                    <w:jc w:val="center"/>
                  </w:pPr>
                  <w:r>
                    <w:t>0.1</w:t>
                  </w:r>
                </w:p>
              </w:tc>
              <w:tc>
                <w:tcPr>
                  <w:tcW w:w="670" w:type="dxa"/>
                </w:tcPr>
                <w:p w14:paraId="332BD84F" w14:textId="77777777" w:rsidR="00A76274" w:rsidRDefault="00000000">
                  <w:pPr>
                    <w:pStyle w:val="Compact"/>
                    <w:jc w:val="center"/>
                  </w:pPr>
                  <w:r>
                    <w:t>1.0</w:t>
                  </w:r>
                </w:p>
              </w:tc>
              <w:tc>
                <w:tcPr>
                  <w:tcW w:w="751" w:type="dxa"/>
                </w:tcPr>
                <w:p w14:paraId="34160B78" w14:textId="77777777" w:rsidR="00A76274" w:rsidRDefault="00000000">
                  <w:pPr>
                    <w:pStyle w:val="Compact"/>
                    <w:jc w:val="center"/>
                  </w:pPr>
                  <w:r>
                    <w:t>-2.4</w:t>
                  </w:r>
                </w:p>
              </w:tc>
              <w:tc>
                <w:tcPr>
                  <w:tcW w:w="1112" w:type="dxa"/>
                </w:tcPr>
                <w:p w14:paraId="4CC2B9FC" w14:textId="77777777" w:rsidR="00A76274" w:rsidRDefault="00000000">
                  <w:pPr>
                    <w:pStyle w:val="Compact"/>
                    <w:jc w:val="center"/>
                  </w:pPr>
                  <w:r>
                    <w:t>0.2</w:t>
                  </w:r>
                </w:p>
              </w:tc>
              <w:tc>
                <w:tcPr>
                  <w:tcW w:w="738" w:type="dxa"/>
                </w:tcPr>
                <w:p w14:paraId="6565C5A5" w14:textId="77777777" w:rsidR="00A76274" w:rsidRDefault="00000000">
                  <w:pPr>
                    <w:pStyle w:val="Compact"/>
                    <w:jc w:val="center"/>
                  </w:pPr>
                  <w:r>
                    <w:t>2.3</w:t>
                  </w:r>
                </w:p>
              </w:tc>
              <w:tc>
                <w:tcPr>
                  <w:tcW w:w="3284" w:type="dxa"/>
                </w:tcPr>
                <w:p w14:paraId="0C5C47A0" w14:textId="77777777" w:rsidR="00A76274" w:rsidRDefault="00000000" w:rsidP="000C6231">
                  <w:pPr>
                    <w:pStyle w:val="Compact"/>
                  </w:pPr>
                  <w:r>
                    <w:rPr>
                      <w:noProof/>
                    </w:rPr>
                    <w:drawing>
                      <wp:inline distT="0" distB="0" distL="0" distR="0" wp14:anchorId="3AAF82B0" wp14:editId="7A3560C7">
                        <wp:extent cx="457657" cy="1524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inytable_assets/id176i7vkak7ny2u07s5u7.png"/>
                                <pic:cNvPicPr>
                                  <a:picLocks noChangeAspect="1" noChangeArrowheads="1"/>
                                </pic:cNvPicPr>
                              </pic:nvPicPr>
                              <pic:blipFill>
                                <a:blip r:embed="rId11"/>
                                <a:stretch>
                                  <a:fillRect/>
                                </a:stretch>
                              </pic:blipFill>
                              <pic:spPr bwMode="auto">
                                <a:xfrm>
                                  <a:off x="0" y="0"/>
                                  <a:ext cx="457657" cy="152400"/>
                                </a:xfrm>
                                <a:prstGeom prst="rect">
                                  <a:avLst/>
                                </a:prstGeom>
                                <a:noFill/>
                                <a:ln w="9525">
                                  <a:noFill/>
                                  <a:headEnd/>
                                  <a:tailEnd/>
                                </a:ln>
                              </pic:spPr>
                            </pic:pic>
                          </a:graphicData>
                        </a:graphic>
                      </wp:inline>
                    </w:drawing>
                  </w:r>
                </w:p>
              </w:tc>
            </w:tr>
            <w:bookmarkEnd w:id="3"/>
          </w:tbl>
          <w:p w14:paraId="38736D10" w14:textId="77777777" w:rsidR="00A76274" w:rsidRDefault="00A76274"/>
        </w:tc>
      </w:tr>
    </w:tbl>
    <w:p w14:paraId="11820091" w14:textId="77777777" w:rsidR="00A76274" w:rsidRDefault="00000000">
      <w:pPr>
        <w:pStyle w:val="Heading2"/>
      </w:pPr>
      <w:bookmarkStart w:id="4" w:name="econometric-verification"/>
      <w:bookmarkEnd w:id="1"/>
      <w:r>
        <w:t>Econometric Verification</w:t>
      </w:r>
    </w:p>
    <w:p w14:paraId="435C69A8" w14:textId="77777777" w:rsidR="00A76274" w:rsidRDefault="00000000">
      <w:pPr>
        <w:pStyle w:val="FirstParagraph"/>
      </w:pPr>
      <w:r>
        <w:t xml:space="preserve">To estimate the effect of non-cognitive skills on the probability of employment, this study leverages an unbalanced panel dataset, where some proportion of observations has only one record. To address the research questions driving this investigation, a mixed-effects (multilevel) regression model is employed (Gelman &amp; Hill, 2006; Pinheiro &amp; Bates, 2000; Wu, 2009). This approach is particularly suited for estimating effects on non-independent, </w:t>
      </w:r>
      <w:r>
        <w:lastRenderedPageBreak/>
        <w:t>clustered, or hierarchical observations and repeated measures (Yang et al., 2014). Moreover, its primary advantage lies in its ability to control for endogeneity arising from unobserved heterogeneity at multiple levels.</w:t>
      </w:r>
    </w:p>
    <w:p w14:paraId="4B4E2799" w14:textId="77777777" w:rsidR="00A76274" w:rsidRDefault="00000000">
      <w:pPr>
        <w:pStyle w:val="BodyText"/>
      </w:pPr>
      <w:r>
        <w:t>First, given the longitudinal nature of the data, with significant portion of the sample having two records over time, the model incorporates a random intercept for individual IDs to disentangle between- and within-individual variation in employment and non-cognitive skills.</w:t>
      </w:r>
    </w:p>
    <w:p w14:paraId="1052030F" w14:textId="77777777" w:rsidR="00A76274" w:rsidRDefault="00000000">
      <w:pPr>
        <w:pStyle w:val="BodyText"/>
      </w:pPr>
      <w:r>
        <w:t>Furthermore, the age range of the study, spanning 15-29 year-olds, in accordance with the ILO definition of the school-to-work transition, may introduce endogeneity at the individual level due to differences in baseline probability of employment by age. Lower incidence rates of employment are likely to be observed amongst younger individuals enrolled in secondary school or higher education institutions. To address this, the model incorporates a random intercept for age, allowing the probability of employment to vary across age groups.</w:t>
      </w:r>
    </w:p>
    <w:p w14:paraId="354C0E32" w14:textId="77777777" w:rsidR="00A76274" w:rsidRDefault="00000000">
      <w:pPr>
        <w:pStyle w:val="BodyText"/>
      </w:pPr>
      <w:r>
        <w:t>Another source of endogeneity arises from spatial factors, as Russia is a large and populated federal state with sharp spatial disparities in access to the labor market. Unobserved and unaccounted for in the estimation, these factors inevitably affect the baseline probability of career entry, with individuals sharing the same characteristics across regions having different chances of getting a job purely due to regional segregation of the labor market. To separate within- and between-regional variation, the model includes a random intercept term for region.</w:t>
      </w:r>
    </w:p>
    <w:p w14:paraId="41C97366" w14:textId="77777777" w:rsidR="00A76274" w:rsidRDefault="00000000">
      <w:pPr>
        <w:pStyle w:val="BodyText"/>
      </w:pPr>
      <w:r>
        <w:t>These considerations are reflected in the main model of the study, which, in addition to the outlined random terms, predicts employment through Big Five personality traits and controls for sex, area of residence, income per capita quintile group as a proxy for SES, current education attendance, and highest level of education completed.</w:t>
      </w:r>
    </w:p>
    <w:p w14:paraId="685CE4B9" w14:textId="77777777" w:rsidR="00A76274" w:rsidRDefault="00000000">
      <w:pPr>
        <w:pStyle w:val="BodyText"/>
      </w:pPr>
      <w:r>
        <w:t>It is essential to acknowledge that existing structures of socio-economic inequality significantly impact the school-to-work transition of young people, with youth from richer households having access to better schools, parental networks, and more default options for finding employment. In contrast, the poor, who face greater risks of lacking access to social lifts to elevate their status in society, may also experience higher risks of unemployment due to lower human capital. Therefore, for labor policy purposes, it is crucial to understand which non-cognitive skills can help economically disadvantaged youth access jobs. These supplementary research questions are addressed through two additional mixed-effects models.</w:t>
      </w:r>
    </w:p>
    <w:p w14:paraId="4EBF70C9" w14:textId="77777777" w:rsidR="00A76274" w:rsidRDefault="00000000">
      <w:pPr>
        <w:pStyle w:val="BodyText"/>
      </w:pPr>
      <w:r>
        <w:t>To this end, a second model incorporates random slope terms of non-cognitive skills by income percentile groups, acknowledging the confounding role of SES in the relationship between non-cognitive skills and employment. The model also estimates a random intercept term for SES by non-cognitive skills, capturing unobserved heterogeneity in the relationship between SES and non-cognitive skills.</w:t>
      </w:r>
    </w:p>
    <w:p w14:paraId="2156B839" w14:textId="77777777" w:rsidR="00A76274" w:rsidRDefault="00000000">
      <w:pPr>
        <w:pStyle w:val="BodyText"/>
      </w:pPr>
      <w:r>
        <w:lastRenderedPageBreak/>
        <w:t>Finally, different levels of education are likely to result in varying likelihoods of having a job, and non-cognitive skills may affect the probability of employment differently for those with and without higher education. To account for this heterogeneous effect, the verification model incorporates a random slope term of the Big Five traits by the highest level of education completed, as reflected in the third calculated model.</w:t>
      </w:r>
    </w:p>
    <w:p w14:paraId="16E61716" w14:textId="77777777" w:rsidR="00A76274" w:rsidRDefault="00000000">
      <w:pPr>
        <w:pStyle w:val="BodyText"/>
      </w:pPr>
      <w:r>
        <w:t xml:space="preserve">The data analysis for this study was conducted in R (R Core Team, 2021), an open-source software for statistical computing. The mixed-effects regression models were computed using the </w:t>
      </w:r>
      <w:r>
        <w:rPr>
          <w:rStyle w:val="VerbatimChar"/>
        </w:rPr>
        <w:t>lme4</w:t>
      </w:r>
      <w:r>
        <w:t xml:space="preserve"> package (Bates et al., 2015), while the statistical significance of the coefficients was estimated with the help of the </w:t>
      </w:r>
      <w:r>
        <w:rPr>
          <w:rStyle w:val="VerbatimChar"/>
        </w:rPr>
        <w:t>lmerTest</w:t>
      </w:r>
      <w:r>
        <w:t xml:space="preserve"> package (Kuznetsova et al., 2017).</w:t>
      </w:r>
    </w:p>
    <w:p w14:paraId="14105932" w14:textId="77777777" w:rsidR="00A76274" w:rsidRDefault="00000000">
      <w:pPr>
        <w:pStyle w:val="Heading2"/>
      </w:pPr>
      <w:bookmarkStart w:id="5" w:name="results"/>
      <w:bookmarkEnd w:id="4"/>
      <w:r>
        <w:t>Results</w:t>
      </w:r>
    </w:p>
    <w:p w14:paraId="523AA177" w14:textId="77777777" w:rsidR="00A76274" w:rsidRDefault="00000000">
      <w:pPr>
        <w:pStyle w:val="Heading3"/>
      </w:pPr>
      <w:bookmarkStart w:id="6" w:name="X89915445b15651bfcbeee3284f02b818a86530d"/>
      <w:r>
        <w:t>Group Differences in Non-Cognitive Skills</w:t>
      </w:r>
    </w:p>
    <w:p w14:paraId="2E5124F4" w14:textId="77777777" w:rsidR="00A76274" w:rsidRDefault="00000000">
      <w:pPr>
        <w:pStyle w:val="FirstParagraph"/>
      </w:pPr>
      <w:r>
        <w:t xml:space="preserve">The study examined the distributional differences in non-cognitive skills among Russian youth across various demographic and socio-economic indicators. </w:t>
      </w:r>
      <w:hyperlink w:anchor="fig-box-plot">
        <w:r>
          <w:rPr>
            <w:rStyle w:val="Hyperlink"/>
          </w:rPr>
          <w:t>Figure 1</w:t>
        </w:r>
      </w:hyperlink>
      <w:r>
        <w:t xml:space="preserve"> provides a visual representation of these disparities. Contrary to expectations, employment status, socio-economic status, and highest education completed were found to have a limited impact on the distribution of most non-cognitive skills. Specifically, openness to new experience, agreeableness, and emotional stability exhibited stability across these domains, with minimal variations in median and inter-quartile ranges.</w:t>
      </w:r>
    </w:p>
    <w:p w14:paraId="7A036C7E" w14:textId="77777777" w:rsidR="00A76274" w:rsidRDefault="00000000">
      <w:pPr>
        <w:pStyle w:val="BodyText"/>
      </w:pPr>
      <w:r>
        <w:t>However, notable exceptions are observed. Conscientiousness demonstrates significant differences across employment status, socio-economic status, and highest education completed. Unemployed youth exhibited a significant deficit in conscientiousness and grit compared to their employed counterparts, suggesting a potential link between these traits and employment outcomes. Additionally, differences in conscientiousness are observed between youth from the bottom 20% and top 20% of households by income per capita, as well as between those with a higher education degree and those with other education levels.</w:t>
      </w:r>
    </w:p>
    <w:p w14:paraId="70662564" w14:textId="77777777" w:rsidR="00A76274" w:rsidRDefault="00000000">
      <w:pPr>
        <w:pStyle w:val="BodyText"/>
      </w:pPr>
      <w:r>
        <w:t>Furthermore, a socio-economic gap is observed in extraversion, with youth from the top 20% of households by income per capita exhibiting higher levels of extraversion compared to their counterparts from lower-income households. This finding suggests that factors of social milieu may influence the development of extraversion.</w:t>
      </w:r>
    </w:p>
    <w:p w14:paraId="19B564B1" w14:textId="77777777" w:rsidR="00A76274" w:rsidRDefault="00000000">
      <w:pPr>
        <w:pStyle w:val="BodyText"/>
      </w:pPr>
      <w:r>
        <w:t>These results provide a nuanced understanding of the distributional differences in non-cognitive skills among Russian youth, highlighting the need for further investigation into the underlying mechanisms driving these disparities.</w:t>
      </w:r>
    </w:p>
    <w:tbl>
      <w:tblPr>
        <w:tblStyle w:val="Table"/>
        <w:tblW w:w="5000" w:type="pct"/>
        <w:tblLayout w:type="fixed"/>
        <w:tblLook w:val="0000" w:firstRow="0" w:lastRow="0" w:firstColumn="0" w:lastColumn="0" w:noHBand="0" w:noVBand="0"/>
      </w:tblPr>
      <w:tblGrid>
        <w:gridCol w:w="9360"/>
      </w:tblGrid>
      <w:tr w:rsidR="00A76274" w14:paraId="247C1139" w14:textId="77777777">
        <w:tc>
          <w:tcPr>
            <w:tcW w:w="7920" w:type="dxa"/>
          </w:tcPr>
          <w:p w14:paraId="5EE49B69" w14:textId="77777777" w:rsidR="00A76274" w:rsidRDefault="00000000">
            <w:pPr>
              <w:pStyle w:val="Compact"/>
              <w:jc w:val="center"/>
            </w:pPr>
            <w:bookmarkStart w:id="7" w:name="fig-box-plot"/>
            <w:r>
              <w:rPr>
                <w:noProof/>
              </w:rPr>
              <w:lastRenderedPageBreak/>
              <w:drawing>
                <wp:inline distT="0" distB="0" distL="0" distR="0" wp14:anchorId="6CCEBBC9" wp14:editId="5206F3D9">
                  <wp:extent cx="5334000" cy="7112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wt-ncs_files/figure-docx/fig-box-plot-1.png"/>
                          <pic:cNvPicPr>
                            <a:picLocks noChangeAspect="1" noChangeArrowheads="1"/>
                          </pic:cNvPicPr>
                        </pic:nvPicPr>
                        <pic:blipFill>
                          <a:blip r:embed="rId12"/>
                          <a:stretch>
                            <a:fillRect/>
                          </a:stretch>
                        </pic:blipFill>
                        <pic:spPr bwMode="auto">
                          <a:xfrm>
                            <a:off x="0" y="0"/>
                            <a:ext cx="5334000" cy="7112000"/>
                          </a:xfrm>
                          <a:prstGeom prst="rect">
                            <a:avLst/>
                          </a:prstGeom>
                          <a:noFill/>
                          <a:ln w="9525">
                            <a:noFill/>
                            <a:headEnd/>
                            <a:tailEnd/>
                          </a:ln>
                        </pic:spPr>
                      </pic:pic>
                    </a:graphicData>
                  </a:graphic>
                </wp:inline>
              </w:drawing>
            </w:r>
          </w:p>
          <w:p w14:paraId="032B056E" w14:textId="77777777" w:rsidR="00A76274" w:rsidRDefault="00000000">
            <w:pPr>
              <w:pStyle w:val="ImageCaption"/>
              <w:spacing w:before="200"/>
            </w:pPr>
            <w:r>
              <w:t>Figure 1: Box Plots of Non-Cognitive Skills by Employment, SES Percentile Group, and Education Level</w:t>
            </w:r>
          </w:p>
        </w:tc>
        <w:bookmarkEnd w:id="7"/>
      </w:tr>
    </w:tbl>
    <w:p w14:paraId="46AD7D65" w14:textId="77777777" w:rsidR="00A76274" w:rsidRDefault="00000000">
      <w:pPr>
        <w:pStyle w:val="Heading3"/>
      </w:pPr>
      <w:bookmarkStart w:id="8" w:name="variance-partitioning-of-employment"/>
      <w:bookmarkEnd w:id="6"/>
      <w:r>
        <w:lastRenderedPageBreak/>
        <w:t>Variance Partitioning of Employment</w:t>
      </w:r>
    </w:p>
    <w:p w14:paraId="08B05354" w14:textId="77777777" w:rsidR="00A76274" w:rsidRDefault="00000000">
      <w:pPr>
        <w:pStyle w:val="FirstParagraph"/>
      </w:pPr>
      <w:r>
        <w:t xml:space="preserve">To inform the inferential analysis examining the effect of non-cognitive skills on employment, three mixed-effects models were calculated. The first model employed only random intercept terms for age, individual ID (to control for respondents selected twice), region (to account for unobserved heterogeneity associated with differences in the baseline probability of employment due to regional factors) and completed level of education (to disentangle the effect of older age and higher levels of completed education from each other). Exploring the variance partitioning coefficients (VPC), also known as intra-class correlation coefficients (ICC), of the baseline mixed-effect model reveals important sources of variation in the probability of successful transition. Specifically, these coefficients estimate the share of total variance attributed to a specific random effect. </w:t>
      </w:r>
      <w:hyperlink w:anchor="tbl-vpc">
        <w:r>
          <w:rPr>
            <w:rStyle w:val="Hyperlink"/>
          </w:rPr>
          <w:t>Table 3</w:t>
        </w:r>
      </w:hyperlink>
      <w:r>
        <w:t xml:space="preserve"> summarizes the VPC estimated from the baseline mixed-effects model, which adopts only random intercept terms. Notably, almost 22% of variance in successfull transition from school to work of young people is attributed to age. The effect of completed level of education accounts for 6% of variation in finding a job. Regional disparities in the access to labor market comprise almost 3% of variation in probability of employment. Finally, other individual-level factors not accounted by the included random intercepts represent 26% of variation in employment.</w:t>
      </w:r>
    </w:p>
    <w:tbl>
      <w:tblPr>
        <w:tblStyle w:val="Table"/>
        <w:tblW w:w="5000" w:type="pct"/>
        <w:tblLayout w:type="fixed"/>
        <w:tblLook w:val="0000" w:firstRow="0" w:lastRow="0" w:firstColumn="0" w:lastColumn="0" w:noHBand="0" w:noVBand="0"/>
      </w:tblPr>
      <w:tblGrid>
        <w:gridCol w:w="9360"/>
      </w:tblGrid>
      <w:tr w:rsidR="00A76274" w14:paraId="1EEB293A" w14:textId="77777777">
        <w:tc>
          <w:tcPr>
            <w:tcW w:w="7920" w:type="dxa"/>
          </w:tcPr>
          <w:p w14:paraId="6F796380" w14:textId="77777777" w:rsidR="00A76274" w:rsidRDefault="00000000">
            <w:pPr>
              <w:pStyle w:val="ImageCaption"/>
              <w:spacing w:before="200"/>
            </w:pPr>
            <w:bookmarkStart w:id="9" w:name="tbl-vpc"/>
            <w:r>
              <w:t>Table 3: Variance Partitioning Coefficients of the Baseline Mixed Effects Model</w:t>
            </w:r>
          </w:p>
        </w:tc>
        <w:bookmarkEnd w:id="9"/>
      </w:tr>
    </w:tbl>
    <w:p w14:paraId="3E9955FC" w14:textId="77777777" w:rsidR="00A76274" w:rsidRDefault="00000000">
      <w:pPr>
        <w:pStyle w:val="Heading3"/>
      </w:pPr>
      <w:bookmarkStart w:id="10" w:name="age-and-probability-of-employment"/>
      <w:bookmarkEnd w:id="8"/>
      <w:r>
        <w:t>Age and Probability of Employment</w:t>
      </w:r>
    </w:p>
    <w:p w14:paraId="1B847C11" w14:textId="77777777" w:rsidR="00A76274" w:rsidRDefault="00000000">
      <w:pPr>
        <w:pStyle w:val="FirstParagraph"/>
      </w:pPr>
      <w:r>
        <w:t xml:space="preserve">Given the significant role of age differences in the baseline probability of employment, it is worthwhile to explore its effect in more detail. </w:t>
      </w:r>
      <w:hyperlink w:anchor="fig-age">
        <w:r>
          <w:rPr>
            <w:rStyle w:val="Hyperlink"/>
          </w:rPr>
          <w:t>Figure 2</w:t>
        </w:r>
      </w:hyperlink>
      <w:r>
        <w:t xml:space="preserve"> visualizes the effect of age on the predicted probability of employment by sex based on the baseline mixed-effects model. As the primary interest lies in exploring at which age young women and men with higher education (i.e., maximized human capital) are most likely to find a job, the plot visualizes the effects not at the model constant, but in a conditional manner, for youth aged 21-29 who live in urban areas, belong to the third quintile by household income per capita (i.e., 41-60th percentiles), currently do not study, and have a higher education degree completed. The lower bound of age, namely, 21, was chosen as it corresponds to the theoretical age of obtaining a bachelor’s degree in accordance with the Russian education system. The plot visualizes the effects calculated from model 2 in </w:t>
      </w:r>
      <w:hyperlink w:anchor="tbl-regs-mem-fixed">
        <w:r>
          <w:rPr>
            <w:rStyle w:val="Hyperlink"/>
          </w:rPr>
          <w:t>Table 4</w:t>
        </w:r>
      </w:hyperlink>
      <w:r>
        <w:t>.</w:t>
      </w:r>
    </w:p>
    <w:p w14:paraId="449851A5" w14:textId="77777777" w:rsidR="00A76274" w:rsidRDefault="00000000">
      <w:pPr>
        <w:pStyle w:val="BodyText"/>
      </w:pPr>
      <w:r>
        <w:t>As shown in the plot, probability of completing transition from school to work peaks at 26 years old marking the age when most young people find a job. In other words, the years after completing a higher education degree could be quite challenging for young people, as the gap between completing a higher education degree and the age when the likelihood of being employed peaks accounts for 5 years.</w:t>
      </w:r>
    </w:p>
    <w:tbl>
      <w:tblPr>
        <w:tblStyle w:val="Table"/>
        <w:tblW w:w="5000" w:type="pct"/>
        <w:tblLayout w:type="fixed"/>
        <w:tblLook w:val="0000" w:firstRow="0" w:lastRow="0" w:firstColumn="0" w:lastColumn="0" w:noHBand="0" w:noVBand="0"/>
      </w:tblPr>
      <w:tblGrid>
        <w:gridCol w:w="9360"/>
      </w:tblGrid>
      <w:tr w:rsidR="00A76274" w14:paraId="5EBF3E15" w14:textId="77777777">
        <w:tc>
          <w:tcPr>
            <w:tcW w:w="7920" w:type="dxa"/>
          </w:tcPr>
          <w:p w14:paraId="22810CFF" w14:textId="77777777" w:rsidR="00A76274" w:rsidRDefault="00000000">
            <w:pPr>
              <w:pStyle w:val="Compact"/>
              <w:jc w:val="center"/>
            </w:pPr>
            <w:bookmarkStart w:id="11" w:name="fig-age"/>
            <w:r>
              <w:rPr>
                <w:noProof/>
              </w:rPr>
              <w:lastRenderedPageBreak/>
              <w:drawing>
                <wp:inline distT="0" distB="0" distL="0" distR="0" wp14:anchorId="6FC59FF9" wp14:editId="0B9712FD">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wt-ncs_files/figure-docx/fig-age-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BDC553F" w14:textId="77777777" w:rsidR="00A76274" w:rsidRDefault="00000000">
            <w:pPr>
              <w:pStyle w:val="ImageCaption"/>
              <w:spacing w:before="200"/>
            </w:pPr>
            <w:r>
              <w:t>Figure 2: Predicted Probability of Age (Random Intercept Term) on Employment by Sex, Baseline Mixed-Effects Model</w:t>
            </w:r>
          </w:p>
        </w:tc>
        <w:bookmarkEnd w:id="11"/>
      </w:tr>
    </w:tbl>
    <w:p w14:paraId="69BD908E" w14:textId="77777777" w:rsidR="00A76274" w:rsidRDefault="00000000">
      <w:pPr>
        <w:pStyle w:val="Heading3"/>
      </w:pPr>
      <w:bookmarkStart w:id="12" w:name="X56aeedaea14b2e13aee1fb370c3debaf403fe90"/>
      <w:bookmarkEnd w:id="10"/>
      <w:r>
        <w:t>Effect of Non-Cognitive Skills on Employment</w:t>
      </w:r>
    </w:p>
    <w:p w14:paraId="285F8B21" w14:textId="77777777" w:rsidR="00A76274" w:rsidRDefault="00000000">
      <w:pPr>
        <w:pStyle w:val="FirstParagraph"/>
      </w:pPr>
      <w:r>
        <w:t xml:space="preserve">While this study focuses on the effect of non-cognitive skills on the employment of youth, it cannot ignore the other determinants of employment that are also associated with non-cognitive skills. </w:t>
      </w:r>
      <w:hyperlink w:anchor="tbl-regs-mem-fixed">
        <w:r>
          <w:rPr>
            <w:rStyle w:val="Hyperlink"/>
          </w:rPr>
          <w:t>Table 4</w:t>
        </w:r>
      </w:hyperlink>
      <w:r>
        <w:t xml:space="preserve"> summarizes 3 mixed-effects models carried out to inform the analysis in this study. As previously noted, the first, baseline model, incorporates only random intercept terms for age, individual ID, and region. Second model is the model with socio-demographic controls in the fixed (non-varying) part, which are gender, current education attendance, completed level of education, household income per capita quintile in the beginning of the transition (i.e., when a respondent was 15 or 15 years old), and area of residence. Finally, the third model supplements the second one with the effects of non-cognitive skills, namely, openness, conscientiousness, extraversion, agreeableness, and emotional stability.</w:t>
      </w:r>
    </w:p>
    <w:p w14:paraId="746927E8" w14:textId="77777777" w:rsidR="00A76274" w:rsidRDefault="00000000">
      <w:pPr>
        <w:pStyle w:val="BodyText"/>
      </w:pPr>
      <w:r>
        <w:t xml:space="preserve">Before coming to the interpretation of the coefficients, it makes sense to explore the variance of the models. While the variance components of the first model were considered in one of the previous sections (and the SD components of the model were converted into the shares of variance in </w:t>
      </w:r>
      <w:hyperlink w:anchor="tbl-vpc">
        <w:r>
          <w:rPr>
            <w:rStyle w:val="Hyperlink"/>
          </w:rPr>
          <w:t>Table 3</w:t>
        </w:r>
      </w:hyperlink>
      <w:r>
        <w:t xml:space="preserve">), the comparison of the second and third model allows for </w:t>
      </w:r>
      <w:r>
        <w:lastRenderedPageBreak/>
        <w:t>estimating the share of variance that is contributed by inclusion into the model of five non-cognitive skills. As such, marginal R squared, being a measure of variance explained by the fixed (non-varying) part, suggests that non-cognitive skills explain more than 1.5% of variation in transition from school to work.</w:t>
      </w:r>
    </w:p>
    <w:p w14:paraId="012CF4F5" w14:textId="77777777" w:rsidR="00A76274" w:rsidRDefault="00000000">
      <w:pPr>
        <w:pStyle w:val="BodyText"/>
      </w:pPr>
      <w:r>
        <w:t>When in comes to the effects of socio-demographic variables, the model did not identify statistically significant effect of sex on success of transition from school to work. Though initially counterintuitive, it needs to be taken into account that this analysis does not go beyond a fact of employment, i.e., the qualitative characteristics of the job, such as labor conditions and remuneration, are not taken into account. Area of residence also does not produce statistically significant effect on success of transition. On the opposite, highest level of education completed has robust effect across both models, with higher levels of education being associated with the increased probability of finding a job. Importantly, in the model with non-cognitive skills, the effects of education are getting reduced, meaning that the effects of non-cognitive skills were partially attributed to education in the model with only socio-demographic controls. Further, current attendance of education reduces the probability of employment by more that 14% in both models. Finally, socio-economic status at the beginning of the transition has a significant and positive effect, emphasizing the importance of initial conditions and social mileu: as such, belonging to the top 20% of families by household income per capita at the age of 15 or 16 years old increases the probability of successful transition from school to work by almost 4%.</w:t>
      </w:r>
    </w:p>
    <w:p w14:paraId="34BE1047" w14:textId="77777777" w:rsidR="00A76274" w:rsidRDefault="00000000">
      <w:pPr>
        <w:pStyle w:val="BodyText"/>
      </w:pPr>
      <w:r>
        <w:t>When it comes to non-cognitive skills, conscientiousness and extraversion appear as two major traits that have a significant and positive effect on employment, with conscientiousness increasing the success of school-to-work transition by 4.2%, and extraversion by 1.5%.</w:t>
      </w:r>
    </w:p>
    <w:tbl>
      <w:tblPr>
        <w:tblStyle w:val="Table"/>
        <w:tblW w:w="5000" w:type="pct"/>
        <w:tblLayout w:type="fixed"/>
        <w:tblLook w:val="0000" w:firstRow="0" w:lastRow="0" w:firstColumn="0" w:lastColumn="0" w:noHBand="0" w:noVBand="0"/>
      </w:tblPr>
      <w:tblGrid>
        <w:gridCol w:w="9360"/>
      </w:tblGrid>
      <w:tr w:rsidR="00A76274" w14:paraId="1EE292CF" w14:textId="77777777">
        <w:tc>
          <w:tcPr>
            <w:tcW w:w="7920" w:type="dxa"/>
          </w:tcPr>
          <w:p w14:paraId="7A835340" w14:textId="77777777" w:rsidR="00A76274" w:rsidRDefault="00000000">
            <w:pPr>
              <w:pStyle w:val="ImageCaption"/>
              <w:spacing w:before="200"/>
            </w:pPr>
            <w:bookmarkStart w:id="13" w:name="tbl-regs-mem-fixed"/>
            <w:r>
              <w:t>Table 4: Fixed-Effect (Non-Varying) Coefficients of Mixed-Effects Models with Random Intercept Terms for Age, Individual ID, and Region: (1) Baseline Model (Only Random Terms), (2) Model with Random Intercept Terms and Non-Cognitive Skills, (3) Model with Random Intercept Terms, Non-Cognitive Skills, and Controls</w:t>
            </w:r>
          </w:p>
          <w:tbl>
            <w:tblPr>
              <w:tblStyle w:val="Table"/>
              <w:tblW w:w="9419" w:type="dxa"/>
              <w:jc w:val="center"/>
              <w:tblCellMar>
                <w:left w:w="60" w:type="dxa"/>
                <w:right w:w="60" w:type="dxa"/>
              </w:tblCellMar>
              <w:tblLook w:val="0000" w:firstRow="0" w:lastRow="0" w:firstColumn="0" w:lastColumn="0" w:noHBand="0" w:noVBand="0"/>
            </w:tblPr>
            <w:tblGrid>
              <w:gridCol w:w="5069"/>
              <w:gridCol w:w="1450"/>
              <w:gridCol w:w="1450"/>
              <w:gridCol w:w="1450"/>
            </w:tblGrid>
            <w:tr w:rsidR="000C6231" w14:paraId="09CA6115" w14:textId="77777777" w:rsidTr="000C6231">
              <w:trPr>
                <w:cantSplit/>
                <w:tblHeader/>
                <w:jc w:val="center"/>
              </w:trPr>
              <w:tc>
                <w:tcPr>
                  <w:tcW w:w="5069" w:type="dxa"/>
                </w:tcPr>
                <w:p w14:paraId="1B1DB354" w14:textId="77777777" w:rsidR="00A76274" w:rsidRDefault="00A76274">
                  <w:pPr>
                    <w:keepNext/>
                    <w:spacing w:after="60"/>
                  </w:pPr>
                </w:p>
              </w:tc>
              <w:tc>
                <w:tcPr>
                  <w:tcW w:w="1450" w:type="dxa"/>
                  <w:tcBorders>
                    <w:top w:val="single" w:sz="16" w:space="0" w:color="D3D3D3"/>
                    <w:bottom w:val="single" w:sz="16" w:space="0" w:color="D3D3D3"/>
                  </w:tcBorders>
                </w:tcPr>
                <w:p w14:paraId="5D755CFA" w14:textId="77777777" w:rsidR="00A76274" w:rsidRDefault="00000000">
                  <w:pPr>
                    <w:keepNext/>
                    <w:spacing w:after="60"/>
                    <w:jc w:val="center"/>
                  </w:pPr>
                  <w:r>
                    <w:rPr>
                      <w:rFonts w:ascii="Calibri" w:hAnsi="Calibri"/>
                      <w:sz w:val="20"/>
                    </w:rPr>
                    <w:t>Baseline Model</w:t>
                  </w:r>
                </w:p>
              </w:tc>
              <w:tc>
                <w:tcPr>
                  <w:tcW w:w="1450" w:type="dxa"/>
                  <w:tcBorders>
                    <w:top w:val="single" w:sz="16" w:space="0" w:color="D3D3D3"/>
                    <w:bottom w:val="single" w:sz="16" w:space="0" w:color="D3D3D3"/>
                  </w:tcBorders>
                </w:tcPr>
                <w:p w14:paraId="7A7CDD40" w14:textId="77777777" w:rsidR="00A76274" w:rsidRDefault="00000000">
                  <w:pPr>
                    <w:keepNext/>
                    <w:spacing w:after="60"/>
                    <w:jc w:val="center"/>
                  </w:pPr>
                  <w:r>
                    <w:rPr>
                      <w:rFonts w:ascii="Calibri" w:hAnsi="Calibri"/>
                      <w:sz w:val="20"/>
                    </w:rPr>
                    <w:t>Model with NCS</w:t>
                  </w:r>
                </w:p>
              </w:tc>
              <w:tc>
                <w:tcPr>
                  <w:tcW w:w="1450" w:type="dxa"/>
                </w:tcPr>
                <w:p w14:paraId="2340D8D0" w14:textId="77777777" w:rsidR="00A76274" w:rsidRDefault="00000000">
                  <w:pPr>
                    <w:keepNext/>
                    <w:spacing w:after="60"/>
                    <w:jc w:val="center"/>
                  </w:pPr>
                  <w:r>
                    <w:rPr>
                      <w:rFonts w:ascii="Calibri" w:hAnsi="Calibri"/>
                      <w:sz w:val="20"/>
                    </w:rPr>
                    <w:t>Model with NCS and controls</w:t>
                  </w:r>
                </w:p>
              </w:tc>
            </w:tr>
            <w:tr w:rsidR="000C6231" w14:paraId="1DECE6BA" w14:textId="77777777" w:rsidTr="000C6231">
              <w:trPr>
                <w:cantSplit/>
                <w:jc w:val="center"/>
              </w:trPr>
              <w:tc>
                <w:tcPr>
                  <w:tcW w:w="5069" w:type="dxa"/>
                </w:tcPr>
                <w:p w14:paraId="33FB1AFA" w14:textId="77777777" w:rsidR="00A76274" w:rsidRDefault="00000000">
                  <w:pPr>
                    <w:keepNext/>
                    <w:spacing w:after="60"/>
                  </w:pPr>
                  <w:r>
                    <w:rPr>
                      <w:rFonts w:ascii="Calibri" w:hAnsi="Calibri"/>
                      <w:sz w:val="20"/>
                    </w:rPr>
                    <w:t>Intercept</w:t>
                  </w:r>
                </w:p>
              </w:tc>
              <w:tc>
                <w:tcPr>
                  <w:tcW w:w="1450" w:type="dxa"/>
                </w:tcPr>
                <w:p w14:paraId="4346B313" w14:textId="77777777" w:rsidR="00A76274" w:rsidRDefault="00000000">
                  <w:pPr>
                    <w:keepNext/>
                    <w:spacing w:after="60"/>
                    <w:jc w:val="center"/>
                  </w:pPr>
                  <w:r>
                    <w:rPr>
                      <w:rFonts w:ascii="Calibri" w:hAnsi="Calibri"/>
                      <w:sz w:val="20"/>
                    </w:rPr>
                    <w:t>0.395</w:t>
                  </w:r>
                </w:p>
              </w:tc>
              <w:tc>
                <w:tcPr>
                  <w:tcW w:w="1450" w:type="dxa"/>
                </w:tcPr>
                <w:p w14:paraId="0A50B9F8" w14:textId="77777777" w:rsidR="00A76274" w:rsidRDefault="00000000">
                  <w:pPr>
                    <w:keepNext/>
                    <w:spacing w:after="60"/>
                    <w:jc w:val="center"/>
                  </w:pPr>
                  <w:r>
                    <w:rPr>
                      <w:rFonts w:ascii="Calibri" w:hAnsi="Calibri"/>
                      <w:sz w:val="20"/>
                    </w:rPr>
                    <w:t>0.287</w:t>
                  </w:r>
                </w:p>
              </w:tc>
              <w:tc>
                <w:tcPr>
                  <w:tcW w:w="1450" w:type="dxa"/>
                </w:tcPr>
                <w:p w14:paraId="55FB1F4E" w14:textId="77777777" w:rsidR="00A76274" w:rsidRDefault="00000000">
                  <w:pPr>
                    <w:keepNext/>
                    <w:spacing w:after="60"/>
                    <w:jc w:val="center"/>
                  </w:pPr>
                  <w:r>
                    <w:rPr>
                      <w:rFonts w:ascii="Calibri" w:hAnsi="Calibri"/>
                      <w:sz w:val="20"/>
                    </w:rPr>
                    <w:t>0.299</w:t>
                  </w:r>
                </w:p>
              </w:tc>
            </w:tr>
            <w:tr w:rsidR="000C6231" w14:paraId="4A101E43" w14:textId="77777777" w:rsidTr="000C6231">
              <w:trPr>
                <w:cantSplit/>
                <w:jc w:val="center"/>
              </w:trPr>
              <w:tc>
                <w:tcPr>
                  <w:tcW w:w="5069" w:type="dxa"/>
                </w:tcPr>
                <w:p w14:paraId="245C3CEC" w14:textId="77777777" w:rsidR="00A76274" w:rsidRDefault="00A76274">
                  <w:pPr>
                    <w:keepNext/>
                    <w:spacing w:after="60"/>
                  </w:pPr>
                </w:p>
              </w:tc>
              <w:tc>
                <w:tcPr>
                  <w:tcW w:w="1450" w:type="dxa"/>
                </w:tcPr>
                <w:p w14:paraId="0199EAED" w14:textId="77777777" w:rsidR="00A76274" w:rsidRDefault="00000000">
                  <w:pPr>
                    <w:keepNext/>
                    <w:spacing w:after="60"/>
                    <w:jc w:val="center"/>
                  </w:pPr>
                  <w:r>
                    <w:rPr>
                      <w:rFonts w:ascii="Calibri" w:hAnsi="Calibri"/>
                      <w:sz w:val="20"/>
                    </w:rPr>
                    <w:t>(0.070) ***</w:t>
                  </w:r>
                </w:p>
              </w:tc>
              <w:tc>
                <w:tcPr>
                  <w:tcW w:w="1450" w:type="dxa"/>
                </w:tcPr>
                <w:p w14:paraId="08D63AA0" w14:textId="77777777" w:rsidR="00A76274" w:rsidRDefault="00000000">
                  <w:pPr>
                    <w:keepNext/>
                    <w:spacing w:after="60"/>
                    <w:jc w:val="center"/>
                  </w:pPr>
                  <w:r>
                    <w:rPr>
                      <w:rFonts w:ascii="Calibri" w:hAnsi="Calibri"/>
                      <w:sz w:val="20"/>
                    </w:rPr>
                    <w:t>(0.040) ***</w:t>
                  </w:r>
                </w:p>
              </w:tc>
              <w:tc>
                <w:tcPr>
                  <w:tcW w:w="1450" w:type="dxa"/>
                </w:tcPr>
                <w:p w14:paraId="1D93CC44" w14:textId="77777777" w:rsidR="00A76274" w:rsidRDefault="00000000">
                  <w:pPr>
                    <w:keepNext/>
                    <w:spacing w:after="60"/>
                    <w:jc w:val="center"/>
                  </w:pPr>
                  <w:r>
                    <w:rPr>
                      <w:rFonts w:ascii="Calibri" w:hAnsi="Calibri"/>
                      <w:sz w:val="20"/>
                    </w:rPr>
                    <w:t>(0.039) ***</w:t>
                  </w:r>
                </w:p>
              </w:tc>
            </w:tr>
            <w:tr w:rsidR="000C6231" w14:paraId="4999FEA1" w14:textId="77777777" w:rsidTr="000C6231">
              <w:trPr>
                <w:cantSplit/>
                <w:jc w:val="center"/>
              </w:trPr>
              <w:tc>
                <w:tcPr>
                  <w:tcW w:w="5069" w:type="dxa"/>
                </w:tcPr>
                <w:p w14:paraId="6765D275" w14:textId="77777777" w:rsidR="00A76274" w:rsidRDefault="00000000">
                  <w:pPr>
                    <w:keepNext/>
                    <w:spacing w:after="60"/>
                  </w:pPr>
                  <w:r>
                    <w:rPr>
                      <w:rFonts w:ascii="Calibri" w:hAnsi="Calibri"/>
                      <w:sz w:val="20"/>
                    </w:rPr>
                    <w:t>Sex: Male</w:t>
                  </w:r>
                </w:p>
              </w:tc>
              <w:tc>
                <w:tcPr>
                  <w:tcW w:w="1450" w:type="dxa"/>
                </w:tcPr>
                <w:p w14:paraId="4847BA21" w14:textId="77777777" w:rsidR="00A76274" w:rsidRDefault="00A76274">
                  <w:pPr>
                    <w:keepNext/>
                    <w:spacing w:after="60"/>
                    <w:jc w:val="center"/>
                  </w:pPr>
                </w:p>
              </w:tc>
              <w:tc>
                <w:tcPr>
                  <w:tcW w:w="1450" w:type="dxa"/>
                </w:tcPr>
                <w:p w14:paraId="02BC65D9" w14:textId="77777777" w:rsidR="00A76274" w:rsidRDefault="00000000">
                  <w:pPr>
                    <w:keepNext/>
                    <w:spacing w:after="60"/>
                    <w:jc w:val="center"/>
                  </w:pPr>
                  <w:r>
                    <w:rPr>
                      <w:rFonts w:ascii="Calibri" w:hAnsi="Calibri"/>
                      <w:sz w:val="20"/>
                    </w:rPr>
                    <w:t>-0.004</w:t>
                  </w:r>
                </w:p>
              </w:tc>
              <w:tc>
                <w:tcPr>
                  <w:tcW w:w="1450" w:type="dxa"/>
                </w:tcPr>
                <w:p w14:paraId="109BF1DA" w14:textId="77777777" w:rsidR="00A76274" w:rsidRDefault="00000000">
                  <w:pPr>
                    <w:keepNext/>
                    <w:spacing w:after="60"/>
                    <w:jc w:val="center"/>
                  </w:pPr>
                  <w:r>
                    <w:rPr>
                      <w:rFonts w:ascii="Calibri" w:hAnsi="Calibri"/>
                      <w:sz w:val="20"/>
                    </w:rPr>
                    <w:t>-0.001</w:t>
                  </w:r>
                </w:p>
              </w:tc>
            </w:tr>
            <w:tr w:rsidR="000C6231" w14:paraId="64C7D8D9" w14:textId="77777777" w:rsidTr="000C6231">
              <w:trPr>
                <w:cantSplit/>
                <w:jc w:val="center"/>
              </w:trPr>
              <w:tc>
                <w:tcPr>
                  <w:tcW w:w="5069" w:type="dxa"/>
                </w:tcPr>
                <w:p w14:paraId="33CA4D71" w14:textId="77777777" w:rsidR="00A76274" w:rsidRDefault="00A76274">
                  <w:pPr>
                    <w:keepNext/>
                    <w:spacing w:after="60"/>
                  </w:pPr>
                </w:p>
              </w:tc>
              <w:tc>
                <w:tcPr>
                  <w:tcW w:w="1450" w:type="dxa"/>
                </w:tcPr>
                <w:p w14:paraId="7309B18D" w14:textId="77777777" w:rsidR="00A76274" w:rsidRDefault="00A76274">
                  <w:pPr>
                    <w:keepNext/>
                    <w:spacing w:after="60"/>
                    <w:jc w:val="center"/>
                  </w:pPr>
                </w:p>
              </w:tc>
              <w:tc>
                <w:tcPr>
                  <w:tcW w:w="1450" w:type="dxa"/>
                </w:tcPr>
                <w:p w14:paraId="55ED75B1" w14:textId="77777777" w:rsidR="00A76274" w:rsidRDefault="00000000">
                  <w:pPr>
                    <w:keepNext/>
                    <w:spacing w:after="60"/>
                    <w:jc w:val="center"/>
                  </w:pPr>
                  <w:r>
                    <w:rPr>
                      <w:rFonts w:ascii="Calibri" w:hAnsi="Calibri"/>
                      <w:sz w:val="20"/>
                    </w:rPr>
                    <w:t>(0.011)</w:t>
                  </w:r>
                </w:p>
              </w:tc>
              <w:tc>
                <w:tcPr>
                  <w:tcW w:w="1450" w:type="dxa"/>
                </w:tcPr>
                <w:p w14:paraId="11C8F0BA" w14:textId="77777777" w:rsidR="00A76274" w:rsidRDefault="00000000">
                  <w:pPr>
                    <w:keepNext/>
                    <w:spacing w:after="60"/>
                    <w:jc w:val="center"/>
                  </w:pPr>
                  <w:r>
                    <w:rPr>
                      <w:rFonts w:ascii="Calibri" w:hAnsi="Calibri"/>
                      <w:sz w:val="20"/>
                    </w:rPr>
                    <w:t>(0.011)</w:t>
                  </w:r>
                </w:p>
              </w:tc>
            </w:tr>
            <w:tr w:rsidR="000C6231" w14:paraId="47EE64E3" w14:textId="77777777" w:rsidTr="000C6231">
              <w:trPr>
                <w:cantSplit/>
                <w:jc w:val="center"/>
              </w:trPr>
              <w:tc>
                <w:tcPr>
                  <w:tcW w:w="5069" w:type="dxa"/>
                </w:tcPr>
                <w:p w14:paraId="61D6EF65" w14:textId="77777777" w:rsidR="00A76274" w:rsidRDefault="00000000">
                  <w:pPr>
                    <w:keepNext/>
                    <w:spacing w:after="60"/>
                  </w:pPr>
                  <w:r>
                    <w:rPr>
                      <w:rFonts w:ascii="Calibri" w:hAnsi="Calibri"/>
                      <w:sz w:val="20"/>
                    </w:rPr>
                    <w:t>Education: Secondary</w:t>
                  </w:r>
                </w:p>
              </w:tc>
              <w:tc>
                <w:tcPr>
                  <w:tcW w:w="1450" w:type="dxa"/>
                </w:tcPr>
                <w:p w14:paraId="0DAAEB7B" w14:textId="77777777" w:rsidR="00A76274" w:rsidRDefault="00A76274">
                  <w:pPr>
                    <w:keepNext/>
                    <w:spacing w:after="60"/>
                    <w:jc w:val="center"/>
                  </w:pPr>
                </w:p>
              </w:tc>
              <w:tc>
                <w:tcPr>
                  <w:tcW w:w="1450" w:type="dxa"/>
                </w:tcPr>
                <w:p w14:paraId="711895D6" w14:textId="77777777" w:rsidR="00A76274" w:rsidRDefault="00000000">
                  <w:pPr>
                    <w:keepNext/>
                    <w:spacing w:after="60"/>
                    <w:jc w:val="center"/>
                  </w:pPr>
                  <w:r>
                    <w:rPr>
                      <w:rFonts w:ascii="Calibri" w:hAnsi="Calibri"/>
                      <w:sz w:val="20"/>
                    </w:rPr>
                    <w:t>0.115</w:t>
                  </w:r>
                </w:p>
              </w:tc>
              <w:tc>
                <w:tcPr>
                  <w:tcW w:w="1450" w:type="dxa"/>
                </w:tcPr>
                <w:p w14:paraId="57392FDF" w14:textId="77777777" w:rsidR="00A76274" w:rsidRDefault="00000000">
                  <w:pPr>
                    <w:keepNext/>
                    <w:spacing w:after="60"/>
                    <w:jc w:val="center"/>
                  </w:pPr>
                  <w:r>
                    <w:rPr>
                      <w:rFonts w:ascii="Calibri" w:hAnsi="Calibri"/>
                      <w:sz w:val="20"/>
                    </w:rPr>
                    <w:t>0.108</w:t>
                  </w:r>
                </w:p>
              </w:tc>
            </w:tr>
            <w:tr w:rsidR="000C6231" w14:paraId="4334DB8C" w14:textId="77777777" w:rsidTr="000C6231">
              <w:trPr>
                <w:cantSplit/>
                <w:jc w:val="center"/>
              </w:trPr>
              <w:tc>
                <w:tcPr>
                  <w:tcW w:w="5069" w:type="dxa"/>
                </w:tcPr>
                <w:p w14:paraId="1FA1415E" w14:textId="77777777" w:rsidR="00A76274" w:rsidRDefault="00A76274">
                  <w:pPr>
                    <w:keepNext/>
                    <w:spacing w:after="60"/>
                  </w:pPr>
                </w:p>
              </w:tc>
              <w:tc>
                <w:tcPr>
                  <w:tcW w:w="1450" w:type="dxa"/>
                </w:tcPr>
                <w:p w14:paraId="08557204" w14:textId="77777777" w:rsidR="00A76274" w:rsidRDefault="00A76274">
                  <w:pPr>
                    <w:keepNext/>
                    <w:spacing w:after="60"/>
                    <w:jc w:val="center"/>
                  </w:pPr>
                </w:p>
              </w:tc>
              <w:tc>
                <w:tcPr>
                  <w:tcW w:w="1450" w:type="dxa"/>
                </w:tcPr>
                <w:p w14:paraId="5103C623" w14:textId="77777777" w:rsidR="00A76274" w:rsidRDefault="00000000">
                  <w:pPr>
                    <w:keepNext/>
                    <w:spacing w:after="60"/>
                    <w:jc w:val="center"/>
                  </w:pPr>
                  <w:r>
                    <w:rPr>
                      <w:rFonts w:ascii="Calibri" w:hAnsi="Calibri"/>
                      <w:sz w:val="20"/>
                    </w:rPr>
                    <w:t>(0.018) ***</w:t>
                  </w:r>
                </w:p>
              </w:tc>
              <w:tc>
                <w:tcPr>
                  <w:tcW w:w="1450" w:type="dxa"/>
                </w:tcPr>
                <w:p w14:paraId="18D51FE2" w14:textId="77777777" w:rsidR="00A76274" w:rsidRDefault="00000000">
                  <w:pPr>
                    <w:keepNext/>
                    <w:spacing w:after="60"/>
                    <w:jc w:val="center"/>
                  </w:pPr>
                  <w:r>
                    <w:rPr>
                      <w:rFonts w:ascii="Calibri" w:hAnsi="Calibri"/>
                      <w:sz w:val="20"/>
                    </w:rPr>
                    <w:t>(0.018) ***</w:t>
                  </w:r>
                </w:p>
              </w:tc>
            </w:tr>
            <w:tr w:rsidR="000C6231" w14:paraId="3F1FC052" w14:textId="77777777" w:rsidTr="000C6231">
              <w:trPr>
                <w:cantSplit/>
                <w:jc w:val="center"/>
              </w:trPr>
              <w:tc>
                <w:tcPr>
                  <w:tcW w:w="5069" w:type="dxa"/>
                </w:tcPr>
                <w:p w14:paraId="5DD75769" w14:textId="77777777" w:rsidR="00A76274" w:rsidRDefault="00000000">
                  <w:pPr>
                    <w:keepNext/>
                    <w:spacing w:after="60"/>
                  </w:pPr>
                  <w:r>
                    <w:rPr>
                      <w:rFonts w:ascii="Calibri" w:hAnsi="Calibri"/>
                      <w:sz w:val="20"/>
                    </w:rPr>
                    <w:t>Education: Vocational</w:t>
                  </w:r>
                </w:p>
              </w:tc>
              <w:tc>
                <w:tcPr>
                  <w:tcW w:w="1450" w:type="dxa"/>
                </w:tcPr>
                <w:p w14:paraId="294130E9" w14:textId="77777777" w:rsidR="00A76274" w:rsidRDefault="00A76274">
                  <w:pPr>
                    <w:keepNext/>
                    <w:spacing w:after="60"/>
                    <w:jc w:val="center"/>
                  </w:pPr>
                </w:p>
              </w:tc>
              <w:tc>
                <w:tcPr>
                  <w:tcW w:w="1450" w:type="dxa"/>
                </w:tcPr>
                <w:p w14:paraId="44FE2559" w14:textId="77777777" w:rsidR="00A76274" w:rsidRDefault="00000000">
                  <w:pPr>
                    <w:keepNext/>
                    <w:spacing w:after="60"/>
                    <w:jc w:val="center"/>
                  </w:pPr>
                  <w:r>
                    <w:rPr>
                      <w:rFonts w:ascii="Calibri" w:hAnsi="Calibri"/>
                      <w:sz w:val="20"/>
                    </w:rPr>
                    <w:t>0.168</w:t>
                  </w:r>
                </w:p>
              </w:tc>
              <w:tc>
                <w:tcPr>
                  <w:tcW w:w="1450" w:type="dxa"/>
                </w:tcPr>
                <w:p w14:paraId="64EBA4D7" w14:textId="77777777" w:rsidR="00A76274" w:rsidRDefault="00000000">
                  <w:pPr>
                    <w:keepNext/>
                    <w:spacing w:after="60"/>
                    <w:jc w:val="center"/>
                  </w:pPr>
                  <w:r>
                    <w:rPr>
                      <w:rFonts w:ascii="Calibri" w:hAnsi="Calibri"/>
                      <w:sz w:val="20"/>
                    </w:rPr>
                    <w:t>0.160</w:t>
                  </w:r>
                </w:p>
              </w:tc>
            </w:tr>
            <w:tr w:rsidR="000C6231" w14:paraId="549E4D2F" w14:textId="77777777" w:rsidTr="000C6231">
              <w:trPr>
                <w:cantSplit/>
                <w:jc w:val="center"/>
              </w:trPr>
              <w:tc>
                <w:tcPr>
                  <w:tcW w:w="5069" w:type="dxa"/>
                </w:tcPr>
                <w:p w14:paraId="4021D910" w14:textId="77777777" w:rsidR="00A76274" w:rsidRDefault="00A76274">
                  <w:pPr>
                    <w:keepNext/>
                    <w:spacing w:after="60"/>
                  </w:pPr>
                </w:p>
              </w:tc>
              <w:tc>
                <w:tcPr>
                  <w:tcW w:w="1450" w:type="dxa"/>
                </w:tcPr>
                <w:p w14:paraId="6D911B65" w14:textId="77777777" w:rsidR="00A76274" w:rsidRDefault="00A76274">
                  <w:pPr>
                    <w:keepNext/>
                    <w:spacing w:after="60"/>
                    <w:jc w:val="center"/>
                  </w:pPr>
                </w:p>
              </w:tc>
              <w:tc>
                <w:tcPr>
                  <w:tcW w:w="1450" w:type="dxa"/>
                </w:tcPr>
                <w:p w14:paraId="72D4D0B3" w14:textId="77777777" w:rsidR="00A76274" w:rsidRDefault="00000000">
                  <w:pPr>
                    <w:keepNext/>
                    <w:spacing w:after="60"/>
                    <w:jc w:val="center"/>
                  </w:pPr>
                  <w:r>
                    <w:rPr>
                      <w:rFonts w:ascii="Calibri" w:hAnsi="Calibri"/>
                      <w:sz w:val="20"/>
                    </w:rPr>
                    <w:t>(0.018) ***</w:t>
                  </w:r>
                </w:p>
              </w:tc>
              <w:tc>
                <w:tcPr>
                  <w:tcW w:w="1450" w:type="dxa"/>
                </w:tcPr>
                <w:p w14:paraId="69574927" w14:textId="77777777" w:rsidR="00A76274" w:rsidRDefault="00000000">
                  <w:pPr>
                    <w:keepNext/>
                    <w:spacing w:after="60"/>
                    <w:jc w:val="center"/>
                  </w:pPr>
                  <w:r>
                    <w:rPr>
                      <w:rFonts w:ascii="Calibri" w:hAnsi="Calibri"/>
                      <w:sz w:val="20"/>
                    </w:rPr>
                    <w:t>(0.018) ***</w:t>
                  </w:r>
                </w:p>
              </w:tc>
            </w:tr>
            <w:tr w:rsidR="000C6231" w14:paraId="7FD3B629" w14:textId="77777777" w:rsidTr="000C6231">
              <w:trPr>
                <w:cantSplit/>
                <w:jc w:val="center"/>
              </w:trPr>
              <w:tc>
                <w:tcPr>
                  <w:tcW w:w="5069" w:type="dxa"/>
                </w:tcPr>
                <w:p w14:paraId="5803F31E" w14:textId="77777777" w:rsidR="00A76274" w:rsidRDefault="00000000">
                  <w:pPr>
                    <w:keepNext/>
                    <w:spacing w:after="60"/>
                  </w:pPr>
                  <w:r>
                    <w:rPr>
                      <w:rFonts w:ascii="Calibri" w:hAnsi="Calibri"/>
                      <w:sz w:val="20"/>
                    </w:rPr>
                    <w:t>Education: Tertiary</w:t>
                  </w:r>
                </w:p>
              </w:tc>
              <w:tc>
                <w:tcPr>
                  <w:tcW w:w="1450" w:type="dxa"/>
                </w:tcPr>
                <w:p w14:paraId="2A92A715" w14:textId="77777777" w:rsidR="00A76274" w:rsidRDefault="00A76274">
                  <w:pPr>
                    <w:keepNext/>
                    <w:spacing w:after="60"/>
                    <w:jc w:val="center"/>
                  </w:pPr>
                </w:p>
              </w:tc>
              <w:tc>
                <w:tcPr>
                  <w:tcW w:w="1450" w:type="dxa"/>
                </w:tcPr>
                <w:p w14:paraId="57209AA8" w14:textId="77777777" w:rsidR="00A76274" w:rsidRDefault="00000000">
                  <w:pPr>
                    <w:keepNext/>
                    <w:spacing w:after="60"/>
                    <w:jc w:val="center"/>
                  </w:pPr>
                  <w:r>
                    <w:rPr>
                      <w:rFonts w:ascii="Calibri" w:hAnsi="Calibri"/>
                      <w:sz w:val="20"/>
                    </w:rPr>
                    <w:t>0.259</w:t>
                  </w:r>
                </w:p>
              </w:tc>
              <w:tc>
                <w:tcPr>
                  <w:tcW w:w="1450" w:type="dxa"/>
                </w:tcPr>
                <w:p w14:paraId="18DA0A8E" w14:textId="77777777" w:rsidR="00A76274" w:rsidRDefault="00000000">
                  <w:pPr>
                    <w:keepNext/>
                    <w:spacing w:after="60"/>
                    <w:jc w:val="center"/>
                  </w:pPr>
                  <w:r>
                    <w:rPr>
                      <w:rFonts w:ascii="Calibri" w:hAnsi="Calibri"/>
                      <w:sz w:val="20"/>
                    </w:rPr>
                    <w:t>0.251</w:t>
                  </w:r>
                </w:p>
              </w:tc>
            </w:tr>
            <w:tr w:rsidR="000C6231" w14:paraId="1BE06492" w14:textId="77777777" w:rsidTr="000C6231">
              <w:trPr>
                <w:cantSplit/>
                <w:jc w:val="center"/>
              </w:trPr>
              <w:tc>
                <w:tcPr>
                  <w:tcW w:w="5069" w:type="dxa"/>
                </w:tcPr>
                <w:p w14:paraId="78003528" w14:textId="77777777" w:rsidR="00A76274" w:rsidRDefault="00A76274">
                  <w:pPr>
                    <w:keepNext/>
                    <w:spacing w:after="60"/>
                  </w:pPr>
                </w:p>
              </w:tc>
              <w:tc>
                <w:tcPr>
                  <w:tcW w:w="1450" w:type="dxa"/>
                </w:tcPr>
                <w:p w14:paraId="3B043FE2" w14:textId="77777777" w:rsidR="00A76274" w:rsidRDefault="00A76274">
                  <w:pPr>
                    <w:keepNext/>
                    <w:spacing w:after="60"/>
                    <w:jc w:val="center"/>
                  </w:pPr>
                </w:p>
              </w:tc>
              <w:tc>
                <w:tcPr>
                  <w:tcW w:w="1450" w:type="dxa"/>
                </w:tcPr>
                <w:p w14:paraId="2D13A0C9" w14:textId="77777777" w:rsidR="00A76274" w:rsidRDefault="00000000">
                  <w:pPr>
                    <w:keepNext/>
                    <w:spacing w:after="60"/>
                    <w:jc w:val="center"/>
                  </w:pPr>
                  <w:r>
                    <w:rPr>
                      <w:rFonts w:ascii="Calibri" w:hAnsi="Calibri"/>
                      <w:sz w:val="20"/>
                    </w:rPr>
                    <w:t>(0.021) ***</w:t>
                  </w:r>
                </w:p>
              </w:tc>
              <w:tc>
                <w:tcPr>
                  <w:tcW w:w="1450" w:type="dxa"/>
                </w:tcPr>
                <w:p w14:paraId="650C1722" w14:textId="77777777" w:rsidR="00A76274" w:rsidRDefault="00000000">
                  <w:pPr>
                    <w:keepNext/>
                    <w:spacing w:after="60"/>
                    <w:jc w:val="center"/>
                  </w:pPr>
                  <w:r>
                    <w:rPr>
                      <w:rFonts w:ascii="Calibri" w:hAnsi="Calibri"/>
                      <w:sz w:val="20"/>
                    </w:rPr>
                    <w:t>(0.021) ***</w:t>
                  </w:r>
                </w:p>
              </w:tc>
            </w:tr>
            <w:tr w:rsidR="000C6231" w14:paraId="09A2F22E" w14:textId="77777777" w:rsidTr="000C6231">
              <w:trPr>
                <w:cantSplit/>
                <w:jc w:val="center"/>
              </w:trPr>
              <w:tc>
                <w:tcPr>
                  <w:tcW w:w="5069" w:type="dxa"/>
                </w:tcPr>
                <w:p w14:paraId="0A7EFA20" w14:textId="77777777" w:rsidR="00A76274" w:rsidRDefault="00000000">
                  <w:pPr>
                    <w:keepNext/>
                    <w:spacing w:after="60"/>
                  </w:pPr>
                  <w:r>
                    <w:rPr>
                      <w:rFonts w:ascii="Calibri" w:hAnsi="Calibri"/>
                      <w:sz w:val="20"/>
                    </w:rPr>
                    <w:t>Area: Urban-Type Settlement</w:t>
                  </w:r>
                </w:p>
              </w:tc>
              <w:tc>
                <w:tcPr>
                  <w:tcW w:w="1450" w:type="dxa"/>
                </w:tcPr>
                <w:p w14:paraId="444E633C" w14:textId="77777777" w:rsidR="00A76274" w:rsidRDefault="00A76274">
                  <w:pPr>
                    <w:keepNext/>
                    <w:spacing w:after="60"/>
                    <w:jc w:val="center"/>
                  </w:pPr>
                </w:p>
              </w:tc>
              <w:tc>
                <w:tcPr>
                  <w:tcW w:w="1450" w:type="dxa"/>
                </w:tcPr>
                <w:p w14:paraId="0E41C4D3" w14:textId="77777777" w:rsidR="00A76274" w:rsidRDefault="00000000">
                  <w:pPr>
                    <w:keepNext/>
                    <w:spacing w:after="60"/>
                    <w:jc w:val="center"/>
                  </w:pPr>
                  <w:r>
                    <w:rPr>
                      <w:rFonts w:ascii="Calibri" w:hAnsi="Calibri"/>
                      <w:sz w:val="20"/>
                    </w:rPr>
                    <w:t>0.016</w:t>
                  </w:r>
                </w:p>
              </w:tc>
              <w:tc>
                <w:tcPr>
                  <w:tcW w:w="1450" w:type="dxa"/>
                </w:tcPr>
                <w:p w14:paraId="0C2885D5" w14:textId="77777777" w:rsidR="00A76274" w:rsidRDefault="00000000">
                  <w:pPr>
                    <w:keepNext/>
                    <w:spacing w:after="60"/>
                    <w:jc w:val="center"/>
                  </w:pPr>
                  <w:r>
                    <w:rPr>
                      <w:rFonts w:ascii="Calibri" w:hAnsi="Calibri"/>
                      <w:sz w:val="20"/>
                    </w:rPr>
                    <w:t>0.015</w:t>
                  </w:r>
                </w:p>
              </w:tc>
            </w:tr>
            <w:tr w:rsidR="000C6231" w14:paraId="5794F0D9" w14:textId="77777777" w:rsidTr="000C6231">
              <w:trPr>
                <w:cantSplit/>
                <w:jc w:val="center"/>
              </w:trPr>
              <w:tc>
                <w:tcPr>
                  <w:tcW w:w="5069" w:type="dxa"/>
                </w:tcPr>
                <w:p w14:paraId="4B319239" w14:textId="77777777" w:rsidR="00A76274" w:rsidRDefault="00A76274">
                  <w:pPr>
                    <w:keepNext/>
                    <w:spacing w:after="60"/>
                  </w:pPr>
                </w:p>
              </w:tc>
              <w:tc>
                <w:tcPr>
                  <w:tcW w:w="1450" w:type="dxa"/>
                </w:tcPr>
                <w:p w14:paraId="47C3616F" w14:textId="77777777" w:rsidR="00A76274" w:rsidRDefault="00A76274">
                  <w:pPr>
                    <w:keepNext/>
                    <w:spacing w:after="60"/>
                    <w:jc w:val="center"/>
                  </w:pPr>
                </w:p>
              </w:tc>
              <w:tc>
                <w:tcPr>
                  <w:tcW w:w="1450" w:type="dxa"/>
                </w:tcPr>
                <w:p w14:paraId="2D7DB92A" w14:textId="77777777" w:rsidR="00A76274" w:rsidRDefault="00000000">
                  <w:pPr>
                    <w:keepNext/>
                    <w:spacing w:after="60"/>
                    <w:jc w:val="center"/>
                  </w:pPr>
                  <w:r>
                    <w:rPr>
                      <w:rFonts w:ascii="Calibri" w:hAnsi="Calibri"/>
                      <w:sz w:val="20"/>
                    </w:rPr>
                    <w:t>(0.028)</w:t>
                  </w:r>
                </w:p>
              </w:tc>
              <w:tc>
                <w:tcPr>
                  <w:tcW w:w="1450" w:type="dxa"/>
                </w:tcPr>
                <w:p w14:paraId="4B3551EE" w14:textId="77777777" w:rsidR="00A76274" w:rsidRDefault="00000000">
                  <w:pPr>
                    <w:keepNext/>
                    <w:spacing w:after="60"/>
                    <w:jc w:val="center"/>
                  </w:pPr>
                  <w:r>
                    <w:rPr>
                      <w:rFonts w:ascii="Calibri" w:hAnsi="Calibri"/>
                      <w:sz w:val="20"/>
                    </w:rPr>
                    <w:t>(0.028)</w:t>
                  </w:r>
                </w:p>
              </w:tc>
            </w:tr>
            <w:tr w:rsidR="000C6231" w14:paraId="306453DA" w14:textId="77777777" w:rsidTr="000C6231">
              <w:trPr>
                <w:cantSplit/>
                <w:jc w:val="center"/>
              </w:trPr>
              <w:tc>
                <w:tcPr>
                  <w:tcW w:w="5069" w:type="dxa"/>
                </w:tcPr>
                <w:p w14:paraId="07E8A96D" w14:textId="77777777" w:rsidR="00A76274" w:rsidRDefault="00000000">
                  <w:pPr>
                    <w:keepNext/>
                    <w:spacing w:after="60"/>
                  </w:pPr>
                  <w:r>
                    <w:rPr>
                      <w:rFonts w:ascii="Calibri" w:hAnsi="Calibri"/>
                      <w:sz w:val="20"/>
                    </w:rPr>
                    <w:t>Area: City</w:t>
                  </w:r>
                </w:p>
              </w:tc>
              <w:tc>
                <w:tcPr>
                  <w:tcW w:w="1450" w:type="dxa"/>
                </w:tcPr>
                <w:p w14:paraId="03B85FFE" w14:textId="77777777" w:rsidR="00A76274" w:rsidRDefault="00A76274">
                  <w:pPr>
                    <w:keepNext/>
                    <w:spacing w:after="60"/>
                    <w:jc w:val="center"/>
                  </w:pPr>
                </w:p>
              </w:tc>
              <w:tc>
                <w:tcPr>
                  <w:tcW w:w="1450" w:type="dxa"/>
                </w:tcPr>
                <w:p w14:paraId="534738E3" w14:textId="77777777" w:rsidR="00A76274" w:rsidRDefault="00000000">
                  <w:pPr>
                    <w:keepNext/>
                    <w:spacing w:after="60"/>
                    <w:jc w:val="center"/>
                  </w:pPr>
                  <w:r>
                    <w:rPr>
                      <w:rFonts w:ascii="Calibri" w:hAnsi="Calibri"/>
                      <w:sz w:val="20"/>
                    </w:rPr>
                    <w:t>0.011</w:t>
                  </w:r>
                </w:p>
              </w:tc>
              <w:tc>
                <w:tcPr>
                  <w:tcW w:w="1450" w:type="dxa"/>
                </w:tcPr>
                <w:p w14:paraId="6E5E3D58" w14:textId="77777777" w:rsidR="00A76274" w:rsidRDefault="00000000">
                  <w:pPr>
                    <w:keepNext/>
                    <w:spacing w:after="60"/>
                    <w:jc w:val="center"/>
                  </w:pPr>
                  <w:r>
                    <w:rPr>
                      <w:rFonts w:ascii="Calibri" w:hAnsi="Calibri"/>
                      <w:sz w:val="20"/>
                    </w:rPr>
                    <w:t>0.011</w:t>
                  </w:r>
                </w:p>
              </w:tc>
            </w:tr>
            <w:tr w:rsidR="000C6231" w14:paraId="0F4A4463" w14:textId="77777777" w:rsidTr="000C6231">
              <w:trPr>
                <w:cantSplit/>
                <w:jc w:val="center"/>
              </w:trPr>
              <w:tc>
                <w:tcPr>
                  <w:tcW w:w="5069" w:type="dxa"/>
                </w:tcPr>
                <w:p w14:paraId="13F1A7D7" w14:textId="77777777" w:rsidR="00A76274" w:rsidRDefault="00A76274">
                  <w:pPr>
                    <w:keepNext/>
                    <w:spacing w:after="60"/>
                  </w:pPr>
                </w:p>
              </w:tc>
              <w:tc>
                <w:tcPr>
                  <w:tcW w:w="1450" w:type="dxa"/>
                </w:tcPr>
                <w:p w14:paraId="38C0AE2F" w14:textId="77777777" w:rsidR="00A76274" w:rsidRDefault="00A76274">
                  <w:pPr>
                    <w:keepNext/>
                    <w:spacing w:after="60"/>
                    <w:jc w:val="center"/>
                  </w:pPr>
                </w:p>
              </w:tc>
              <w:tc>
                <w:tcPr>
                  <w:tcW w:w="1450" w:type="dxa"/>
                </w:tcPr>
                <w:p w14:paraId="52E71B10" w14:textId="77777777" w:rsidR="00A76274" w:rsidRDefault="00000000">
                  <w:pPr>
                    <w:keepNext/>
                    <w:spacing w:after="60"/>
                    <w:jc w:val="center"/>
                  </w:pPr>
                  <w:r>
                    <w:rPr>
                      <w:rFonts w:ascii="Calibri" w:hAnsi="Calibri"/>
                      <w:sz w:val="20"/>
                    </w:rPr>
                    <w:t>(0.022)</w:t>
                  </w:r>
                </w:p>
              </w:tc>
              <w:tc>
                <w:tcPr>
                  <w:tcW w:w="1450" w:type="dxa"/>
                </w:tcPr>
                <w:p w14:paraId="0706146D" w14:textId="77777777" w:rsidR="00A76274" w:rsidRDefault="00000000">
                  <w:pPr>
                    <w:keepNext/>
                    <w:spacing w:after="60"/>
                    <w:jc w:val="center"/>
                  </w:pPr>
                  <w:r>
                    <w:rPr>
                      <w:rFonts w:ascii="Calibri" w:hAnsi="Calibri"/>
                      <w:sz w:val="20"/>
                    </w:rPr>
                    <w:t>(0.022)</w:t>
                  </w:r>
                </w:p>
              </w:tc>
            </w:tr>
            <w:tr w:rsidR="000C6231" w14:paraId="7D52F272" w14:textId="77777777" w:rsidTr="000C6231">
              <w:trPr>
                <w:cantSplit/>
                <w:jc w:val="center"/>
              </w:trPr>
              <w:tc>
                <w:tcPr>
                  <w:tcW w:w="5069" w:type="dxa"/>
                </w:tcPr>
                <w:p w14:paraId="2F2E3294" w14:textId="77777777" w:rsidR="00A76274" w:rsidRDefault="00000000">
                  <w:pPr>
                    <w:keepNext/>
                    <w:spacing w:after="60"/>
                  </w:pPr>
                  <w:r>
                    <w:rPr>
                      <w:rFonts w:ascii="Calibri" w:hAnsi="Calibri"/>
                      <w:sz w:val="20"/>
                    </w:rPr>
                    <w:t>Area: Regional Center</w:t>
                  </w:r>
                </w:p>
              </w:tc>
              <w:tc>
                <w:tcPr>
                  <w:tcW w:w="1450" w:type="dxa"/>
                </w:tcPr>
                <w:p w14:paraId="1A571C7A" w14:textId="77777777" w:rsidR="00A76274" w:rsidRDefault="00A76274">
                  <w:pPr>
                    <w:keepNext/>
                    <w:spacing w:after="60"/>
                    <w:jc w:val="center"/>
                  </w:pPr>
                </w:p>
              </w:tc>
              <w:tc>
                <w:tcPr>
                  <w:tcW w:w="1450" w:type="dxa"/>
                </w:tcPr>
                <w:p w14:paraId="1AEC3D74" w14:textId="77777777" w:rsidR="00A76274" w:rsidRDefault="00000000">
                  <w:pPr>
                    <w:keepNext/>
                    <w:spacing w:after="60"/>
                    <w:jc w:val="center"/>
                  </w:pPr>
                  <w:r>
                    <w:rPr>
                      <w:rFonts w:ascii="Calibri" w:hAnsi="Calibri"/>
                      <w:sz w:val="20"/>
                    </w:rPr>
                    <w:t>0.042</w:t>
                  </w:r>
                </w:p>
              </w:tc>
              <w:tc>
                <w:tcPr>
                  <w:tcW w:w="1450" w:type="dxa"/>
                </w:tcPr>
                <w:p w14:paraId="73FE4967" w14:textId="77777777" w:rsidR="00A76274" w:rsidRDefault="00000000">
                  <w:pPr>
                    <w:keepNext/>
                    <w:spacing w:after="60"/>
                    <w:jc w:val="center"/>
                  </w:pPr>
                  <w:r>
                    <w:rPr>
                      <w:rFonts w:ascii="Calibri" w:hAnsi="Calibri"/>
                      <w:sz w:val="20"/>
                    </w:rPr>
                    <w:t>0.045</w:t>
                  </w:r>
                </w:p>
              </w:tc>
            </w:tr>
            <w:tr w:rsidR="000C6231" w14:paraId="2FDC5603" w14:textId="77777777" w:rsidTr="000C6231">
              <w:trPr>
                <w:cantSplit/>
                <w:jc w:val="center"/>
              </w:trPr>
              <w:tc>
                <w:tcPr>
                  <w:tcW w:w="5069" w:type="dxa"/>
                </w:tcPr>
                <w:p w14:paraId="722BED2E" w14:textId="77777777" w:rsidR="00A76274" w:rsidRDefault="00A76274">
                  <w:pPr>
                    <w:keepNext/>
                    <w:spacing w:after="60"/>
                  </w:pPr>
                </w:p>
              </w:tc>
              <w:tc>
                <w:tcPr>
                  <w:tcW w:w="1450" w:type="dxa"/>
                </w:tcPr>
                <w:p w14:paraId="1A3701F6" w14:textId="77777777" w:rsidR="00A76274" w:rsidRDefault="00A76274">
                  <w:pPr>
                    <w:keepNext/>
                    <w:spacing w:after="60"/>
                    <w:jc w:val="center"/>
                  </w:pPr>
                </w:p>
              </w:tc>
              <w:tc>
                <w:tcPr>
                  <w:tcW w:w="1450" w:type="dxa"/>
                </w:tcPr>
                <w:p w14:paraId="4B5304C5" w14:textId="77777777" w:rsidR="00A76274" w:rsidRDefault="00000000">
                  <w:pPr>
                    <w:keepNext/>
                    <w:spacing w:after="60"/>
                    <w:jc w:val="center"/>
                  </w:pPr>
                  <w:r>
                    <w:rPr>
                      <w:rFonts w:ascii="Calibri" w:hAnsi="Calibri"/>
                      <w:sz w:val="20"/>
                    </w:rPr>
                    <w:t>(0.030)</w:t>
                  </w:r>
                </w:p>
              </w:tc>
              <w:tc>
                <w:tcPr>
                  <w:tcW w:w="1450" w:type="dxa"/>
                </w:tcPr>
                <w:p w14:paraId="4AEAE191" w14:textId="77777777" w:rsidR="00A76274" w:rsidRDefault="00000000">
                  <w:pPr>
                    <w:keepNext/>
                    <w:spacing w:after="60"/>
                    <w:jc w:val="center"/>
                  </w:pPr>
                  <w:r>
                    <w:rPr>
                      <w:rFonts w:ascii="Calibri" w:hAnsi="Calibri"/>
                      <w:sz w:val="20"/>
                    </w:rPr>
                    <w:t>(0.030)</w:t>
                  </w:r>
                </w:p>
              </w:tc>
            </w:tr>
            <w:tr w:rsidR="000C6231" w14:paraId="5BE00A98" w14:textId="77777777" w:rsidTr="000C6231">
              <w:trPr>
                <w:cantSplit/>
                <w:jc w:val="center"/>
              </w:trPr>
              <w:tc>
                <w:tcPr>
                  <w:tcW w:w="5069" w:type="dxa"/>
                </w:tcPr>
                <w:p w14:paraId="32DC7EDE" w14:textId="77777777" w:rsidR="00A76274" w:rsidRDefault="00000000">
                  <w:pPr>
                    <w:keepNext/>
                    <w:spacing w:after="60"/>
                  </w:pPr>
                  <w:r>
                    <w:rPr>
                      <w:rFonts w:ascii="Calibri" w:hAnsi="Calibri"/>
                      <w:sz w:val="20"/>
                    </w:rPr>
                    <w:t>Currently studying: Yes</w:t>
                  </w:r>
                </w:p>
              </w:tc>
              <w:tc>
                <w:tcPr>
                  <w:tcW w:w="1450" w:type="dxa"/>
                </w:tcPr>
                <w:p w14:paraId="4FFBD2F4" w14:textId="77777777" w:rsidR="00A76274" w:rsidRDefault="00A76274">
                  <w:pPr>
                    <w:keepNext/>
                    <w:spacing w:after="60"/>
                    <w:jc w:val="center"/>
                  </w:pPr>
                </w:p>
              </w:tc>
              <w:tc>
                <w:tcPr>
                  <w:tcW w:w="1450" w:type="dxa"/>
                </w:tcPr>
                <w:p w14:paraId="0AD8BF59" w14:textId="77777777" w:rsidR="00A76274" w:rsidRDefault="00000000">
                  <w:pPr>
                    <w:keepNext/>
                    <w:spacing w:after="60"/>
                    <w:jc w:val="center"/>
                  </w:pPr>
                  <w:r>
                    <w:rPr>
                      <w:rFonts w:ascii="Calibri" w:hAnsi="Calibri"/>
                      <w:sz w:val="20"/>
                    </w:rPr>
                    <w:t>-0.143</w:t>
                  </w:r>
                </w:p>
              </w:tc>
              <w:tc>
                <w:tcPr>
                  <w:tcW w:w="1450" w:type="dxa"/>
                </w:tcPr>
                <w:p w14:paraId="3831719B" w14:textId="77777777" w:rsidR="00A76274" w:rsidRDefault="00000000">
                  <w:pPr>
                    <w:keepNext/>
                    <w:spacing w:after="60"/>
                    <w:jc w:val="center"/>
                  </w:pPr>
                  <w:r>
                    <w:rPr>
                      <w:rFonts w:ascii="Calibri" w:hAnsi="Calibri"/>
                      <w:sz w:val="20"/>
                    </w:rPr>
                    <w:t>-0.145</w:t>
                  </w:r>
                </w:p>
              </w:tc>
            </w:tr>
            <w:tr w:rsidR="000C6231" w14:paraId="11C9E259" w14:textId="77777777" w:rsidTr="000C6231">
              <w:trPr>
                <w:cantSplit/>
                <w:jc w:val="center"/>
              </w:trPr>
              <w:tc>
                <w:tcPr>
                  <w:tcW w:w="5069" w:type="dxa"/>
                </w:tcPr>
                <w:p w14:paraId="3D034767" w14:textId="77777777" w:rsidR="00A76274" w:rsidRDefault="00A76274">
                  <w:pPr>
                    <w:keepNext/>
                    <w:spacing w:after="60"/>
                  </w:pPr>
                </w:p>
              </w:tc>
              <w:tc>
                <w:tcPr>
                  <w:tcW w:w="1450" w:type="dxa"/>
                </w:tcPr>
                <w:p w14:paraId="41D7209F" w14:textId="77777777" w:rsidR="00A76274" w:rsidRDefault="00A76274">
                  <w:pPr>
                    <w:keepNext/>
                    <w:spacing w:after="60"/>
                    <w:jc w:val="center"/>
                  </w:pPr>
                </w:p>
              </w:tc>
              <w:tc>
                <w:tcPr>
                  <w:tcW w:w="1450" w:type="dxa"/>
                </w:tcPr>
                <w:p w14:paraId="750B444F" w14:textId="77777777" w:rsidR="00A76274" w:rsidRDefault="00000000">
                  <w:pPr>
                    <w:keepNext/>
                    <w:spacing w:after="60"/>
                    <w:jc w:val="center"/>
                  </w:pPr>
                  <w:r>
                    <w:rPr>
                      <w:rFonts w:ascii="Calibri" w:hAnsi="Calibri"/>
                      <w:sz w:val="20"/>
                    </w:rPr>
                    <w:t>(0.016) ***</w:t>
                  </w:r>
                </w:p>
              </w:tc>
              <w:tc>
                <w:tcPr>
                  <w:tcW w:w="1450" w:type="dxa"/>
                </w:tcPr>
                <w:p w14:paraId="4C486EA7" w14:textId="77777777" w:rsidR="00A76274" w:rsidRDefault="00000000">
                  <w:pPr>
                    <w:keepNext/>
                    <w:spacing w:after="60"/>
                    <w:jc w:val="center"/>
                  </w:pPr>
                  <w:r>
                    <w:rPr>
                      <w:rFonts w:ascii="Calibri" w:hAnsi="Calibri"/>
                      <w:sz w:val="20"/>
                    </w:rPr>
                    <w:t>(0.016) ***</w:t>
                  </w:r>
                </w:p>
              </w:tc>
            </w:tr>
            <w:tr w:rsidR="000C6231" w14:paraId="0C384E94" w14:textId="77777777" w:rsidTr="000C6231">
              <w:trPr>
                <w:cantSplit/>
                <w:jc w:val="center"/>
              </w:trPr>
              <w:tc>
                <w:tcPr>
                  <w:tcW w:w="5069" w:type="dxa"/>
                </w:tcPr>
                <w:p w14:paraId="08FD3678" w14:textId="77777777" w:rsidR="00A76274" w:rsidRDefault="00000000">
                  <w:pPr>
                    <w:keepNext/>
                    <w:spacing w:after="60"/>
                  </w:pPr>
                  <w:r>
                    <w:rPr>
                      <w:rFonts w:ascii="Calibri" w:hAnsi="Calibri"/>
                      <w:sz w:val="20"/>
                    </w:rPr>
                    <w:t>ses5Q2</w:t>
                  </w:r>
                </w:p>
              </w:tc>
              <w:tc>
                <w:tcPr>
                  <w:tcW w:w="1450" w:type="dxa"/>
                </w:tcPr>
                <w:p w14:paraId="751F4DAA" w14:textId="77777777" w:rsidR="00A76274" w:rsidRDefault="00A76274">
                  <w:pPr>
                    <w:keepNext/>
                    <w:spacing w:after="60"/>
                    <w:jc w:val="center"/>
                  </w:pPr>
                </w:p>
              </w:tc>
              <w:tc>
                <w:tcPr>
                  <w:tcW w:w="1450" w:type="dxa"/>
                </w:tcPr>
                <w:p w14:paraId="4CF37C2D" w14:textId="77777777" w:rsidR="00A76274" w:rsidRDefault="00000000">
                  <w:pPr>
                    <w:keepNext/>
                    <w:spacing w:after="60"/>
                    <w:jc w:val="center"/>
                  </w:pPr>
                  <w:r>
                    <w:rPr>
                      <w:rFonts w:ascii="Calibri" w:hAnsi="Calibri"/>
                      <w:sz w:val="20"/>
                    </w:rPr>
                    <w:t>0.001</w:t>
                  </w:r>
                </w:p>
              </w:tc>
              <w:tc>
                <w:tcPr>
                  <w:tcW w:w="1450" w:type="dxa"/>
                </w:tcPr>
                <w:p w14:paraId="33EFA922" w14:textId="77777777" w:rsidR="00A76274" w:rsidRDefault="00000000">
                  <w:pPr>
                    <w:keepNext/>
                    <w:spacing w:after="60"/>
                    <w:jc w:val="center"/>
                  </w:pPr>
                  <w:r>
                    <w:rPr>
                      <w:rFonts w:ascii="Calibri" w:hAnsi="Calibri"/>
                      <w:sz w:val="20"/>
                    </w:rPr>
                    <w:t>0.001</w:t>
                  </w:r>
                </w:p>
              </w:tc>
            </w:tr>
            <w:tr w:rsidR="000C6231" w14:paraId="3BED7B00" w14:textId="77777777" w:rsidTr="000C6231">
              <w:trPr>
                <w:cantSplit/>
                <w:jc w:val="center"/>
              </w:trPr>
              <w:tc>
                <w:tcPr>
                  <w:tcW w:w="5069" w:type="dxa"/>
                </w:tcPr>
                <w:p w14:paraId="672B3358" w14:textId="77777777" w:rsidR="00A76274" w:rsidRDefault="00A76274">
                  <w:pPr>
                    <w:keepNext/>
                    <w:spacing w:after="60"/>
                  </w:pPr>
                </w:p>
              </w:tc>
              <w:tc>
                <w:tcPr>
                  <w:tcW w:w="1450" w:type="dxa"/>
                </w:tcPr>
                <w:p w14:paraId="7F5D9DEB" w14:textId="77777777" w:rsidR="00A76274" w:rsidRDefault="00A76274">
                  <w:pPr>
                    <w:keepNext/>
                    <w:spacing w:after="60"/>
                    <w:jc w:val="center"/>
                  </w:pPr>
                </w:p>
              </w:tc>
              <w:tc>
                <w:tcPr>
                  <w:tcW w:w="1450" w:type="dxa"/>
                </w:tcPr>
                <w:p w14:paraId="4580303D" w14:textId="77777777" w:rsidR="00A76274" w:rsidRDefault="00000000">
                  <w:pPr>
                    <w:keepNext/>
                    <w:spacing w:after="60"/>
                    <w:jc w:val="center"/>
                  </w:pPr>
                  <w:r>
                    <w:rPr>
                      <w:rFonts w:ascii="Calibri" w:hAnsi="Calibri"/>
                      <w:sz w:val="20"/>
                    </w:rPr>
                    <w:t>(0.016)</w:t>
                  </w:r>
                </w:p>
              </w:tc>
              <w:tc>
                <w:tcPr>
                  <w:tcW w:w="1450" w:type="dxa"/>
                </w:tcPr>
                <w:p w14:paraId="61C77557" w14:textId="77777777" w:rsidR="00A76274" w:rsidRDefault="00000000">
                  <w:pPr>
                    <w:keepNext/>
                    <w:spacing w:after="60"/>
                    <w:jc w:val="center"/>
                  </w:pPr>
                  <w:r>
                    <w:rPr>
                      <w:rFonts w:ascii="Calibri" w:hAnsi="Calibri"/>
                      <w:sz w:val="20"/>
                    </w:rPr>
                    <w:t>(0.016)</w:t>
                  </w:r>
                </w:p>
              </w:tc>
            </w:tr>
            <w:tr w:rsidR="000C6231" w14:paraId="05A13555" w14:textId="77777777" w:rsidTr="000C6231">
              <w:trPr>
                <w:cantSplit/>
                <w:jc w:val="center"/>
              </w:trPr>
              <w:tc>
                <w:tcPr>
                  <w:tcW w:w="5069" w:type="dxa"/>
                </w:tcPr>
                <w:p w14:paraId="20947429" w14:textId="77777777" w:rsidR="00A76274" w:rsidRDefault="00000000">
                  <w:pPr>
                    <w:keepNext/>
                    <w:spacing w:after="60"/>
                  </w:pPr>
                  <w:r>
                    <w:rPr>
                      <w:rFonts w:ascii="Calibri" w:hAnsi="Calibri"/>
                      <w:sz w:val="20"/>
                    </w:rPr>
                    <w:t>ses5Q3</w:t>
                  </w:r>
                </w:p>
              </w:tc>
              <w:tc>
                <w:tcPr>
                  <w:tcW w:w="1450" w:type="dxa"/>
                </w:tcPr>
                <w:p w14:paraId="7A391578" w14:textId="77777777" w:rsidR="00A76274" w:rsidRDefault="00A76274">
                  <w:pPr>
                    <w:keepNext/>
                    <w:spacing w:after="60"/>
                    <w:jc w:val="center"/>
                  </w:pPr>
                </w:p>
              </w:tc>
              <w:tc>
                <w:tcPr>
                  <w:tcW w:w="1450" w:type="dxa"/>
                </w:tcPr>
                <w:p w14:paraId="7AF98EDB" w14:textId="77777777" w:rsidR="00A76274" w:rsidRDefault="00000000">
                  <w:pPr>
                    <w:keepNext/>
                    <w:spacing w:after="60"/>
                    <w:jc w:val="center"/>
                  </w:pPr>
                  <w:r>
                    <w:rPr>
                      <w:rFonts w:ascii="Calibri" w:hAnsi="Calibri"/>
                      <w:sz w:val="20"/>
                    </w:rPr>
                    <w:t>0.031</w:t>
                  </w:r>
                </w:p>
              </w:tc>
              <w:tc>
                <w:tcPr>
                  <w:tcW w:w="1450" w:type="dxa"/>
                </w:tcPr>
                <w:p w14:paraId="52EA67E9" w14:textId="77777777" w:rsidR="00A76274" w:rsidRDefault="00000000">
                  <w:pPr>
                    <w:keepNext/>
                    <w:spacing w:after="60"/>
                    <w:jc w:val="center"/>
                  </w:pPr>
                  <w:r>
                    <w:rPr>
                      <w:rFonts w:ascii="Calibri" w:hAnsi="Calibri"/>
                      <w:sz w:val="20"/>
                    </w:rPr>
                    <w:t>0.029</w:t>
                  </w:r>
                </w:p>
              </w:tc>
            </w:tr>
            <w:tr w:rsidR="000C6231" w14:paraId="43E45D81" w14:textId="77777777" w:rsidTr="000C6231">
              <w:trPr>
                <w:cantSplit/>
                <w:jc w:val="center"/>
              </w:trPr>
              <w:tc>
                <w:tcPr>
                  <w:tcW w:w="5069" w:type="dxa"/>
                </w:tcPr>
                <w:p w14:paraId="1487AFA2" w14:textId="77777777" w:rsidR="00A76274" w:rsidRDefault="00A76274">
                  <w:pPr>
                    <w:keepNext/>
                    <w:spacing w:after="60"/>
                  </w:pPr>
                </w:p>
              </w:tc>
              <w:tc>
                <w:tcPr>
                  <w:tcW w:w="1450" w:type="dxa"/>
                </w:tcPr>
                <w:p w14:paraId="3469A4B5" w14:textId="77777777" w:rsidR="00A76274" w:rsidRDefault="00A76274">
                  <w:pPr>
                    <w:keepNext/>
                    <w:spacing w:after="60"/>
                    <w:jc w:val="center"/>
                  </w:pPr>
                </w:p>
              </w:tc>
              <w:tc>
                <w:tcPr>
                  <w:tcW w:w="1450" w:type="dxa"/>
                </w:tcPr>
                <w:p w14:paraId="53E078D6" w14:textId="77777777" w:rsidR="00A76274" w:rsidRDefault="00000000">
                  <w:pPr>
                    <w:keepNext/>
                    <w:spacing w:after="60"/>
                    <w:jc w:val="center"/>
                  </w:pPr>
                  <w:r>
                    <w:rPr>
                      <w:rFonts w:ascii="Calibri" w:hAnsi="Calibri"/>
                      <w:sz w:val="20"/>
                    </w:rPr>
                    <w:t>(0.016) +</w:t>
                  </w:r>
                </w:p>
              </w:tc>
              <w:tc>
                <w:tcPr>
                  <w:tcW w:w="1450" w:type="dxa"/>
                </w:tcPr>
                <w:p w14:paraId="658895B6" w14:textId="77777777" w:rsidR="00A76274" w:rsidRDefault="00000000">
                  <w:pPr>
                    <w:keepNext/>
                    <w:spacing w:after="60"/>
                    <w:jc w:val="center"/>
                  </w:pPr>
                  <w:r>
                    <w:rPr>
                      <w:rFonts w:ascii="Calibri" w:hAnsi="Calibri"/>
                      <w:sz w:val="20"/>
                    </w:rPr>
                    <w:t>(0.016) +</w:t>
                  </w:r>
                </w:p>
              </w:tc>
            </w:tr>
            <w:tr w:rsidR="000C6231" w14:paraId="7317972C" w14:textId="77777777" w:rsidTr="000C6231">
              <w:trPr>
                <w:cantSplit/>
                <w:jc w:val="center"/>
              </w:trPr>
              <w:tc>
                <w:tcPr>
                  <w:tcW w:w="5069" w:type="dxa"/>
                </w:tcPr>
                <w:p w14:paraId="2AE3F767" w14:textId="77777777" w:rsidR="00A76274" w:rsidRDefault="00000000">
                  <w:pPr>
                    <w:keepNext/>
                    <w:spacing w:after="60"/>
                  </w:pPr>
                  <w:r>
                    <w:rPr>
                      <w:rFonts w:ascii="Calibri" w:hAnsi="Calibri"/>
                      <w:sz w:val="20"/>
                    </w:rPr>
                    <w:t>ses5Q4</w:t>
                  </w:r>
                </w:p>
              </w:tc>
              <w:tc>
                <w:tcPr>
                  <w:tcW w:w="1450" w:type="dxa"/>
                </w:tcPr>
                <w:p w14:paraId="06970695" w14:textId="77777777" w:rsidR="00A76274" w:rsidRDefault="00A76274">
                  <w:pPr>
                    <w:keepNext/>
                    <w:spacing w:after="60"/>
                    <w:jc w:val="center"/>
                  </w:pPr>
                </w:p>
              </w:tc>
              <w:tc>
                <w:tcPr>
                  <w:tcW w:w="1450" w:type="dxa"/>
                </w:tcPr>
                <w:p w14:paraId="6AE445A3" w14:textId="77777777" w:rsidR="00A76274" w:rsidRDefault="00000000">
                  <w:pPr>
                    <w:keepNext/>
                    <w:spacing w:after="60"/>
                    <w:jc w:val="center"/>
                  </w:pPr>
                  <w:r>
                    <w:rPr>
                      <w:rFonts w:ascii="Calibri" w:hAnsi="Calibri"/>
                      <w:sz w:val="20"/>
                    </w:rPr>
                    <w:t>0.010</w:t>
                  </w:r>
                </w:p>
              </w:tc>
              <w:tc>
                <w:tcPr>
                  <w:tcW w:w="1450" w:type="dxa"/>
                </w:tcPr>
                <w:p w14:paraId="5250714E" w14:textId="77777777" w:rsidR="00A76274" w:rsidRDefault="00000000">
                  <w:pPr>
                    <w:keepNext/>
                    <w:spacing w:after="60"/>
                    <w:jc w:val="center"/>
                  </w:pPr>
                  <w:r>
                    <w:rPr>
                      <w:rFonts w:ascii="Calibri" w:hAnsi="Calibri"/>
                      <w:sz w:val="20"/>
                    </w:rPr>
                    <w:t>0.013</w:t>
                  </w:r>
                </w:p>
              </w:tc>
            </w:tr>
            <w:tr w:rsidR="000C6231" w14:paraId="59145F8E" w14:textId="77777777" w:rsidTr="000C6231">
              <w:trPr>
                <w:cantSplit/>
                <w:jc w:val="center"/>
              </w:trPr>
              <w:tc>
                <w:tcPr>
                  <w:tcW w:w="5069" w:type="dxa"/>
                </w:tcPr>
                <w:p w14:paraId="6B0F6B04" w14:textId="77777777" w:rsidR="00A76274" w:rsidRDefault="00A76274">
                  <w:pPr>
                    <w:keepNext/>
                    <w:spacing w:after="60"/>
                  </w:pPr>
                </w:p>
              </w:tc>
              <w:tc>
                <w:tcPr>
                  <w:tcW w:w="1450" w:type="dxa"/>
                </w:tcPr>
                <w:p w14:paraId="49897835" w14:textId="77777777" w:rsidR="00A76274" w:rsidRDefault="00A76274">
                  <w:pPr>
                    <w:keepNext/>
                    <w:spacing w:after="60"/>
                    <w:jc w:val="center"/>
                  </w:pPr>
                </w:p>
              </w:tc>
              <w:tc>
                <w:tcPr>
                  <w:tcW w:w="1450" w:type="dxa"/>
                </w:tcPr>
                <w:p w14:paraId="39D5578E" w14:textId="77777777" w:rsidR="00A76274" w:rsidRDefault="00000000">
                  <w:pPr>
                    <w:keepNext/>
                    <w:spacing w:after="60"/>
                    <w:jc w:val="center"/>
                  </w:pPr>
                  <w:r>
                    <w:rPr>
                      <w:rFonts w:ascii="Calibri" w:hAnsi="Calibri"/>
                      <w:sz w:val="20"/>
                    </w:rPr>
                    <w:t>(0.018)</w:t>
                  </w:r>
                </w:p>
              </w:tc>
              <w:tc>
                <w:tcPr>
                  <w:tcW w:w="1450" w:type="dxa"/>
                </w:tcPr>
                <w:p w14:paraId="488CB54E" w14:textId="77777777" w:rsidR="00A76274" w:rsidRDefault="00000000">
                  <w:pPr>
                    <w:keepNext/>
                    <w:spacing w:after="60"/>
                    <w:jc w:val="center"/>
                  </w:pPr>
                  <w:r>
                    <w:rPr>
                      <w:rFonts w:ascii="Calibri" w:hAnsi="Calibri"/>
                      <w:sz w:val="20"/>
                    </w:rPr>
                    <w:t>(0.018)</w:t>
                  </w:r>
                </w:p>
              </w:tc>
            </w:tr>
            <w:tr w:rsidR="000C6231" w14:paraId="1CDE1A1C" w14:textId="77777777" w:rsidTr="000C6231">
              <w:trPr>
                <w:cantSplit/>
                <w:jc w:val="center"/>
              </w:trPr>
              <w:tc>
                <w:tcPr>
                  <w:tcW w:w="5069" w:type="dxa"/>
                </w:tcPr>
                <w:p w14:paraId="7DA2ABD7" w14:textId="77777777" w:rsidR="00A76274" w:rsidRDefault="00000000">
                  <w:pPr>
                    <w:keepNext/>
                    <w:spacing w:after="60"/>
                  </w:pPr>
                  <w:r>
                    <w:rPr>
                      <w:rFonts w:ascii="Calibri" w:hAnsi="Calibri"/>
                      <w:sz w:val="20"/>
                    </w:rPr>
                    <w:t>ses5Q5</w:t>
                  </w:r>
                </w:p>
              </w:tc>
              <w:tc>
                <w:tcPr>
                  <w:tcW w:w="1450" w:type="dxa"/>
                </w:tcPr>
                <w:p w14:paraId="64A74E77" w14:textId="77777777" w:rsidR="00A76274" w:rsidRDefault="00A76274">
                  <w:pPr>
                    <w:keepNext/>
                    <w:spacing w:after="60"/>
                    <w:jc w:val="center"/>
                  </w:pPr>
                </w:p>
              </w:tc>
              <w:tc>
                <w:tcPr>
                  <w:tcW w:w="1450" w:type="dxa"/>
                </w:tcPr>
                <w:p w14:paraId="017A12B6" w14:textId="77777777" w:rsidR="00A76274" w:rsidRDefault="00000000">
                  <w:pPr>
                    <w:keepNext/>
                    <w:spacing w:after="60"/>
                    <w:jc w:val="center"/>
                  </w:pPr>
                  <w:r>
                    <w:rPr>
                      <w:rFonts w:ascii="Calibri" w:hAnsi="Calibri"/>
                      <w:sz w:val="20"/>
                    </w:rPr>
                    <w:t>0.039</w:t>
                  </w:r>
                </w:p>
              </w:tc>
              <w:tc>
                <w:tcPr>
                  <w:tcW w:w="1450" w:type="dxa"/>
                </w:tcPr>
                <w:p w14:paraId="432C7DAC" w14:textId="77777777" w:rsidR="00A76274" w:rsidRDefault="00000000">
                  <w:pPr>
                    <w:keepNext/>
                    <w:spacing w:after="60"/>
                    <w:jc w:val="center"/>
                  </w:pPr>
                  <w:r>
                    <w:rPr>
                      <w:rFonts w:ascii="Calibri" w:hAnsi="Calibri"/>
                      <w:sz w:val="20"/>
                    </w:rPr>
                    <w:t>0.039</w:t>
                  </w:r>
                </w:p>
              </w:tc>
            </w:tr>
            <w:tr w:rsidR="000C6231" w14:paraId="5EC8DBBA" w14:textId="77777777" w:rsidTr="000C6231">
              <w:trPr>
                <w:cantSplit/>
                <w:jc w:val="center"/>
              </w:trPr>
              <w:tc>
                <w:tcPr>
                  <w:tcW w:w="5069" w:type="dxa"/>
                </w:tcPr>
                <w:p w14:paraId="0F9C7553" w14:textId="77777777" w:rsidR="00A76274" w:rsidRDefault="00A76274">
                  <w:pPr>
                    <w:keepNext/>
                    <w:spacing w:after="60"/>
                  </w:pPr>
                </w:p>
              </w:tc>
              <w:tc>
                <w:tcPr>
                  <w:tcW w:w="1450" w:type="dxa"/>
                </w:tcPr>
                <w:p w14:paraId="004D99C5" w14:textId="77777777" w:rsidR="00A76274" w:rsidRDefault="00A76274">
                  <w:pPr>
                    <w:keepNext/>
                    <w:spacing w:after="60"/>
                    <w:jc w:val="center"/>
                  </w:pPr>
                </w:p>
              </w:tc>
              <w:tc>
                <w:tcPr>
                  <w:tcW w:w="1450" w:type="dxa"/>
                </w:tcPr>
                <w:p w14:paraId="3C10B8EA" w14:textId="77777777" w:rsidR="00A76274" w:rsidRDefault="00000000">
                  <w:pPr>
                    <w:keepNext/>
                    <w:spacing w:after="60"/>
                    <w:jc w:val="center"/>
                  </w:pPr>
                  <w:r>
                    <w:rPr>
                      <w:rFonts w:ascii="Calibri" w:hAnsi="Calibri"/>
                      <w:sz w:val="20"/>
                    </w:rPr>
                    <w:t>(0.018) *</w:t>
                  </w:r>
                </w:p>
              </w:tc>
              <w:tc>
                <w:tcPr>
                  <w:tcW w:w="1450" w:type="dxa"/>
                </w:tcPr>
                <w:p w14:paraId="6892B223" w14:textId="77777777" w:rsidR="00A76274" w:rsidRDefault="00000000">
                  <w:pPr>
                    <w:keepNext/>
                    <w:spacing w:after="60"/>
                    <w:jc w:val="center"/>
                  </w:pPr>
                  <w:r>
                    <w:rPr>
                      <w:rFonts w:ascii="Calibri" w:hAnsi="Calibri"/>
                      <w:sz w:val="20"/>
                    </w:rPr>
                    <w:t>(0.018) *</w:t>
                  </w:r>
                </w:p>
              </w:tc>
            </w:tr>
            <w:tr w:rsidR="000C6231" w14:paraId="5CD42B07" w14:textId="77777777" w:rsidTr="000C6231">
              <w:trPr>
                <w:cantSplit/>
                <w:jc w:val="center"/>
              </w:trPr>
              <w:tc>
                <w:tcPr>
                  <w:tcW w:w="5069" w:type="dxa"/>
                </w:tcPr>
                <w:p w14:paraId="5AA267CE" w14:textId="77777777" w:rsidR="00A76274" w:rsidRDefault="00000000">
                  <w:pPr>
                    <w:keepNext/>
                    <w:spacing w:after="60"/>
                  </w:pPr>
                  <w:r>
                    <w:rPr>
                      <w:rFonts w:ascii="Calibri" w:hAnsi="Calibri"/>
                      <w:sz w:val="20"/>
                    </w:rPr>
                    <w:t>Openness</w:t>
                  </w:r>
                </w:p>
              </w:tc>
              <w:tc>
                <w:tcPr>
                  <w:tcW w:w="1450" w:type="dxa"/>
                </w:tcPr>
                <w:p w14:paraId="23751FA2" w14:textId="77777777" w:rsidR="00A76274" w:rsidRDefault="00A76274">
                  <w:pPr>
                    <w:keepNext/>
                    <w:spacing w:after="60"/>
                    <w:jc w:val="center"/>
                  </w:pPr>
                </w:p>
              </w:tc>
              <w:tc>
                <w:tcPr>
                  <w:tcW w:w="1450" w:type="dxa"/>
                </w:tcPr>
                <w:p w14:paraId="5F4B3C80" w14:textId="77777777" w:rsidR="00A76274" w:rsidRDefault="00A76274">
                  <w:pPr>
                    <w:keepNext/>
                    <w:spacing w:after="60"/>
                    <w:jc w:val="center"/>
                  </w:pPr>
                </w:p>
              </w:tc>
              <w:tc>
                <w:tcPr>
                  <w:tcW w:w="1450" w:type="dxa"/>
                </w:tcPr>
                <w:p w14:paraId="645CF29C" w14:textId="77777777" w:rsidR="00A76274" w:rsidRDefault="00000000">
                  <w:pPr>
                    <w:keepNext/>
                    <w:spacing w:after="60"/>
                    <w:jc w:val="center"/>
                  </w:pPr>
                  <w:r>
                    <w:rPr>
                      <w:rFonts w:ascii="Calibri" w:hAnsi="Calibri"/>
                      <w:sz w:val="20"/>
                    </w:rPr>
                    <w:t>-0.010</w:t>
                  </w:r>
                </w:p>
              </w:tc>
            </w:tr>
            <w:tr w:rsidR="000C6231" w14:paraId="475CB324" w14:textId="77777777" w:rsidTr="000C6231">
              <w:trPr>
                <w:cantSplit/>
                <w:jc w:val="center"/>
              </w:trPr>
              <w:tc>
                <w:tcPr>
                  <w:tcW w:w="5069" w:type="dxa"/>
                </w:tcPr>
                <w:p w14:paraId="52839C02" w14:textId="77777777" w:rsidR="00A76274" w:rsidRDefault="00A76274">
                  <w:pPr>
                    <w:keepNext/>
                    <w:spacing w:after="60"/>
                  </w:pPr>
                </w:p>
              </w:tc>
              <w:tc>
                <w:tcPr>
                  <w:tcW w:w="1450" w:type="dxa"/>
                </w:tcPr>
                <w:p w14:paraId="1E04EB38" w14:textId="77777777" w:rsidR="00A76274" w:rsidRDefault="00A76274">
                  <w:pPr>
                    <w:keepNext/>
                    <w:spacing w:after="60"/>
                    <w:jc w:val="center"/>
                  </w:pPr>
                </w:p>
              </w:tc>
              <w:tc>
                <w:tcPr>
                  <w:tcW w:w="1450" w:type="dxa"/>
                </w:tcPr>
                <w:p w14:paraId="3DC08BCD" w14:textId="77777777" w:rsidR="00A76274" w:rsidRDefault="00A76274">
                  <w:pPr>
                    <w:keepNext/>
                    <w:spacing w:after="60"/>
                    <w:jc w:val="center"/>
                  </w:pPr>
                </w:p>
              </w:tc>
              <w:tc>
                <w:tcPr>
                  <w:tcW w:w="1450" w:type="dxa"/>
                </w:tcPr>
                <w:p w14:paraId="1EC003C1" w14:textId="77777777" w:rsidR="00A76274" w:rsidRDefault="00000000">
                  <w:pPr>
                    <w:keepNext/>
                    <w:spacing w:after="60"/>
                    <w:jc w:val="center"/>
                  </w:pPr>
                  <w:r>
                    <w:rPr>
                      <w:rFonts w:ascii="Calibri" w:hAnsi="Calibri"/>
                      <w:sz w:val="20"/>
                    </w:rPr>
                    <w:t>(0.007)</w:t>
                  </w:r>
                </w:p>
              </w:tc>
            </w:tr>
            <w:tr w:rsidR="000C6231" w14:paraId="7389DD19" w14:textId="77777777" w:rsidTr="000C6231">
              <w:trPr>
                <w:cantSplit/>
                <w:jc w:val="center"/>
              </w:trPr>
              <w:tc>
                <w:tcPr>
                  <w:tcW w:w="5069" w:type="dxa"/>
                </w:tcPr>
                <w:p w14:paraId="4A51567A" w14:textId="77777777" w:rsidR="00A76274" w:rsidRDefault="00000000">
                  <w:pPr>
                    <w:keepNext/>
                    <w:spacing w:after="60"/>
                  </w:pPr>
                  <w:r>
                    <w:rPr>
                      <w:rFonts w:ascii="Calibri" w:hAnsi="Calibri"/>
                      <w:sz w:val="20"/>
                    </w:rPr>
                    <w:t>Conscientiousness</w:t>
                  </w:r>
                </w:p>
              </w:tc>
              <w:tc>
                <w:tcPr>
                  <w:tcW w:w="1450" w:type="dxa"/>
                </w:tcPr>
                <w:p w14:paraId="2D6F5D77" w14:textId="77777777" w:rsidR="00A76274" w:rsidRDefault="00A76274">
                  <w:pPr>
                    <w:keepNext/>
                    <w:spacing w:after="60"/>
                    <w:jc w:val="center"/>
                  </w:pPr>
                </w:p>
              </w:tc>
              <w:tc>
                <w:tcPr>
                  <w:tcW w:w="1450" w:type="dxa"/>
                </w:tcPr>
                <w:p w14:paraId="24615B39" w14:textId="77777777" w:rsidR="00A76274" w:rsidRDefault="00A76274">
                  <w:pPr>
                    <w:keepNext/>
                    <w:spacing w:after="60"/>
                    <w:jc w:val="center"/>
                  </w:pPr>
                </w:p>
              </w:tc>
              <w:tc>
                <w:tcPr>
                  <w:tcW w:w="1450" w:type="dxa"/>
                </w:tcPr>
                <w:p w14:paraId="45F56E00" w14:textId="77777777" w:rsidR="00A76274" w:rsidRDefault="00000000">
                  <w:pPr>
                    <w:keepNext/>
                    <w:spacing w:after="60"/>
                    <w:jc w:val="center"/>
                  </w:pPr>
                  <w:r>
                    <w:rPr>
                      <w:rFonts w:ascii="Calibri" w:hAnsi="Calibri"/>
                      <w:sz w:val="20"/>
                    </w:rPr>
                    <w:t>0.042</w:t>
                  </w:r>
                </w:p>
              </w:tc>
            </w:tr>
            <w:tr w:rsidR="000C6231" w14:paraId="75B5D5C3" w14:textId="77777777" w:rsidTr="000C6231">
              <w:trPr>
                <w:cantSplit/>
                <w:jc w:val="center"/>
              </w:trPr>
              <w:tc>
                <w:tcPr>
                  <w:tcW w:w="5069" w:type="dxa"/>
                </w:tcPr>
                <w:p w14:paraId="0AF405E4" w14:textId="77777777" w:rsidR="00A76274" w:rsidRDefault="00A76274">
                  <w:pPr>
                    <w:keepNext/>
                    <w:spacing w:after="60"/>
                  </w:pPr>
                </w:p>
              </w:tc>
              <w:tc>
                <w:tcPr>
                  <w:tcW w:w="1450" w:type="dxa"/>
                </w:tcPr>
                <w:p w14:paraId="4E92AE67" w14:textId="77777777" w:rsidR="00A76274" w:rsidRDefault="00A76274">
                  <w:pPr>
                    <w:keepNext/>
                    <w:spacing w:after="60"/>
                    <w:jc w:val="center"/>
                  </w:pPr>
                </w:p>
              </w:tc>
              <w:tc>
                <w:tcPr>
                  <w:tcW w:w="1450" w:type="dxa"/>
                </w:tcPr>
                <w:p w14:paraId="6C39968F" w14:textId="77777777" w:rsidR="00A76274" w:rsidRDefault="00A76274">
                  <w:pPr>
                    <w:keepNext/>
                    <w:spacing w:after="60"/>
                    <w:jc w:val="center"/>
                  </w:pPr>
                </w:p>
              </w:tc>
              <w:tc>
                <w:tcPr>
                  <w:tcW w:w="1450" w:type="dxa"/>
                </w:tcPr>
                <w:p w14:paraId="7851D06D" w14:textId="77777777" w:rsidR="00A76274" w:rsidRDefault="00000000">
                  <w:pPr>
                    <w:keepNext/>
                    <w:spacing w:after="60"/>
                    <w:jc w:val="center"/>
                  </w:pPr>
                  <w:r>
                    <w:rPr>
                      <w:rFonts w:ascii="Calibri" w:hAnsi="Calibri"/>
                      <w:sz w:val="20"/>
                    </w:rPr>
                    <w:t>(0.006) ***</w:t>
                  </w:r>
                </w:p>
              </w:tc>
            </w:tr>
            <w:tr w:rsidR="000C6231" w14:paraId="2E4B7976" w14:textId="77777777" w:rsidTr="000C6231">
              <w:trPr>
                <w:cantSplit/>
                <w:jc w:val="center"/>
              </w:trPr>
              <w:tc>
                <w:tcPr>
                  <w:tcW w:w="5069" w:type="dxa"/>
                </w:tcPr>
                <w:p w14:paraId="5BD696E5" w14:textId="77777777" w:rsidR="00A76274" w:rsidRDefault="00000000">
                  <w:pPr>
                    <w:keepNext/>
                    <w:spacing w:after="60"/>
                  </w:pPr>
                  <w:r>
                    <w:rPr>
                      <w:rFonts w:ascii="Calibri" w:hAnsi="Calibri"/>
                      <w:sz w:val="20"/>
                    </w:rPr>
                    <w:t>Extraversion</w:t>
                  </w:r>
                </w:p>
              </w:tc>
              <w:tc>
                <w:tcPr>
                  <w:tcW w:w="1450" w:type="dxa"/>
                </w:tcPr>
                <w:p w14:paraId="5267AF2C" w14:textId="77777777" w:rsidR="00A76274" w:rsidRDefault="00A76274">
                  <w:pPr>
                    <w:keepNext/>
                    <w:spacing w:after="60"/>
                    <w:jc w:val="center"/>
                  </w:pPr>
                </w:p>
              </w:tc>
              <w:tc>
                <w:tcPr>
                  <w:tcW w:w="1450" w:type="dxa"/>
                </w:tcPr>
                <w:p w14:paraId="6EB81EF9" w14:textId="77777777" w:rsidR="00A76274" w:rsidRDefault="00A76274">
                  <w:pPr>
                    <w:keepNext/>
                    <w:spacing w:after="60"/>
                    <w:jc w:val="center"/>
                  </w:pPr>
                </w:p>
              </w:tc>
              <w:tc>
                <w:tcPr>
                  <w:tcW w:w="1450" w:type="dxa"/>
                </w:tcPr>
                <w:p w14:paraId="28891731" w14:textId="77777777" w:rsidR="00A76274" w:rsidRDefault="00000000">
                  <w:pPr>
                    <w:keepNext/>
                    <w:spacing w:after="60"/>
                    <w:jc w:val="center"/>
                  </w:pPr>
                  <w:r>
                    <w:rPr>
                      <w:rFonts w:ascii="Calibri" w:hAnsi="Calibri"/>
                      <w:sz w:val="20"/>
                    </w:rPr>
                    <w:t>0.015</w:t>
                  </w:r>
                </w:p>
              </w:tc>
            </w:tr>
            <w:tr w:rsidR="000C6231" w14:paraId="09CAB0CA" w14:textId="77777777" w:rsidTr="000C6231">
              <w:trPr>
                <w:cantSplit/>
                <w:jc w:val="center"/>
              </w:trPr>
              <w:tc>
                <w:tcPr>
                  <w:tcW w:w="5069" w:type="dxa"/>
                </w:tcPr>
                <w:p w14:paraId="207F625C" w14:textId="77777777" w:rsidR="00A76274" w:rsidRDefault="00A76274">
                  <w:pPr>
                    <w:keepNext/>
                    <w:spacing w:after="60"/>
                  </w:pPr>
                </w:p>
              </w:tc>
              <w:tc>
                <w:tcPr>
                  <w:tcW w:w="1450" w:type="dxa"/>
                </w:tcPr>
                <w:p w14:paraId="51ED29A1" w14:textId="77777777" w:rsidR="00A76274" w:rsidRDefault="00A76274">
                  <w:pPr>
                    <w:keepNext/>
                    <w:spacing w:after="60"/>
                    <w:jc w:val="center"/>
                  </w:pPr>
                </w:p>
              </w:tc>
              <w:tc>
                <w:tcPr>
                  <w:tcW w:w="1450" w:type="dxa"/>
                </w:tcPr>
                <w:p w14:paraId="1262E6E6" w14:textId="77777777" w:rsidR="00A76274" w:rsidRDefault="00A76274">
                  <w:pPr>
                    <w:keepNext/>
                    <w:spacing w:after="60"/>
                    <w:jc w:val="center"/>
                  </w:pPr>
                </w:p>
              </w:tc>
              <w:tc>
                <w:tcPr>
                  <w:tcW w:w="1450" w:type="dxa"/>
                </w:tcPr>
                <w:p w14:paraId="7740BE1F" w14:textId="77777777" w:rsidR="00A76274" w:rsidRDefault="00000000">
                  <w:pPr>
                    <w:keepNext/>
                    <w:spacing w:after="60"/>
                    <w:jc w:val="center"/>
                  </w:pPr>
                  <w:r>
                    <w:rPr>
                      <w:rFonts w:ascii="Calibri" w:hAnsi="Calibri"/>
                      <w:sz w:val="20"/>
                    </w:rPr>
                    <w:t>(0.006) *</w:t>
                  </w:r>
                </w:p>
              </w:tc>
            </w:tr>
            <w:tr w:rsidR="000C6231" w14:paraId="1A298467" w14:textId="77777777" w:rsidTr="000C6231">
              <w:trPr>
                <w:cantSplit/>
                <w:jc w:val="center"/>
              </w:trPr>
              <w:tc>
                <w:tcPr>
                  <w:tcW w:w="5069" w:type="dxa"/>
                </w:tcPr>
                <w:p w14:paraId="3FECDCB8" w14:textId="77777777" w:rsidR="00A76274" w:rsidRDefault="00000000">
                  <w:pPr>
                    <w:keepNext/>
                    <w:spacing w:after="60"/>
                  </w:pPr>
                  <w:r>
                    <w:rPr>
                      <w:rFonts w:ascii="Calibri" w:hAnsi="Calibri"/>
                      <w:sz w:val="20"/>
                    </w:rPr>
                    <w:t>Agreeableness</w:t>
                  </w:r>
                </w:p>
              </w:tc>
              <w:tc>
                <w:tcPr>
                  <w:tcW w:w="1450" w:type="dxa"/>
                </w:tcPr>
                <w:p w14:paraId="7CDC668B" w14:textId="77777777" w:rsidR="00A76274" w:rsidRDefault="00A76274">
                  <w:pPr>
                    <w:keepNext/>
                    <w:spacing w:after="60"/>
                    <w:jc w:val="center"/>
                  </w:pPr>
                </w:p>
              </w:tc>
              <w:tc>
                <w:tcPr>
                  <w:tcW w:w="1450" w:type="dxa"/>
                </w:tcPr>
                <w:p w14:paraId="2E56CB52" w14:textId="77777777" w:rsidR="00A76274" w:rsidRDefault="00A76274">
                  <w:pPr>
                    <w:keepNext/>
                    <w:spacing w:after="60"/>
                    <w:jc w:val="center"/>
                  </w:pPr>
                </w:p>
              </w:tc>
              <w:tc>
                <w:tcPr>
                  <w:tcW w:w="1450" w:type="dxa"/>
                </w:tcPr>
                <w:p w14:paraId="52C2E71F" w14:textId="77777777" w:rsidR="00A76274" w:rsidRDefault="00000000">
                  <w:pPr>
                    <w:keepNext/>
                    <w:spacing w:after="60"/>
                    <w:jc w:val="center"/>
                  </w:pPr>
                  <w:r>
                    <w:rPr>
                      <w:rFonts w:ascii="Calibri" w:hAnsi="Calibri"/>
                      <w:sz w:val="20"/>
                    </w:rPr>
                    <w:t>-0.008</w:t>
                  </w:r>
                </w:p>
              </w:tc>
            </w:tr>
            <w:tr w:rsidR="000C6231" w14:paraId="7B80033B" w14:textId="77777777" w:rsidTr="000C6231">
              <w:trPr>
                <w:cantSplit/>
                <w:jc w:val="center"/>
              </w:trPr>
              <w:tc>
                <w:tcPr>
                  <w:tcW w:w="5069" w:type="dxa"/>
                </w:tcPr>
                <w:p w14:paraId="45C92BB9" w14:textId="77777777" w:rsidR="00A76274" w:rsidRDefault="00A76274">
                  <w:pPr>
                    <w:keepNext/>
                    <w:spacing w:after="60"/>
                  </w:pPr>
                </w:p>
              </w:tc>
              <w:tc>
                <w:tcPr>
                  <w:tcW w:w="1450" w:type="dxa"/>
                </w:tcPr>
                <w:p w14:paraId="519F3CE9" w14:textId="77777777" w:rsidR="00A76274" w:rsidRDefault="00A76274">
                  <w:pPr>
                    <w:keepNext/>
                    <w:spacing w:after="60"/>
                    <w:jc w:val="center"/>
                  </w:pPr>
                </w:p>
              </w:tc>
              <w:tc>
                <w:tcPr>
                  <w:tcW w:w="1450" w:type="dxa"/>
                </w:tcPr>
                <w:p w14:paraId="64F09547" w14:textId="77777777" w:rsidR="00A76274" w:rsidRDefault="00A76274">
                  <w:pPr>
                    <w:keepNext/>
                    <w:spacing w:after="60"/>
                    <w:jc w:val="center"/>
                  </w:pPr>
                </w:p>
              </w:tc>
              <w:tc>
                <w:tcPr>
                  <w:tcW w:w="1450" w:type="dxa"/>
                </w:tcPr>
                <w:p w14:paraId="7C9BAE70" w14:textId="77777777" w:rsidR="00A76274" w:rsidRDefault="00000000">
                  <w:pPr>
                    <w:keepNext/>
                    <w:spacing w:after="60"/>
                    <w:jc w:val="center"/>
                  </w:pPr>
                  <w:r>
                    <w:rPr>
                      <w:rFonts w:ascii="Calibri" w:hAnsi="Calibri"/>
                      <w:sz w:val="20"/>
                    </w:rPr>
                    <w:t>(0.006)</w:t>
                  </w:r>
                </w:p>
              </w:tc>
            </w:tr>
            <w:tr w:rsidR="000C6231" w14:paraId="3461181F" w14:textId="77777777" w:rsidTr="000C6231">
              <w:trPr>
                <w:cantSplit/>
                <w:jc w:val="center"/>
              </w:trPr>
              <w:tc>
                <w:tcPr>
                  <w:tcW w:w="5069" w:type="dxa"/>
                </w:tcPr>
                <w:p w14:paraId="7908FB12" w14:textId="77777777" w:rsidR="00A76274" w:rsidRDefault="00000000">
                  <w:pPr>
                    <w:keepNext/>
                    <w:spacing w:after="60"/>
                  </w:pPr>
                  <w:r>
                    <w:rPr>
                      <w:rFonts w:ascii="Calibri" w:hAnsi="Calibri"/>
                      <w:sz w:val="20"/>
                    </w:rPr>
                    <w:t>Emotional Stability</w:t>
                  </w:r>
                </w:p>
              </w:tc>
              <w:tc>
                <w:tcPr>
                  <w:tcW w:w="1450" w:type="dxa"/>
                </w:tcPr>
                <w:p w14:paraId="6894DF7E" w14:textId="77777777" w:rsidR="00A76274" w:rsidRDefault="00A76274">
                  <w:pPr>
                    <w:keepNext/>
                    <w:spacing w:after="60"/>
                    <w:jc w:val="center"/>
                  </w:pPr>
                </w:p>
              </w:tc>
              <w:tc>
                <w:tcPr>
                  <w:tcW w:w="1450" w:type="dxa"/>
                </w:tcPr>
                <w:p w14:paraId="324ECBA7" w14:textId="77777777" w:rsidR="00A76274" w:rsidRDefault="00A76274">
                  <w:pPr>
                    <w:keepNext/>
                    <w:spacing w:after="60"/>
                    <w:jc w:val="center"/>
                  </w:pPr>
                </w:p>
              </w:tc>
              <w:tc>
                <w:tcPr>
                  <w:tcW w:w="1450" w:type="dxa"/>
                </w:tcPr>
                <w:p w14:paraId="13E78835" w14:textId="77777777" w:rsidR="00A76274" w:rsidRDefault="00000000">
                  <w:pPr>
                    <w:keepNext/>
                    <w:spacing w:after="60"/>
                    <w:jc w:val="center"/>
                  </w:pPr>
                  <w:r>
                    <w:rPr>
                      <w:rFonts w:ascii="Calibri" w:hAnsi="Calibri"/>
                      <w:sz w:val="20"/>
                    </w:rPr>
                    <w:t>0.005</w:t>
                  </w:r>
                </w:p>
              </w:tc>
            </w:tr>
            <w:tr w:rsidR="000C6231" w14:paraId="3F5FCBE8" w14:textId="77777777" w:rsidTr="000C6231">
              <w:trPr>
                <w:cantSplit/>
                <w:jc w:val="center"/>
              </w:trPr>
              <w:tc>
                <w:tcPr>
                  <w:tcW w:w="5069" w:type="dxa"/>
                </w:tcPr>
                <w:p w14:paraId="0BE71FF4" w14:textId="77777777" w:rsidR="00A76274" w:rsidRDefault="00A76274">
                  <w:pPr>
                    <w:keepNext/>
                    <w:spacing w:after="60"/>
                  </w:pPr>
                </w:p>
              </w:tc>
              <w:tc>
                <w:tcPr>
                  <w:tcW w:w="1450" w:type="dxa"/>
                </w:tcPr>
                <w:p w14:paraId="3CC17A14" w14:textId="77777777" w:rsidR="00A76274" w:rsidRDefault="00A76274">
                  <w:pPr>
                    <w:keepNext/>
                    <w:spacing w:after="60"/>
                    <w:jc w:val="center"/>
                  </w:pPr>
                </w:p>
              </w:tc>
              <w:tc>
                <w:tcPr>
                  <w:tcW w:w="1450" w:type="dxa"/>
                </w:tcPr>
                <w:p w14:paraId="65753212" w14:textId="77777777" w:rsidR="00A76274" w:rsidRDefault="00A76274">
                  <w:pPr>
                    <w:keepNext/>
                    <w:spacing w:after="60"/>
                    <w:jc w:val="center"/>
                  </w:pPr>
                </w:p>
              </w:tc>
              <w:tc>
                <w:tcPr>
                  <w:tcW w:w="1450" w:type="dxa"/>
                </w:tcPr>
                <w:p w14:paraId="5C0ED074" w14:textId="77777777" w:rsidR="00A76274" w:rsidRDefault="00000000">
                  <w:pPr>
                    <w:keepNext/>
                    <w:spacing w:after="60"/>
                    <w:jc w:val="center"/>
                  </w:pPr>
                  <w:r>
                    <w:rPr>
                      <w:rFonts w:ascii="Calibri" w:hAnsi="Calibri"/>
                      <w:sz w:val="20"/>
                    </w:rPr>
                    <w:t>(0.006)</w:t>
                  </w:r>
                </w:p>
              </w:tc>
            </w:tr>
            <w:tr w:rsidR="000C6231" w14:paraId="7A0EBD56" w14:textId="77777777" w:rsidTr="000C6231">
              <w:trPr>
                <w:cantSplit/>
                <w:jc w:val="center"/>
              </w:trPr>
              <w:tc>
                <w:tcPr>
                  <w:tcW w:w="5069" w:type="dxa"/>
                </w:tcPr>
                <w:p w14:paraId="591E4DFC" w14:textId="77777777" w:rsidR="00A76274" w:rsidRDefault="00000000">
                  <w:pPr>
                    <w:keepNext/>
                    <w:spacing w:after="60"/>
                  </w:pPr>
                  <w:proofErr w:type="spellStart"/>
                  <w:r>
                    <w:rPr>
                      <w:rFonts w:ascii="Calibri" w:hAnsi="Calibri"/>
                      <w:sz w:val="20"/>
                    </w:rPr>
                    <w:t>Num.Obs</w:t>
                  </w:r>
                  <w:proofErr w:type="spellEnd"/>
                  <w:r>
                    <w:rPr>
                      <w:rFonts w:ascii="Calibri" w:hAnsi="Calibri"/>
                      <w:sz w:val="20"/>
                    </w:rPr>
                    <w:t>.</w:t>
                  </w:r>
                </w:p>
              </w:tc>
              <w:tc>
                <w:tcPr>
                  <w:tcW w:w="1450" w:type="dxa"/>
                </w:tcPr>
                <w:p w14:paraId="7AA29A0E" w14:textId="77777777" w:rsidR="00A76274" w:rsidRDefault="00000000">
                  <w:pPr>
                    <w:keepNext/>
                    <w:spacing w:after="60"/>
                    <w:jc w:val="center"/>
                  </w:pPr>
                  <w:r>
                    <w:rPr>
                      <w:rFonts w:ascii="Calibri" w:hAnsi="Calibri"/>
                      <w:sz w:val="20"/>
                    </w:rPr>
                    <w:t>5994</w:t>
                  </w:r>
                </w:p>
              </w:tc>
              <w:tc>
                <w:tcPr>
                  <w:tcW w:w="1450" w:type="dxa"/>
                </w:tcPr>
                <w:p w14:paraId="4AFCFF4D" w14:textId="77777777" w:rsidR="00A76274" w:rsidRDefault="00000000">
                  <w:pPr>
                    <w:keepNext/>
                    <w:spacing w:after="60"/>
                    <w:jc w:val="center"/>
                  </w:pPr>
                  <w:r>
                    <w:rPr>
                      <w:rFonts w:ascii="Calibri" w:hAnsi="Calibri"/>
                      <w:sz w:val="20"/>
                    </w:rPr>
                    <w:t>5994</w:t>
                  </w:r>
                </w:p>
              </w:tc>
              <w:tc>
                <w:tcPr>
                  <w:tcW w:w="1450" w:type="dxa"/>
                </w:tcPr>
                <w:p w14:paraId="66DAFC52" w14:textId="77777777" w:rsidR="00A76274" w:rsidRDefault="00000000">
                  <w:pPr>
                    <w:keepNext/>
                    <w:spacing w:after="60"/>
                    <w:jc w:val="center"/>
                  </w:pPr>
                  <w:r>
                    <w:rPr>
                      <w:rFonts w:ascii="Calibri" w:hAnsi="Calibri"/>
                      <w:sz w:val="20"/>
                    </w:rPr>
                    <w:t>5994</w:t>
                  </w:r>
                </w:p>
              </w:tc>
            </w:tr>
            <w:tr w:rsidR="000C6231" w14:paraId="2AC2ED23" w14:textId="77777777" w:rsidTr="000C6231">
              <w:trPr>
                <w:cantSplit/>
                <w:jc w:val="center"/>
              </w:trPr>
              <w:tc>
                <w:tcPr>
                  <w:tcW w:w="5069" w:type="dxa"/>
                </w:tcPr>
                <w:p w14:paraId="22828D7F" w14:textId="77777777" w:rsidR="00A76274" w:rsidRDefault="00000000">
                  <w:pPr>
                    <w:keepNext/>
                    <w:spacing w:after="60"/>
                  </w:pPr>
                  <w:r>
                    <w:rPr>
                      <w:rFonts w:ascii="Calibri" w:hAnsi="Calibri"/>
                      <w:sz w:val="20"/>
                    </w:rPr>
                    <w:t>R2 Marg.</w:t>
                  </w:r>
                </w:p>
              </w:tc>
              <w:tc>
                <w:tcPr>
                  <w:tcW w:w="1450" w:type="dxa"/>
                </w:tcPr>
                <w:p w14:paraId="057B015B" w14:textId="77777777" w:rsidR="00A76274" w:rsidRDefault="00000000">
                  <w:pPr>
                    <w:keepNext/>
                    <w:spacing w:after="60"/>
                    <w:jc w:val="center"/>
                  </w:pPr>
                  <w:r>
                    <w:rPr>
                      <w:rFonts w:ascii="Calibri" w:hAnsi="Calibri"/>
                      <w:sz w:val="20"/>
                    </w:rPr>
                    <w:t>0.000</w:t>
                  </w:r>
                </w:p>
              </w:tc>
              <w:tc>
                <w:tcPr>
                  <w:tcW w:w="1450" w:type="dxa"/>
                </w:tcPr>
                <w:p w14:paraId="5AEFA6B8" w14:textId="77777777" w:rsidR="00A76274" w:rsidRDefault="00000000">
                  <w:pPr>
                    <w:keepNext/>
                    <w:spacing w:after="60"/>
                    <w:jc w:val="center"/>
                  </w:pPr>
                  <w:r>
                    <w:rPr>
                      <w:rFonts w:ascii="Calibri" w:hAnsi="Calibri"/>
                      <w:sz w:val="20"/>
                    </w:rPr>
                    <w:t>0.106</w:t>
                  </w:r>
                </w:p>
              </w:tc>
              <w:tc>
                <w:tcPr>
                  <w:tcW w:w="1450" w:type="dxa"/>
                </w:tcPr>
                <w:p w14:paraId="36DBD68F" w14:textId="77777777" w:rsidR="00A76274" w:rsidRDefault="00000000">
                  <w:pPr>
                    <w:keepNext/>
                    <w:spacing w:after="60"/>
                    <w:jc w:val="center"/>
                  </w:pPr>
                  <w:r>
                    <w:rPr>
                      <w:rFonts w:ascii="Calibri" w:hAnsi="Calibri"/>
                      <w:sz w:val="20"/>
                    </w:rPr>
                    <w:t>0.122</w:t>
                  </w:r>
                </w:p>
              </w:tc>
            </w:tr>
            <w:tr w:rsidR="000C6231" w14:paraId="5A0B8CAA" w14:textId="77777777" w:rsidTr="000C6231">
              <w:trPr>
                <w:cantSplit/>
                <w:jc w:val="center"/>
              </w:trPr>
              <w:tc>
                <w:tcPr>
                  <w:tcW w:w="5069" w:type="dxa"/>
                </w:tcPr>
                <w:p w14:paraId="1310329B" w14:textId="77777777" w:rsidR="00A76274" w:rsidRDefault="00000000">
                  <w:pPr>
                    <w:keepNext/>
                    <w:spacing w:after="60"/>
                  </w:pPr>
                  <w:r>
                    <w:rPr>
                      <w:rFonts w:ascii="Calibri" w:hAnsi="Calibri"/>
                      <w:sz w:val="20"/>
                    </w:rPr>
                    <w:t>R2 Cond.</w:t>
                  </w:r>
                </w:p>
              </w:tc>
              <w:tc>
                <w:tcPr>
                  <w:tcW w:w="1450" w:type="dxa"/>
                </w:tcPr>
                <w:p w14:paraId="6F722472" w14:textId="77777777" w:rsidR="00A76274" w:rsidRDefault="00000000">
                  <w:pPr>
                    <w:keepNext/>
                    <w:spacing w:after="60"/>
                    <w:jc w:val="center"/>
                  </w:pPr>
                  <w:r>
                    <w:rPr>
                      <w:rFonts w:ascii="Calibri" w:hAnsi="Calibri"/>
                      <w:sz w:val="20"/>
                    </w:rPr>
                    <w:t>0.570</w:t>
                  </w:r>
                </w:p>
              </w:tc>
              <w:tc>
                <w:tcPr>
                  <w:tcW w:w="1450" w:type="dxa"/>
                </w:tcPr>
                <w:p w14:paraId="08ED15D7" w14:textId="77777777" w:rsidR="00A76274" w:rsidRDefault="00000000">
                  <w:pPr>
                    <w:keepNext/>
                    <w:spacing w:after="60"/>
                    <w:jc w:val="center"/>
                  </w:pPr>
                  <w:r>
                    <w:rPr>
                      <w:rFonts w:ascii="Calibri" w:hAnsi="Calibri"/>
                      <w:sz w:val="20"/>
                    </w:rPr>
                    <w:t>0.547</w:t>
                  </w:r>
                </w:p>
              </w:tc>
              <w:tc>
                <w:tcPr>
                  <w:tcW w:w="1450" w:type="dxa"/>
                </w:tcPr>
                <w:p w14:paraId="0A6B864A" w14:textId="77777777" w:rsidR="00A76274" w:rsidRDefault="00000000">
                  <w:pPr>
                    <w:keepNext/>
                    <w:spacing w:after="60"/>
                    <w:jc w:val="center"/>
                  </w:pPr>
                  <w:r>
                    <w:rPr>
                      <w:rFonts w:ascii="Calibri" w:hAnsi="Calibri"/>
                      <w:sz w:val="20"/>
                    </w:rPr>
                    <w:t>0.547</w:t>
                  </w:r>
                </w:p>
              </w:tc>
            </w:tr>
            <w:tr w:rsidR="00A76274" w14:paraId="55E0117A" w14:textId="77777777" w:rsidTr="000C6231">
              <w:trPr>
                <w:gridAfter w:val="3"/>
                <w:wAfter w:w="4350" w:type="dxa"/>
                <w:cantSplit/>
                <w:jc w:val="center"/>
              </w:trPr>
              <w:tc>
                <w:tcPr>
                  <w:tcW w:w="5069" w:type="dxa"/>
                </w:tcPr>
                <w:p w14:paraId="0820300D" w14:textId="77777777" w:rsidR="00A76274" w:rsidRDefault="00000000">
                  <w:pPr>
                    <w:keepNext/>
                    <w:spacing w:after="60"/>
                  </w:pPr>
                  <w:r>
                    <w:rPr>
                      <w:rFonts w:ascii="Calibri" w:hAnsi="Calibri"/>
                      <w:sz w:val="20"/>
                    </w:rPr>
                    <w:t>Source: Calculations of the author based on the RLMS data.</w:t>
                  </w:r>
                </w:p>
              </w:tc>
            </w:tr>
            <w:bookmarkEnd w:id="13"/>
          </w:tbl>
          <w:p w14:paraId="100B5C5A" w14:textId="77777777" w:rsidR="00000000" w:rsidRDefault="00000000">
            <w:pPr>
              <w:spacing w:after="0"/>
            </w:pPr>
          </w:p>
        </w:tc>
      </w:tr>
    </w:tbl>
    <w:p w14:paraId="7526C5D2" w14:textId="77777777" w:rsidR="00A76274" w:rsidRDefault="00000000">
      <w:pPr>
        <w:pStyle w:val="BodyText"/>
      </w:pPr>
      <w:r>
        <w:t xml:space="preserve">The subsequent models, similar to the third model in </w:t>
      </w:r>
      <w:hyperlink w:anchor="tbl-regs-mem-fixed">
        <w:r>
          <w:rPr>
            <w:rStyle w:val="Hyperlink"/>
          </w:rPr>
          <w:t>Table 4</w:t>
        </w:r>
      </w:hyperlink>
      <w:r>
        <w:t xml:space="preserve">, sequentially exclude one of the fixed effects and treat it as a grouping factor for the random slopes of non-cognitive skills. As such, three more models were calculated, exploring the effect of non-cognitive skills on employment by income quintile group (Model 4) and level of education completed (Model 5), and sex (Model 6). While the fixed part of the models are reported in </w:t>
      </w:r>
      <w:hyperlink w:anchor="tbl-regs-mem-random">
        <w:r>
          <w:rPr>
            <w:rStyle w:val="Hyperlink"/>
          </w:rPr>
          <w:t>Table 5</w:t>
        </w:r>
      </w:hyperlink>
      <w:r>
        <w:t xml:space="preserve">, the </w:t>
      </w:r>
      <w:r>
        <w:lastRenderedPageBreak/>
        <w:t>primary focus of the analysis shifts to the varying coefficients of non-cognitive skills across the selected groups, which are described in detail in the following three sections.</w:t>
      </w:r>
    </w:p>
    <w:tbl>
      <w:tblPr>
        <w:tblStyle w:val="Table"/>
        <w:tblW w:w="5000" w:type="pct"/>
        <w:tblLayout w:type="fixed"/>
        <w:tblLook w:val="0000" w:firstRow="0" w:lastRow="0" w:firstColumn="0" w:lastColumn="0" w:noHBand="0" w:noVBand="0"/>
      </w:tblPr>
      <w:tblGrid>
        <w:gridCol w:w="9360"/>
      </w:tblGrid>
      <w:tr w:rsidR="00A76274" w14:paraId="50131965" w14:textId="77777777">
        <w:tc>
          <w:tcPr>
            <w:tcW w:w="7920" w:type="dxa"/>
          </w:tcPr>
          <w:p w14:paraId="6B7FF316" w14:textId="77777777" w:rsidR="00A76274" w:rsidRDefault="00000000">
            <w:pPr>
              <w:pStyle w:val="ImageCaption"/>
              <w:spacing w:before="200"/>
            </w:pPr>
            <w:bookmarkStart w:id="14" w:name="tbl-regs-mem-random"/>
            <w:r>
              <w:t>Table 5: Fixed-Effect (Non-Varying) Coefficients of Mixed-Effects Models with Random Slopes for Non-Cognitive Skills by: (1) Years Since Completing Highest Education Level, (2) Household Income Per Capita Quintile at Age 15/16, (3) Level of Education, and (4) Sex</w:t>
            </w:r>
          </w:p>
          <w:tbl>
            <w:tblPr>
              <w:tblStyle w:val="Table"/>
              <w:tblW w:w="0" w:type="auto"/>
              <w:jc w:val="center"/>
              <w:tblCellMar>
                <w:left w:w="60" w:type="dxa"/>
                <w:right w:w="60" w:type="dxa"/>
              </w:tblCellMar>
              <w:tblLook w:val="0000" w:firstRow="0" w:lastRow="0" w:firstColumn="0" w:lastColumn="0" w:noHBand="0" w:noVBand="0"/>
            </w:tblPr>
            <w:tblGrid>
              <w:gridCol w:w="2633"/>
              <w:gridCol w:w="1508"/>
              <w:gridCol w:w="2039"/>
              <w:gridCol w:w="1505"/>
            </w:tblGrid>
            <w:tr w:rsidR="000C6231" w14:paraId="4F5D88D5" w14:textId="77777777" w:rsidTr="000C6231">
              <w:trPr>
                <w:cantSplit/>
                <w:tblHeader/>
                <w:jc w:val="center"/>
              </w:trPr>
              <w:tc>
                <w:tcPr>
                  <w:tcW w:w="2633" w:type="dxa"/>
                </w:tcPr>
                <w:p w14:paraId="269D7F1E" w14:textId="77777777" w:rsidR="00A76274" w:rsidRDefault="00A76274">
                  <w:pPr>
                    <w:keepNext/>
                    <w:spacing w:after="60"/>
                  </w:pPr>
                </w:p>
              </w:tc>
              <w:tc>
                <w:tcPr>
                  <w:tcW w:w="1508" w:type="dxa"/>
                  <w:tcBorders>
                    <w:top w:val="single" w:sz="16" w:space="0" w:color="D3D3D3"/>
                    <w:bottom w:val="single" w:sz="16" w:space="0" w:color="D3D3D3"/>
                  </w:tcBorders>
                </w:tcPr>
                <w:p w14:paraId="03225993" w14:textId="77777777" w:rsidR="00A76274" w:rsidRDefault="00000000">
                  <w:pPr>
                    <w:keepNext/>
                    <w:spacing w:after="60"/>
                    <w:jc w:val="center"/>
                  </w:pPr>
                  <w:r>
                    <w:rPr>
                      <w:rFonts w:ascii="Calibri" w:hAnsi="Calibri"/>
                      <w:sz w:val="20"/>
                    </w:rPr>
                    <w:t>Model with SES</w:t>
                  </w:r>
                </w:p>
              </w:tc>
              <w:tc>
                <w:tcPr>
                  <w:tcW w:w="2039" w:type="dxa"/>
                  <w:tcBorders>
                    <w:top w:val="single" w:sz="16" w:space="0" w:color="D3D3D3"/>
                    <w:bottom w:val="single" w:sz="16" w:space="0" w:color="D3D3D3"/>
                  </w:tcBorders>
                </w:tcPr>
                <w:p w14:paraId="57D30E4E" w14:textId="77777777" w:rsidR="00A76274" w:rsidRDefault="00000000">
                  <w:pPr>
                    <w:keepNext/>
                    <w:spacing w:after="60"/>
                    <w:jc w:val="center"/>
                  </w:pPr>
                  <w:r>
                    <w:rPr>
                      <w:rFonts w:ascii="Calibri" w:hAnsi="Calibri"/>
                      <w:sz w:val="20"/>
                    </w:rPr>
                    <w:t>Model with Education</w:t>
                  </w:r>
                </w:p>
              </w:tc>
              <w:tc>
                <w:tcPr>
                  <w:tcW w:w="1505" w:type="dxa"/>
                </w:tcPr>
                <w:p w14:paraId="56D89F21" w14:textId="77777777" w:rsidR="00A76274" w:rsidRDefault="00000000">
                  <w:pPr>
                    <w:keepNext/>
                    <w:spacing w:after="60"/>
                    <w:jc w:val="center"/>
                  </w:pPr>
                  <w:r>
                    <w:rPr>
                      <w:rFonts w:ascii="Calibri" w:hAnsi="Calibri"/>
                      <w:sz w:val="20"/>
                    </w:rPr>
                    <w:t>Model with Sex</w:t>
                  </w:r>
                </w:p>
              </w:tc>
            </w:tr>
            <w:tr w:rsidR="000C6231" w14:paraId="53FFF6C1" w14:textId="77777777" w:rsidTr="000C6231">
              <w:trPr>
                <w:cantSplit/>
                <w:jc w:val="center"/>
              </w:trPr>
              <w:tc>
                <w:tcPr>
                  <w:tcW w:w="2633" w:type="dxa"/>
                </w:tcPr>
                <w:p w14:paraId="52573708" w14:textId="77777777" w:rsidR="00A76274" w:rsidRDefault="00000000">
                  <w:pPr>
                    <w:keepNext/>
                    <w:spacing w:after="60"/>
                  </w:pPr>
                  <w:r>
                    <w:rPr>
                      <w:rFonts w:ascii="Calibri" w:hAnsi="Calibri"/>
                      <w:sz w:val="20"/>
                    </w:rPr>
                    <w:t>Intercept</w:t>
                  </w:r>
                </w:p>
              </w:tc>
              <w:tc>
                <w:tcPr>
                  <w:tcW w:w="1508" w:type="dxa"/>
                </w:tcPr>
                <w:p w14:paraId="76E71E12" w14:textId="77777777" w:rsidR="00A76274" w:rsidRDefault="00000000">
                  <w:pPr>
                    <w:keepNext/>
                    <w:spacing w:after="60"/>
                    <w:jc w:val="center"/>
                  </w:pPr>
                  <w:r>
                    <w:rPr>
                      <w:rFonts w:ascii="Calibri" w:hAnsi="Calibri"/>
                      <w:sz w:val="20"/>
                    </w:rPr>
                    <w:t>0.310</w:t>
                  </w:r>
                </w:p>
              </w:tc>
              <w:tc>
                <w:tcPr>
                  <w:tcW w:w="2039" w:type="dxa"/>
                </w:tcPr>
                <w:p w14:paraId="1B799586" w14:textId="77777777" w:rsidR="00A76274" w:rsidRDefault="00000000">
                  <w:pPr>
                    <w:keepNext/>
                    <w:spacing w:after="60"/>
                    <w:jc w:val="center"/>
                  </w:pPr>
                  <w:r>
                    <w:rPr>
                      <w:rFonts w:ascii="Calibri" w:hAnsi="Calibri"/>
                      <w:sz w:val="20"/>
                    </w:rPr>
                    <w:t>0.427</w:t>
                  </w:r>
                </w:p>
              </w:tc>
              <w:tc>
                <w:tcPr>
                  <w:tcW w:w="1505" w:type="dxa"/>
                </w:tcPr>
                <w:p w14:paraId="2269E842" w14:textId="77777777" w:rsidR="00A76274" w:rsidRDefault="00000000">
                  <w:pPr>
                    <w:keepNext/>
                    <w:spacing w:after="60"/>
                    <w:jc w:val="center"/>
                  </w:pPr>
                  <w:r>
                    <w:rPr>
                      <w:rFonts w:ascii="Calibri" w:hAnsi="Calibri"/>
                      <w:sz w:val="20"/>
                    </w:rPr>
                    <w:t>0.251</w:t>
                  </w:r>
                </w:p>
              </w:tc>
            </w:tr>
            <w:tr w:rsidR="000C6231" w14:paraId="526A4B4C" w14:textId="77777777" w:rsidTr="000C6231">
              <w:trPr>
                <w:cantSplit/>
                <w:jc w:val="center"/>
              </w:trPr>
              <w:tc>
                <w:tcPr>
                  <w:tcW w:w="2633" w:type="dxa"/>
                </w:tcPr>
                <w:p w14:paraId="1DAA2E98" w14:textId="77777777" w:rsidR="00A76274" w:rsidRDefault="00A76274">
                  <w:pPr>
                    <w:keepNext/>
                    <w:spacing w:after="60"/>
                  </w:pPr>
                </w:p>
              </w:tc>
              <w:tc>
                <w:tcPr>
                  <w:tcW w:w="1508" w:type="dxa"/>
                </w:tcPr>
                <w:p w14:paraId="24CA46F3" w14:textId="77777777" w:rsidR="00A76274" w:rsidRDefault="00000000">
                  <w:pPr>
                    <w:keepNext/>
                    <w:spacing w:after="60"/>
                    <w:jc w:val="center"/>
                  </w:pPr>
                  <w:r>
                    <w:rPr>
                      <w:rFonts w:ascii="Calibri" w:hAnsi="Calibri"/>
                      <w:sz w:val="20"/>
                    </w:rPr>
                    <w:t>(0.039) ***</w:t>
                  </w:r>
                </w:p>
              </w:tc>
              <w:tc>
                <w:tcPr>
                  <w:tcW w:w="2039" w:type="dxa"/>
                </w:tcPr>
                <w:p w14:paraId="7F10A7EC" w14:textId="77777777" w:rsidR="00A76274" w:rsidRDefault="00000000">
                  <w:pPr>
                    <w:keepNext/>
                    <w:spacing w:after="60"/>
                    <w:jc w:val="center"/>
                  </w:pPr>
                  <w:r>
                    <w:rPr>
                      <w:rFonts w:ascii="Calibri" w:hAnsi="Calibri"/>
                      <w:sz w:val="20"/>
                    </w:rPr>
                    <w:t>(0.065) ***</w:t>
                  </w:r>
                </w:p>
              </w:tc>
              <w:tc>
                <w:tcPr>
                  <w:tcW w:w="1505" w:type="dxa"/>
                </w:tcPr>
                <w:p w14:paraId="3D070C29" w14:textId="77777777" w:rsidR="00A76274" w:rsidRDefault="00000000">
                  <w:pPr>
                    <w:keepNext/>
                    <w:spacing w:after="60"/>
                    <w:jc w:val="center"/>
                  </w:pPr>
                  <w:r>
                    <w:rPr>
                      <w:rFonts w:ascii="Calibri" w:hAnsi="Calibri"/>
                      <w:sz w:val="20"/>
                    </w:rPr>
                    <w:t>(0.047) ***</w:t>
                  </w:r>
                </w:p>
              </w:tc>
            </w:tr>
            <w:tr w:rsidR="000C6231" w14:paraId="69F22E66" w14:textId="77777777" w:rsidTr="000C6231">
              <w:trPr>
                <w:cantSplit/>
                <w:jc w:val="center"/>
              </w:trPr>
              <w:tc>
                <w:tcPr>
                  <w:tcW w:w="2633" w:type="dxa"/>
                </w:tcPr>
                <w:p w14:paraId="52D78A9C" w14:textId="77777777" w:rsidR="00A76274" w:rsidRDefault="00000000">
                  <w:pPr>
                    <w:keepNext/>
                    <w:spacing w:after="60"/>
                  </w:pPr>
                  <w:r>
                    <w:rPr>
                      <w:rFonts w:ascii="Calibri" w:hAnsi="Calibri"/>
                      <w:sz w:val="20"/>
                    </w:rPr>
                    <w:t>Sex: Male</w:t>
                  </w:r>
                </w:p>
              </w:tc>
              <w:tc>
                <w:tcPr>
                  <w:tcW w:w="1508" w:type="dxa"/>
                </w:tcPr>
                <w:p w14:paraId="31ED6102" w14:textId="77777777" w:rsidR="00A76274" w:rsidRDefault="00000000">
                  <w:pPr>
                    <w:keepNext/>
                    <w:spacing w:after="60"/>
                    <w:jc w:val="center"/>
                  </w:pPr>
                  <w:r>
                    <w:rPr>
                      <w:rFonts w:ascii="Calibri" w:hAnsi="Calibri"/>
                      <w:sz w:val="20"/>
                    </w:rPr>
                    <w:t>0.000</w:t>
                  </w:r>
                </w:p>
              </w:tc>
              <w:tc>
                <w:tcPr>
                  <w:tcW w:w="2039" w:type="dxa"/>
                </w:tcPr>
                <w:p w14:paraId="7AAF5780" w14:textId="77777777" w:rsidR="00A76274" w:rsidRDefault="00000000">
                  <w:pPr>
                    <w:keepNext/>
                    <w:spacing w:after="60"/>
                    <w:jc w:val="center"/>
                  </w:pPr>
                  <w:r>
                    <w:rPr>
                      <w:rFonts w:ascii="Calibri" w:hAnsi="Calibri"/>
                      <w:sz w:val="20"/>
                    </w:rPr>
                    <w:t>0.002</w:t>
                  </w:r>
                </w:p>
              </w:tc>
              <w:tc>
                <w:tcPr>
                  <w:tcW w:w="1505" w:type="dxa"/>
                </w:tcPr>
                <w:p w14:paraId="33BCB82C" w14:textId="77777777" w:rsidR="00A76274" w:rsidRDefault="00A76274">
                  <w:pPr>
                    <w:keepNext/>
                    <w:spacing w:after="60"/>
                    <w:jc w:val="center"/>
                  </w:pPr>
                </w:p>
              </w:tc>
            </w:tr>
            <w:tr w:rsidR="000C6231" w14:paraId="1F179997" w14:textId="77777777" w:rsidTr="000C6231">
              <w:trPr>
                <w:cantSplit/>
                <w:jc w:val="center"/>
              </w:trPr>
              <w:tc>
                <w:tcPr>
                  <w:tcW w:w="2633" w:type="dxa"/>
                </w:tcPr>
                <w:p w14:paraId="0AEAE4A9" w14:textId="77777777" w:rsidR="00A76274" w:rsidRDefault="00A76274">
                  <w:pPr>
                    <w:keepNext/>
                    <w:spacing w:after="60"/>
                  </w:pPr>
                </w:p>
              </w:tc>
              <w:tc>
                <w:tcPr>
                  <w:tcW w:w="1508" w:type="dxa"/>
                </w:tcPr>
                <w:p w14:paraId="7052E68E" w14:textId="77777777" w:rsidR="00A76274" w:rsidRDefault="00000000">
                  <w:pPr>
                    <w:keepNext/>
                    <w:spacing w:after="60"/>
                    <w:jc w:val="center"/>
                  </w:pPr>
                  <w:r>
                    <w:rPr>
                      <w:rFonts w:ascii="Calibri" w:hAnsi="Calibri"/>
                      <w:sz w:val="20"/>
                    </w:rPr>
                    <w:t>(0.011)</w:t>
                  </w:r>
                </w:p>
              </w:tc>
              <w:tc>
                <w:tcPr>
                  <w:tcW w:w="2039" w:type="dxa"/>
                </w:tcPr>
                <w:p w14:paraId="3763DA82" w14:textId="77777777" w:rsidR="00A76274" w:rsidRDefault="00000000">
                  <w:pPr>
                    <w:keepNext/>
                    <w:spacing w:after="60"/>
                    <w:jc w:val="center"/>
                  </w:pPr>
                  <w:r>
                    <w:rPr>
                      <w:rFonts w:ascii="Calibri" w:hAnsi="Calibri"/>
                      <w:sz w:val="20"/>
                    </w:rPr>
                    <w:t>(0.011)</w:t>
                  </w:r>
                </w:p>
              </w:tc>
              <w:tc>
                <w:tcPr>
                  <w:tcW w:w="1505" w:type="dxa"/>
                </w:tcPr>
                <w:p w14:paraId="0CC28FE9" w14:textId="77777777" w:rsidR="00A76274" w:rsidRDefault="00A76274">
                  <w:pPr>
                    <w:keepNext/>
                    <w:spacing w:after="60"/>
                    <w:jc w:val="center"/>
                  </w:pPr>
                </w:p>
              </w:tc>
            </w:tr>
            <w:tr w:rsidR="000C6231" w14:paraId="6BF59B21" w14:textId="77777777" w:rsidTr="000C6231">
              <w:trPr>
                <w:cantSplit/>
                <w:jc w:val="center"/>
              </w:trPr>
              <w:tc>
                <w:tcPr>
                  <w:tcW w:w="2633" w:type="dxa"/>
                </w:tcPr>
                <w:p w14:paraId="676BF551" w14:textId="77777777" w:rsidR="00A76274" w:rsidRDefault="00000000">
                  <w:pPr>
                    <w:keepNext/>
                    <w:spacing w:after="60"/>
                  </w:pPr>
                  <w:r>
                    <w:rPr>
                      <w:rFonts w:ascii="Calibri" w:hAnsi="Calibri"/>
                      <w:sz w:val="20"/>
                    </w:rPr>
                    <w:t>Education: Secondary</w:t>
                  </w:r>
                </w:p>
              </w:tc>
              <w:tc>
                <w:tcPr>
                  <w:tcW w:w="1508" w:type="dxa"/>
                </w:tcPr>
                <w:p w14:paraId="33AF1EDC" w14:textId="77777777" w:rsidR="00A76274" w:rsidRDefault="00000000">
                  <w:pPr>
                    <w:keepNext/>
                    <w:spacing w:after="60"/>
                    <w:jc w:val="center"/>
                  </w:pPr>
                  <w:r>
                    <w:rPr>
                      <w:rFonts w:ascii="Calibri" w:hAnsi="Calibri"/>
                      <w:sz w:val="20"/>
                    </w:rPr>
                    <w:t>0.110</w:t>
                  </w:r>
                </w:p>
              </w:tc>
              <w:tc>
                <w:tcPr>
                  <w:tcW w:w="2039" w:type="dxa"/>
                </w:tcPr>
                <w:p w14:paraId="603FB01E" w14:textId="77777777" w:rsidR="00A76274" w:rsidRDefault="00A76274">
                  <w:pPr>
                    <w:keepNext/>
                    <w:spacing w:after="60"/>
                    <w:jc w:val="center"/>
                  </w:pPr>
                </w:p>
              </w:tc>
              <w:tc>
                <w:tcPr>
                  <w:tcW w:w="1505" w:type="dxa"/>
                </w:tcPr>
                <w:p w14:paraId="065452B5" w14:textId="77777777" w:rsidR="00A76274" w:rsidRDefault="00000000">
                  <w:pPr>
                    <w:keepNext/>
                    <w:spacing w:after="60"/>
                    <w:jc w:val="center"/>
                  </w:pPr>
                  <w:r>
                    <w:rPr>
                      <w:rFonts w:ascii="Calibri" w:hAnsi="Calibri"/>
                      <w:sz w:val="20"/>
                    </w:rPr>
                    <w:t>0.110</w:t>
                  </w:r>
                </w:p>
              </w:tc>
            </w:tr>
            <w:tr w:rsidR="000C6231" w14:paraId="1D20873F" w14:textId="77777777" w:rsidTr="000C6231">
              <w:trPr>
                <w:cantSplit/>
                <w:jc w:val="center"/>
              </w:trPr>
              <w:tc>
                <w:tcPr>
                  <w:tcW w:w="2633" w:type="dxa"/>
                </w:tcPr>
                <w:p w14:paraId="484D35BA" w14:textId="77777777" w:rsidR="00A76274" w:rsidRDefault="00A76274">
                  <w:pPr>
                    <w:keepNext/>
                    <w:spacing w:after="60"/>
                  </w:pPr>
                </w:p>
              </w:tc>
              <w:tc>
                <w:tcPr>
                  <w:tcW w:w="1508" w:type="dxa"/>
                </w:tcPr>
                <w:p w14:paraId="5512FA42" w14:textId="77777777" w:rsidR="00A76274" w:rsidRDefault="00000000">
                  <w:pPr>
                    <w:keepNext/>
                    <w:spacing w:after="60"/>
                    <w:jc w:val="center"/>
                  </w:pPr>
                  <w:r>
                    <w:rPr>
                      <w:rFonts w:ascii="Calibri" w:hAnsi="Calibri"/>
                      <w:sz w:val="20"/>
                    </w:rPr>
                    <w:t>(0.018) ***</w:t>
                  </w:r>
                </w:p>
              </w:tc>
              <w:tc>
                <w:tcPr>
                  <w:tcW w:w="2039" w:type="dxa"/>
                </w:tcPr>
                <w:p w14:paraId="5417A013" w14:textId="77777777" w:rsidR="00A76274" w:rsidRDefault="00A76274">
                  <w:pPr>
                    <w:keepNext/>
                    <w:spacing w:after="60"/>
                    <w:jc w:val="center"/>
                  </w:pPr>
                </w:p>
              </w:tc>
              <w:tc>
                <w:tcPr>
                  <w:tcW w:w="1505" w:type="dxa"/>
                </w:tcPr>
                <w:p w14:paraId="2964DA89" w14:textId="77777777" w:rsidR="00A76274" w:rsidRDefault="00000000">
                  <w:pPr>
                    <w:keepNext/>
                    <w:spacing w:after="60"/>
                    <w:jc w:val="center"/>
                  </w:pPr>
                  <w:r>
                    <w:rPr>
                      <w:rFonts w:ascii="Calibri" w:hAnsi="Calibri"/>
                      <w:sz w:val="20"/>
                    </w:rPr>
                    <w:t>(0.018) ***</w:t>
                  </w:r>
                </w:p>
              </w:tc>
            </w:tr>
            <w:tr w:rsidR="000C6231" w14:paraId="070A0CDE" w14:textId="77777777" w:rsidTr="000C6231">
              <w:trPr>
                <w:cantSplit/>
                <w:jc w:val="center"/>
              </w:trPr>
              <w:tc>
                <w:tcPr>
                  <w:tcW w:w="2633" w:type="dxa"/>
                </w:tcPr>
                <w:p w14:paraId="03F14EB0" w14:textId="77777777" w:rsidR="00A76274" w:rsidRDefault="00000000">
                  <w:pPr>
                    <w:keepNext/>
                    <w:spacing w:after="60"/>
                  </w:pPr>
                  <w:r>
                    <w:rPr>
                      <w:rFonts w:ascii="Calibri" w:hAnsi="Calibri"/>
                      <w:sz w:val="20"/>
                    </w:rPr>
                    <w:t>Education: Vocational</w:t>
                  </w:r>
                </w:p>
              </w:tc>
              <w:tc>
                <w:tcPr>
                  <w:tcW w:w="1508" w:type="dxa"/>
                </w:tcPr>
                <w:p w14:paraId="5B645E66" w14:textId="77777777" w:rsidR="00A76274" w:rsidRDefault="00000000">
                  <w:pPr>
                    <w:keepNext/>
                    <w:spacing w:after="60"/>
                    <w:jc w:val="center"/>
                  </w:pPr>
                  <w:r>
                    <w:rPr>
                      <w:rFonts w:ascii="Calibri" w:hAnsi="Calibri"/>
                      <w:sz w:val="20"/>
                    </w:rPr>
                    <w:t>0.162</w:t>
                  </w:r>
                </w:p>
              </w:tc>
              <w:tc>
                <w:tcPr>
                  <w:tcW w:w="2039" w:type="dxa"/>
                </w:tcPr>
                <w:p w14:paraId="34864C31" w14:textId="77777777" w:rsidR="00A76274" w:rsidRDefault="00A76274">
                  <w:pPr>
                    <w:keepNext/>
                    <w:spacing w:after="60"/>
                    <w:jc w:val="center"/>
                  </w:pPr>
                </w:p>
              </w:tc>
              <w:tc>
                <w:tcPr>
                  <w:tcW w:w="1505" w:type="dxa"/>
                </w:tcPr>
                <w:p w14:paraId="1F25C52D" w14:textId="77777777" w:rsidR="00A76274" w:rsidRDefault="00000000">
                  <w:pPr>
                    <w:keepNext/>
                    <w:spacing w:after="60"/>
                    <w:jc w:val="center"/>
                  </w:pPr>
                  <w:r>
                    <w:rPr>
                      <w:rFonts w:ascii="Calibri" w:hAnsi="Calibri"/>
                      <w:sz w:val="20"/>
                    </w:rPr>
                    <w:t>0.135</w:t>
                  </w:r>
                </w:p>
              </w:tc>
            </w:tr>
            <w:tr w:rsidR="000C6231" w14:paraId="1FA48BCF" w14:textId="77777777" w:rsidTr="000C6231">
              <w:trPr>
                <w:cantSplit/>
                <w:jc w:val="center"/>
              </w:trPr>
              <w:tc>
                <w:tcPr>
                  <w:tcW w:w="2633" w:type="dxa"/>
                </w:tcPr>
                <w:p w14:paraId="279C58FF" w14:textId="77777777" w:rsidR="00A76274" w:rsidRDefault="00A76274">
                  <w:pPr>
                    <w:keepNext/>
                    <w:spacing w:after="60"/>
                  </w:pPr>
                </w:p>
              </w:tc>
              <w:tc>
                <w:tcPr>
                  <w:tcW w:w="1508" w:type="dxa"/>
                </w:tcPr>
                <w:p w14:paraId="340EF8E4" w14:textId="77777777" w:rsidR="00A76274" w:rsidRDefault="00000000">
                  <w:pPr>
                    <w:keepNext/>
                    <w:spacing w:after="60"/>
                    <w:jc w:val="center"/>
                  </w:pPr>
                  <w:r>
                    <w:rPr>
                      <w:rFonts w:ascii="Calibri" w:hAnsi="Calibri"/>
                      <w:sz w:val="20"/>
                    </w:rPr>
                    <w:t>(0.018) ***</w:t>
                  </w:r>
                </w:p>
              </w:tc>
              <w:tc>
                <w:tcPr>
                  <w:tcW w:w="2039" w:type="dxa"/>
                </w:tcPr>
                <w:p w14:paraId="3D6F1CE4" w14:textId="77777777" w:rsidR="00A76274" w:rsidRDefault="00A76274">
                  <w:pPr>
                    <w:keepNext/>
                    <w:spacing w:after="60"/>
                    <w:jc w:val="center"/>
                  </w:pPr>
                </w:p>
              </w:tc>
              <w:tc>
                <w:tcPr>
                  <w:tcW w:w="1505" w:type="dxa"/>
                </w:tcPr>
                <w:p w14:paraId="6AB43D67" w14:textId="77777777" w:rsidR="00A76274" w:rsidRDefault="00000000">
                  <w:pPr>
                    <w:keepNext/>
                    <w:spacing w:after="60"/>
                    <w:jc w:val="center"/>
                  </w:pPr>
                  <w:r>
                    <w:rPr>
                      <w:rFonts w:ascii="Calibri" w:hAnsi="Calibri"/>
                      <w:sz w:val="20"/>
                    </w:rPr>
                    <w:t>(0.018) ***</w:t>
                  </w:r>
                </w:p>
              </w:tc>
            </w:tr>
            <w:tr w:rsidR="000C6231" w14:paraId="47955334" w14:textId="77777777" w:rsidTr="000C6231">
              <w:trPr>
                <w:cantSplit/>
                <w:jc w:val="center"/>
              </w:trPr>
              <w:tc>
                <w:tcPr>
                  <w:tcW w:w="2633" w:type="dxa"/>
                </w:tcPr>
                <w:p w14:paraId="0694538D" w14:textId="77777777" w:rsidR="00A76274" w:rsidRDefault="00000000">
                  <w:pPr>
                    <w:keepNext/>
                    <w:spacing w:after="60"/>
                  </w:pPr>
                  <w:r>
                    <w:rPr>
                      <w:rFonts w:ascii="Calibri" w:hAnsi="Calibri"/>
                      <w:sz w:val="20"/>
                    </w:rPr>
                    <w:t>Education: Tertiary</w:t>
                  </w:r>
                </w:p>
              </w:tc>
              <w:tc>
                <w:tcPr>
                  <w:tcW w:w="1508" w:type="dxa"/>
                </w:tcPr>
                <w:p w14:paraId="0356096A" w14:textId="77777777" w:rsidR="00A76274" w:rsidRDefault="00000000">
                  <w:pPr>
                    <w:keepNext/>
                    <w:spacing w:after="60"/>
                    <w:jc w:val="center"/>
                  </w:pPr>
                  <w:r>
                    <w:rPr>
                      <w:rFonts w:ascii="Calibri" w:hAnsi="Calibri"/>
                      <w:sz w:val="20"/>
                    </w:rPr>
                    <w:t>0.256</w:t>
                  </w:r>
                </w:p>
              </w:tc>
              <w:tc>
                <w:tcPr>
                  <w:tcW w:w="2039" w:type="dxa"/>
                </w:tcPr>
                <w:p w14:paraId="16B3DC09" w14:textId="77777777" w:rsidR="00A76274" w:rsidRDefault="00A76274">
                  <w:pPr>
                    <w:keepNext/>
                    <w:spacing w:after="60"/>
                    <w:jc w:val="center"/>
                  </w:pPr>
                </w:p>
              </w:tc>
              <w:tc>
                <w:tcPr>
                  <w:tcW w:w="1505" w:type="dxa"/>
                </w:tcPr>
                <w:p w14:paraId="0D0D0569" w14:textId="77777777" w:rsidR="00A76274" w:rsidRDefault="00000000">
                  <w:pPr>
                    <w:keepNext/>
                    <w:spacing w:after="60"/>
                    <w:jc w:val="center"/>
                  </w:pPr>
                  <w:r>
                    <w:rPr>
                      <w:rFonts w:ascii="Calibri" w:hAnsi="Calibri"/>
                      <w:sz w:val="20"/>
                    </w:rPr>
                    <w:t>0.263</w:t>
                  </w:r>
                </w:p>
              </w:tc>
            </w:tr>
            <w:tr w:rsidR="000C6231" w14:paraId="2C205D01" w14:textId="77777777" w:rsidTr="000C6231">
              <w:trPr>
                <w:cantSplit/>
                <w:jc w:val="center"/>
              </w:trPr>
              <w:tc>
                <w:tcPr>
                  <w:tcW w:w="2633" w:type="dxa"/>
                </w:tcPr>
                <w:p w14:paraId="46A5C55C" w14:textId="77777777" w:rsidR="00A76274" w:rsidRDefault="00A76274">
                  <w:pPr>
                    <w:keepNext/>
                    <w:spacing w:after="60"/>
                  </w:pPr>
                </w:p>
              </w:tc>
              <w:tc>
                <w:tcPr>
                  <w:tcW w:w="1508" w:type="dxa"/>
                </w:tcPr>
                <w:p w14:paraId="60914199" w14:textId="77777777" w:rsidR="00A76274" w:rsidRDefault="00000000">
                  <w:pPr>
                    <w:keepNext/>
                    <w:spacing w:after="60"/>
                    <w:jc w:val="center"/>
                  </w:pPr>
                  <w:r>
                    <w:rPr>
                      <w:rFonts w:ascii="Calibri" w:hAnsi="Calibri"/>
                      <w:sz w:val="20"/>
                    </w:rPr>
                    <w:t>(0.020) ***</w:t>
                  </w:r>
                </w:p>
              </w:tc>
              <w:tc>
                <w:tcPr>
                  <w:tcW w:w="2039" w:type="dxa"/>
                </w:tcPr>
                <w:p w14:paraId="3F8E68FE" w14:textId="77777777" w:rsidR="00A76274" w:rsidRDefault="00A76274">
                  <w:pPr>
                    <w:keepNext/>
                    <w:spacing w:after="60"/>
                    <w:jc w:val="center"/>
                  </w:pPr>
                </w:p>
              </w:tc>
              <w:tc>
                <w:tcPr>
                  <w:tcW w:w="1505" w:type="dxa"/>
                </w:tcPr>
                <w:p w14:paraId="555EAD04" w14:textId="77777777" w:rsidR="00A76274" w:rsidRDefault="00000000">
                  <w:pPr>
                    <w:keepNext/>
                    <w:spacing w:after="60"/>
                    <w:jc w:val="center"/>
                  </w:pPr>
                  <w:r>
                    <w:rPr>
                      <w:rFonts w:ascii="Calibri" w:hAnsi="Calibri"/>
                      <w:sz w:val="20"/>
                    </w:rPr>
                    <w:t>(0.021) ***</w:t>
                  </w:r>
                </w:p>
              </w:tc>
            </w:tr>
            <w:tr w:rsidR="000C6231" w14:paraId="6657F293" w14:textId="77777777" w:rsidTr="000C6231">
              <w:trPr>
                <w:cantSplit/>
                <w:jc w:val="center"/>
              </w:trPr>
              <w:tc>
                <w:tcPr>
                  <w:tcW w:w="2633" w:type="dxa"/>
                </w:tcPr>
                <w:p w14:paraId="709CAE13" w14:textId="77777777" w:rsidR="00A76274" w:rsidRDefault="00000000">
                  <w:pPr>
                    <w:keepNext/>
                    <w:spacing w:after="60"/>
                  </w:pPr>
                  <w:r>
                    <w:rPr>
                      <w:rFonts w:ascii="Calibri" w:hAnsi="Calibri"/>
                      <w:sz w:val="20"/>
                    </w:rPr>
                    <w:t>Currently studying: Yes</w:t>
                  </w:r>
                </w:p>
              </w:tc>
              <w:tc>
                <w:tcPr>
                  <w:tcW w:w="1508" w:type="dxa"/>
                </w:tcPr>
                <w:p w14:paraId="45CF1061" w14:textId="77777777" w:rsidR="00A76274" w:rsidRDefault="00000000">
                  <w:pPr>
                    <w:keepNext/>
                    <w:spacing w:after="60"/>
                    <w:jc w:val="center"/>
                  </w:pPr>
                  <w:r>
                    <w:rPr>
                      <w:rFonts w:ascii="Calibri" w:hAnsi="Calibri"/>
                      <w:sz w:val="20"/>
                    </w:rPr>
                    <w:t>-0.144</w:t>
                  </w:r>
                </w:p>
              </w:tc>
              <w:tc>
                <w:tcPr>
                  <w:tcW w:w="2039" w:type="dxa"/>
                </w:tcPr>
                <w:p w14:paraId="33B42E48" w14:textId="77777777" w:rsidR="00A76274" w:rsidRDefault="00000000">
                  <w:pPr>
                    <w:keepNext/>
                    <w:spacing w:after="60"/>
                    <w:jc w:val="center"/>
                  </w:pPr>
                  <w:r>
                    <w:rPr>
                      <w:rFonts w:ascii="Calibri" w:hAnsi="Calibri"/>
                      <w:sz w:val="20"/>
                    </w:rPr>
                    <w:t>-0.142</w:t>
                  </w:r>
                </w:p>
              </w:tc>
              <w:tc>
                <w:tcPr>
                  <w:tcW w:w="1505" w:type="dxa"/>
                </w:tcPr>
                <w:p w14:paraId="22606037" w14:textId="77777777" w:rsidR="00A76274" w:rsidRDefault="00A76274">
                  <w:pPr>
                    <w:keepNext/>
                    <w:spacing w:after="60"/>
                    <w:jc w:val="center"/>
                  </w:pPr>
                </w:p>
              </w:tc>
            </w:tr>
            <w:tr w:rsidR="000C6231" w14:paraId="2D904EF8" w14:textId="77777777" w:rsidTr="000C6231">
              <w:trPr>
                <w:cantSplit/>
                <w:jc w:val="center"/>
              </w:trPr>
              <w:tc>
                <w:tcPr>
                  <w:tcW w:w="2633" w:type="dxa"/>
                </w:tcPr>
                <w:p w14:paraId="5701CE03" w14:textId="77777777" w:rsidR="00A76274" w:rsidRDefault="00A76274">
                  <w:pPr>
                    <w:keepNext/>
                    <w:spacing w:after="60"/>
                  </w:pPr>
                </w:p>
              </w:tc>
              <w:tc>
                <w:tcPr>
                  <w:tcW w:w="1508" w:type="dxa"/>
                </w:tcPr>
                <w:p w14:paraId="7B493668" w14:textId="77777777" w:rsidR="00A76274" w:rsidRDefault="00000000">
                  <w:pPr>
                    <w:keepNext/>
                    <w:spacing w:after="60"/>
                    <w:jc w:val="center"/>
                  </w:pPr>
                  <w:r>
                    <w:rPr>
                      <w:rFonts w:ascii="Calibri" w:hAnsi="Calibri"/>
                      <w:sz w:val="20"/>
                    </w:rPr>
                    <w:t>(0.016) ***</w:t>
                  </w:r>
                </w:p>
              </w:tc>
              <w:tc>
                <w:tcPr>
                  <w:tcW w:w="2039" w:type="dxa"/>
                </w:tcPr>
                <w:p w14:paraId="42B93482" w14:textId="77777777" w:rsidR="00A76274" w:rsidRDefault="00000000">
                  <w:pPr>
                    <w:keepNext/>
                    <w:spacing w:after="60"/>
                    <w:jc w:val="center"/>
                  </w:pPr>
                  <w:r>
                    <w:rPr>
                      <w:rFonts w:ascii="Calibri" w:hAnsi="Calibri"/>
                      <w:sz w:val="20"/>
                    </w:rPr>
                    <w:t>(0.016) ***</w:t>
                  </w:r>
                </w:p>
              </w:tc>
              <w:tc>
                <w:tcPr>
                  <w:tcW w:w="1505" w:type="dxa"/>
                </w:tcPr>
                <w:p w14:paraId="56203B50" w14:textId="77777777" w:rsidR="00A76274" w:rsidRDefault="00A76274">
                  <w:pPr>
                    <w:keepNext/>
                    <w:spacing w:after="60"/>
                    <w:jc w:val="center"/>
                  </w:pPr>
                </w:p>
              </w:tc>
            </w:tr>
            <w:tr w:rsidR="000C6231" w14:paraId="6199EF8A" w14:textId="77777777" w:rsidTr="000C6231">
              <w:trPr>
                <w:cantSplit/>
                <w:jc w:val="center"/>
              </w:trPr>
              <w:tc>
                <w:tcPr>
                  <w:tcW w:w="2633" w:type="dxa"/>
                </w:tcPr>
                <w:p w14:paraId="143250F2" w14:textId="77777777" w:rsidR="00A76274" w:rsidRDefault="00000000">
                  <w:pPr>
                    <w:keepNext/>
                    <w:spacing w:after="60"/>
                  </w:pPr>
                  <w:r>
                    <w:rPr>
                      <w:rFonts w:ascii="Calibri" w:hAnsi="Calibri"/>
                      <w:sz w:val="20"/>
                    </w:rPr>
                    <w:t>Area: Urban-Type Settlement</w:t>
                  </w:r>
                </w:p>
              </w:tc>
              <w:tc>
                <w:tcPr>
                  <w:tcW w:w="1508" w:type="dxa"/>
                </w:tcPr>
                <w:p w14:paraId="69580703" w14:textId="77777777" w:rsidR="00A76274" w:rsidRDefault="00000000">
                  <w:pPr>
                    <w:keepNext/>
                    <w:spacing w:after="60"/>
                    <w:jc w:val="center"/>
                  </w:pPr>
                  <w:r>
                    <w:rPr>
                      <w:rFonts w:ascii="Calibri" w:hAnsi="Calibri"/>
                      <w:sz w:val="20"/>
                    </w:rPr>
                    <w:t>0.015</w:t>
                  </w:r>
                </w:p>
              </w:tc>
              <w:tc>
                <w:tcPr>
                  <w:tcW w:w="2039" w:type="dxa"/>
                </w:tcPr>
                <w:p w14:paraId="7111F9A5" w14:textId="77777777" w:rsidR="00A76274" w:rsidRDefault="00000000">
                  <w:pPr>
                    <w:keepNext/>
                    <w:spacing w:after="60"/>
                    <w:jc w:val="center"/>
                  </w:pPr>
                  <w:r>
                    <w:rPr>
                      <w:rFonts w:ascii="Calibri" w:hAnsi="Calibri"/>
                      <w:sz w:val="20"/>
                    </w:rPr>
                    <w:t>0.013</w:t>
                  </w:r>
                </w:p>
              </w:tc>
              <w:tc>
                <w:tcPr>
                  <w:tcW w:w="1505" w:type="dxa"/>
                </w:tcPr>
                <w:p w14:paraId="59A31CEF" w14:textId="77777777" w:rsidR="00A76274" w:rsidRDefault="00000000">
                  <w:pPr>
                    <w:keepNext/>
                    <w:spacing w:after="60"/>
                    <w:jc w:val="center"/>
                  </w:pPr>
                  <w:r>
                    <w:rPr>
                      <w:rFonts w:ascii="Calibri" w:hAnsi="Calibri"/>
                      <w:sz w:val="20"/>
                    </w:rPr>
                    <w:t>0.009</w:t>
                  </w:r>
                </w:p>
              </w:tc>
            </w:tr>
            <w:tr w:rsidR="000C6231" w14:paraId="28974D54" w14:textId="77777777" w:rsidTr="000C6231">
              <w:trPr>
                <w:cantSplit/>
                <w:jc w:val="center"/>
              </w:trPr>
              <w:tc>
                <w:tcPr>
                  <w:tcW w:w="2633" w:type="dxa"/>
                </w:tcPr>
                <w:p w14:paraId="69875E7E" w14:textId="77777777" w:rsidR="00A76274" w:rsidRDefault="00A76274">
                  <w:pPr>
                    <w:keepNext/>
                    <w:spacing w:after="60"/>
                  </w:pPr>
                </w:p>
              </w:tc>
              <w:tc>
                <w:tcPr>
                  <w:tcW w:w="1508" w:type="dxa"/>
                </w:tcPr>
                <w:p w14:paraId="0940EE0E" w14:textId="77777777" w:rsidR="00A76274" w:rsidRDefault="00000000">
                  <w:pPr>
                    <w:keepNext/>
                    <w:spacing w:after="60"/>
                    <w:jc w:val="center"/>
                  </w:pPr>
                  <w:r>
                    <w:rPr>
                      <w:rFonts w:ascii="Calibri" w:hAnsi="Calibri"/>
                      <w:sz w:val="20"/>
                    </w:rPr>
                    <w:t>(0.027)</w:t>
                  </w:r>
                </w:p>
              </w:tc>
              <w:tc>
                <w:tcPr>
                  <w:tcW w:w="2039" w:type="dxa"/>
                </w:tcPr>
                <w:p w14:paraId="1AF9403E" w14:textId="77777777" w:rsidR="00A76274" w:rsidRDefault="00000000">
                  <w:pPr>
                    <w:keepNext/>
                    <w:spacing w:after="60"/>
                    <w:jc w:val="center"/>
                  </w:pPr>
                  <w:r>
                    <w:rPr>
                      <w:rFonts w:ascii="Calibri" w:hAnsi="Calibri"/>
                      <w:sz w:val="20"/>
                    </w:rPr>
                    <w:t>(0.027)</w:t>
                  </w:r>
                </w:p>
              </w:tc>
              <w:tc>
                <w:tcPr>
                  <w:tcW w:w="1505" w:type="dxa"/>
                </w:tcPr>
                <w:p w14:paraId="672243FE" w14:textId="77777777" w:rsidR="00A76274" w:rsidRDefault="00000000">
                  <w:pPr>
                    <w:keepNext/>
                    <w:spacing w:after="60"/>
                    <w:jc w:val="center"/>
                  </w:pPr>
                  <w:r>
                    <w:rPr>
                      <w:rFonts w:ascii="Calibri" w:hAnsi="Calibri"/>
                      <w:sz w:val="20"/>
                    </w:rPr>
                    <w:t>(0.027)</w:t>
                  </w:r>
                </w:p>
              </w:tc>
            </w:tr>
            <w:tr w:rsidR="000C6231" w14:paraId="3D07229A" w14:textId="77777777" w:rsidTr="000C6231">
              <w:trPr>
                <w:cantSplit/>
                <w:jc w:val="center"/>
              </w:trPr>
              <w:tc>
                <w:tcPr>
                  <w:tcW w:w="2633" w:type="dxa"/>
                </w:tcPr>
                <w:p w14:paraId="4F7E5220" w14:textId="77777777" w:rsidR="00A76274" w:rsidRDefault="00000000">
                  <w:pPr>
                    <w:keepNext/>
                    <w:spacing w:after="60"/>
                  </w:pPr>
                  <w:r>
                    <w:rPr>
                      <w:rFonts w:ascii="Calibri" w:hAnsi="Calibri"/>
                      <w:sz w:val="20"/>
                    </w:rPr>
                    <w:t>Area: City</w:t>
                  </w:r>
                </w:p>
              </w:tc>
              <w:tc>
                <w:tcPr>
                  <w:tcW w:w="1508" w:type="dxa"/>
                </w:tcPr>
                <w:p w14:paraId="3C2181D2" w14:textId="77777777" w:rsidR="00A76274" w:rsidRDefault="00000000">
                  <w:pPr>
                    <w:keepNext/>
                    <w:spacing w:after="60"/>
                    <w:jc w:val="center"/>
                  </w:pPr>
                  <w:r>
                    <w:rPr>
                      <w:rFonts w:ascii="Calibri" w:hAnsi="Calibri"/>
                      <w:sz w:val="20"/>
                    </w:rPr>
                    <w:t>0.012</w:t>
                  </w:r>
                </w:p>
              </w:tc>
              <w:tc>
                <w:tcPr>
                  <w:tcW w:w="2039" w:type="dxa"/>
                </w:tcPr>
                <w:p w14:paraId="6C7E3A37" w14:textId="77777777" w:rsidR="00A76274" w:rsidRDefault="00000000">
                  <w:pPr>
                    <w:keepNext/>
                    <w:spacing w:after="60"/>
                    <w:jc w:val="center"/>
                  </w:pPr>
                  <w:r>
                    <w:rPr>
                      <w:rFonts w:ascii="Calibri" w:hAnsi="Calibri"/>
                      <w:sz w:val="20"/>
                    </w:rPr>
                    <w:t>0.009</w:t>
                  </w:r>
                </w:p>
              </w:tc>
              <w:tc>
                <w:tcPr>
                  <w:tcW w:w="1505" w:type="dxa"/>
                </w:tcPr>
                <w:p w14:paraId="418C4385" w14:textId="77777777" w:rsidR="00A76274" w:rsidRDefault="00000000">
                  <w:pPr>
                    <w:keepNext/>
                    <w:spacing w:after="60"/>
                    <w:jc w:val="center"/>
                  </w:pPr>
                  <w:r>
                    <w:rPr>
                      <w:rFonts w:ascii="Calibri" w:hAnsi="Calibri"/>
                      <w:sz w:val="20"/>
                    </w:rPr>
                    <w:t>0.005</w:t>
                  </w:r>
                </w:p>
              </w:tc>
            </w:tr>
            <w:tr w:rsidR="000C6231" w14:paraId="6F6532BB" w14:textId="77777777" w:rsidTr="000C6231">
              <w:trPr>
                <w:cantSplit/>
                <w:jc w:val="center"/>
              </w:trPr>
              <w:tc>
                <w:tcPr>
                  <w:tcW w:w="2633" w:type="dxa"/>
                </w:tcPr>
                <w:p w14:paraId="55C74D41" w14:textId="77777777" w:rsidR="00A76274" w:rsidRDefault="00A76274">
                  <w:pPr>
                    <w:keepNext/>
                    <w:spacing w:after="60"/>
                  </w:pPr>
                </w:p>
              </w:tc>
              <w:tc>
                <w:tcPr>
                  <w:tcW w:w="1508" w:type="dxa"/>
                </w:tcPr>
                <w:p w14:paraId="59EB9240" w14:textId="77777777" w:rsidR="00A76274" w:rsidRDefault="00000000">
                  <w:pPr>
                    <w:keepNext/>
                    <w:spacing w:after="60"/>
                    <w:jc w:val="center"/>
                  </w:pPr>
                  <w:r>
                    <w:rPr>
                      <w:rFonts w:ascii="Calibri" w:hAnsi="Calibri"/>
                      <w:sz w:val="20"/>
                    </w:rPr>
                    <w:t>(0.022)</w:t>
                  </w:r>
                </w:p>
              </w:tc>
              <w:tc>
                <w:tcPr>
                  <w:tcW w:w="2039" w:type="dxa"/>
                </w:tcPr>
                <w:p w14:paraId="3D5680B6" w14:textId="77777777" w:rsidR="00A76274" w:rsidRDefault="00000000">
                  <w:pPr>
                    <w:keepNext/>
                    <w:spacing w:after="60"/>
                    <w:jc w:val="center"/>
                  </w:pPr>
                  <w:r>
                    <w:rPr>
                      <w:rFonts w:ascii="Calibri" w:hAnsi="Calibri"/>
                      <w:sz w:val="20"/>
                    </w:rPr>
                    <w:t>(0.022)</w:t>
                  </w:r>
                </w:p>
              </w:tc>
              <w:tc>
                <w:tcPr>
                  <w:tcW w:w="1505" w:type="dxa"/>
                </w:tcPr>
                <w:p w14:paraId="3A948954" w14:textId="77777777" w:rsidR="00A76274" w:rsidRDefault="00000000">
                  <w:pPr>
                    <w:keepNext/>
                    <w:spacing w:after="60"/>
                    <w:jc w:val="center"/>
                  </w:pPr>
                  <w:r>
                    <w:rPr>
                      <w:rFonts w:ascii="Calibri" w:hAnsi="Calibri"/>
                      <w:sz w:val="20"/>
                    </w:rPr>
                    <w:t>(0.022)</w:t>
                  </w:r>
                </w:p>
              </w:tc>
            </w:tr>
            <w:tr w:rsidR="000C6231" w14:paraId="4D6858BA" w14:textId="77777777" w:rsidTr="000C6231">
              <w:trPr>
                <w:cantSplit/>
                <w:jc w:val="center"/>
              </w:trPr>
              <w:tc>
                <w:tcPr>
                  <w:tcW w:w="2633" w:type="dxa"/>
                </w:tcPr>
                <w:p w14:paraId="18581A42" w14:textId="77777777" w:rsidR="00A76274" w:rsidRDefault="00000000">
                  <w:pPr>
                    <w:keepNext/>
                    <w:spacing w:after="60"/>
                  </w:pPr>
                  <w:r>
                    <w:rPr>
                      <w:rFonts w:ascii="Calibri" w:hAnsi="Calibri"/>
                      <w:sz w:val="20"/>
                    </w:rPr>
                    <w:t>Area: Regional Center</w:t>
                  </w:r>
                </w:p>
              </w:tc>
              <w:tc>
                <w:tcPr>
                  <w:tcW w:w="1508" w:type="dxa"/>
                </w:tcPr>
                <w:p w14:paraId="06F4263B" w14:textId="77777777" w:rsidR="00A76274" w:rsidRDefault="00000000">
                  <w:pPr>
                    <w:keepNext/>
                    <w:spacing w:after="60"/>
                    <w:jc w:val="center"/>
                  </w:pPr>
                  <w:r>
                    <w:rPr>
                      <w:rFonts w:ascii="Calibri" w:hAnsi="Calibri"/>
                      <w:sz w:val="20"/>
                    </w:rPr>
                    <w:t>0.047</w:t>
                  </w:r>
                </w:p>
              </w:tc>
              <w:tc>
                <w:tcPr>
                  <w:tcW w:w="2039" w:type="dxa"/>
                </w:tcPr>
                <w:p w14:paraId="5F6B4726" w14:textId="77777777" w:rsidR="00A76274" w:rsidRDefault="00000000">
                  <w:pPr>
                    <w:keepNext/>
                    <w:spacing w:after="60"/>
                    <w:jc w:val="center"/>
                  </w:pPr>
                  <w:r>
                    <w:rPr>
                      <w:rFonts w:ascii="Calibri" w:hAnsi="Calibri"/>
                      <w:sz w:val="20"/>
                    </w:rPr>
                    <w:t>0.046</w:t>
                  </w:r>
                </w:p>
              </w:tc>
              <w:tc>
                <w:tcPr>
                  <w:tcW w:w="1505" w:type="dxa"/>
                </w:tcPr>
                <w:p w14:paraId="319572F8" w14:textId="77777777" w:rsidR="00A76274" w:rsidRDefault="00000000">
                  <w:pPr>
                    <w:keepNext/>
                    <w:spacing w:after="60"/>
                    <w:jc w:val="center"/>
                  </w:pPr>
                  <w:r>
                    <w:rPr>
                      <w:rFonts w:ascii="Calibri" w:hAnsi="Calibri"/>
                      <w:sz w:val="20"/>
                    </w:rPr>
                    <w:t>0.038</w:t>
                  </w:r>
                </w:p>
              </w:tc>
            </w:tr>
            <w:tr w:rsidR="000C6231" w14:paraId="162E289E" w14:textId="77777777" w:rsidTr="000C6231">
              <w:trPr>
                <w:cantSplit/>
                <w:jc w:val="center"/>
              </w:trPr>
              <w:tc>
                <w:tcPr>
                  <w:tcW w:w="2633" w:type="dxa"/>
                </w:tcPr>
                <w:p w14:paraId="3720C019" w14:textId="77777777" w:rsidR="00A76274" w:rsidRDefault="00A76274">
                  <w:pPr>
                    <w:keepNext/>
                    <w:spacing w:after="60"/>
                  </w:pPr>
                </w:p>
              </w:tc>
              <w:tc>
                <w:tcPr>
                  <w:tcW w:w="1508" w:type="dxa"/>
                </w:tcPr>
                <w:p w14:paraId="7E764177" w14:textId="77777777" w:rsidR="00A76274" w:rsidRDefault="00000000">
                  <w:pPr>
                    <w:keepNext/>
                    <w:spacing w:after="60"/>
                    <w:jc w:val="center"/>
                  </w:pPr>
                  <w:r>
                    <w:rPr>
                      <w:rFonts w:ascii="Calibri" w:hAnsi="Calibri"/>
                      <w:sz w:val="20"/>
                    </w:rPr>
                    <w:t>(0.030)</w:t>
                  </w:r>
                </w:p>
              </w:tc>
              <w:tc>
                <w:tcPr>
                  <w:tcW w:w="2039" w:type="dxa"/>
                </w:tcPr>
                <w:p w14:paraId="19BA6FE3" w14:textId="77777777" w:rsidR="00A76274" w:rsidRDefault="00000000">
                  <w:pPr>
                    <w:keepNext/>
                    <w:spacing w:after="60"/>
                    <w:jc w:val="center"/>
                  </w:pPr>
                  <w:r>
                    <w:rPr>
                      <w:rFonts w:ascii="Calibri" w:hAnsi="Calibri"/>
                      <w:sz w:val="20"/>
                    </w:rPr>
                    <w:t>(0.030)</w:t>
                  </w:r>
                </w:p>
              </w:tc>
              <w:tc>
                <w:tcPr>
                  <w:tcW w:w="1505" w:type="dxa"/>
                </w:tcPr>
                <w:p w14:paraId="20632278" w14:textId="77777777" w:rsidR="00A76274" w:rsidRDefault="00000000">
                  <w:pPr>
                    <w:keepNext/>
                    <w:spacing w:after="60"/>
                    <w:jc w:val="center"/>
                  </w:pPr>
                  <w:r>
                    <w:rPr>
                      <w:rFonts w:ascii="Calibri" w:hAnsi="Calibri"/>
                      <w:sz w:val="20"/>
                    </w:rPr>
                    <w:t>(0.030)</w:t>
                  </w:r>
                </w:p>
              </w:tc>
            </w:tr>
            <w:tr w:rsidR="000C6231" w14:paraId="010B9A49" w14:textId="77777777" w:rsidTr="000C6231">
              <w:trPr>
                <w:cantSplit/>
                <w:jc w:val="center"/>
              </w:trPr>
              <w:tc>
                <w:tcPr>
                  <w:tcW w:w="2633" w:type="dxa"/>
                </w:tcPr>
                <w:p w14:paraId="03D8F2C5" w14:textId="77777777" w:rsidR="00A76274" w:rsidRDefault="00000000">
                  <w:pPr>
                    <w:keepNext/>
                    <w:spacing w:after="60"/>
                  </w:pPr>
                  <w:r>
                    <w:rPr>
                      <w:rFonts w:ascii="Calibri" w:hAnsi="Calibri"/>
                      <w:sz w:val="20"/>
                    </w:rPr>
                    <w:t>Openness</w:t>
                  </w:r>
                </w:p>
              </w:tc>
              <w:tc>
                <w:tcPr>
                  <w:tcW w:w="1508" w:type="dxa"/>
                </w:tcPr>
                <w:p w14:paraId="34E619FA" w14:textId="77777777" w:rsidR="00A76274" w:rsidRDefault="00000000">
                  <w:pPr>
                    <w:keepNext/>
                    <w:spacing w:after="60"/>
                    <w:jc w:val="center"/>
                  </w:pPr>
                  <w:r>
                    <w:rPr>
                      <w:rFonts w:ascii="Calibri" w:hAnsi="Calibri"/>
                      <w:sz w:val="20"/>
                    </w:rPr>
                    <w:t>-0.010</w:t>
                  </w:r>
                </w:p>
              </w:tc>
              <w:tc>
                <w:tcPr>
                  <w:tcW w:w="2039" w:type="dxa"/>
                </w:tcPr>
                <w:p w14:paraId="7A7F5E50" w14:textId="77777777" w:rsidR="00A76274" w:rsidRDefault="00000000">
                  <w:pPr>
                    <w:keepNext/>
                    <w:spacing w:after="60"/>
                    <w:jc w:val="center"/>
                  </w:pPr>
                  <w:r>
                    <w:rPr>
                      <w:rFonts w:ascii="Calibri" w:hAnsi="Calibri"/>
                      <w:sz w:val="20"/>
                    </w:rPr>
                    <w:t>-0.007</w:t>
                  </w:r>
                </w:p>
              </w:tc>
              <w:tc>
                <w:tcPr>
                  <w:tcW w:w="1505" w:type="dxa"/>
                </w:tcPr>
                <w:p w14:paraId="035222BF" w14:textId="77777777" w:rsidR="00A76274" w:rsidRDefault="00000000">
                  <w:pPr>
                    <w:keepNext/>
                    <w:spacing w:after="60"/>
                    <w:jc w:val="center"/>
                  </w:pPr>
                  <w:r>
                    <w:rPr>
                      <w:rFonts w:ascii="Calibri" w:hAnsi="Calibri"/>
                      <w:sz w:val="20"/>
                    </w:rPr>
                    <w:t>-0.012</w:t>
                  </w:r>
                </w:p>
              </w:tc>
            </w:tr>
            <w:tr w:rsidR="000C6231" w14:paraId="6FCF64EA" w14:textId="77777777" w:rsidTr="000C6231">
              <w:trPr>
                <w:cantSplit/>
                <w:jc w:val="center"/>
              </w:trPr>
              <w:tc>
                <w:tcPr>
                  <w:tcW w:w="2633" w:type="dxa"/>
                </w:tcPr>
                <w:p w14:paraId="352A8C08" w14:textId="77777777" w:rsidR="00A76274" w:rsidRDefault="00A76274">
                  <w:pPr>
                    <w:keepNext/>
                    <w:spacing w:after="60"/>
                  </w:pPr>
                </w:p>
              </w:tc>
              <w:tc>
                <w:tcPr>
                  <w:tcW w:w="1508" w:type="dxa"/>
                </w:tcPr>
                <w:p w14:paraId="3C4AF182" w14:textId="77777777" w:rsidR="00A76274" w:rsidRDefault="00000000">
                  <w:pPr>
                    <w:keepNext/>
                    <w:spacing w:after="60"/>
                    <w:jc w:val="center"/>
                  </w:pPr>
                  <w:r>
                    <w:rPr>
                      <w:rFonts w:ascii="Calibri" w:hAnsi="Calibri"/>
                      <w:sz w:val="20"/>
                    </w:rPr>
                    <w:t>(0.007)</w:t>
                  </w:r>
                </w:p>
              </w:tc>
              <w:tc>
                <w:tcPr>
                  <w:tcW w:w="2039" w:type="dxa"/>
                </w:tcPr>
                <w:p w14:paraId="221FD076" w14:textId="77777777" w:rsidR="00A76274" w:rsidRDefault="00000000">
                  <w:pPr>
                    <w:keepNext/>
                    <w:spacing w:after="60"/>
                    <w:jc w:val="center"/>
                  </w:pPr>
                  <w:r>
                    <w:rPr>
                      <w:rFonts w:ascii="Calibri" w:hAnsi="Calibri"/>
                      <w:sz w:val="20"/>
                    </w:rPr>
                    <w:t>(0.008)</w:t>
                  </w:r>
                </w:p>
              </w:tc>
              <w:tc>
                <w:tcPr>
                  <w:tcW w:w="1505" w:type="dxa"/>
                </w:tcPr>
                <w:p w14:paraId="398CF63D" w14:textId="77777777" w:rsidR="00A76274" w:rsidRDefault="00000000">
                  <w:pPr>
                    <w:keepNext/>
                    <w:spacing w:after="60"/>
                    <w:jc w:val="center"/>
                  </w:pPr>
                  <w:r>
                    <w:rPr>
                      <w:rFonts w:ascii="Calibri" w:hAnsi="Calibri"/>
                      <w:sz w:val="20"/>
                    </w:rPr>
                    <w:t>(0.007) +</w:t>
                  </w:r>
                </w:p>
              </w:tc>
            </w:tr>
            <w:tr w:rsidR="000C6231" w14:paraId="5E2C035F" w14:textId="77777777" w:rsidTr="000C6231">
              <w:trPr>
                <w:cantSplit/>
                <w:jc w:val="center"/>
              </w:trPr>
              <w:tc>
                <w:tcPr>
                  <w:tcW w:w="2633" w:type="dxa"/>
                </w:tcPr>
                <w:p w14:paraId="025F4E49" w14:textId="77777777" w:rsidR="00A76274" w:rsidRDefault="00000000">
                  <w:pPr>
                    <w:keepNext/>
                    <w:spacing w:after="60"/>
                  </w:pPr>
                  <w:r>
                    <w:rPr>
                      <w:rFonts w:ascii="Calibri" w:hAnsi="Calibri"/>
                      <w:sz w:val="20"/>
                    </w:rPr>
                    <w:t>Conscientiousness</w:t>
                  </w:r>
                </w:p>
              </w:tc>
              <w:tc>
                <w:tcPr>
                  <w:tcW w:w="1508" w:type="dxa"/>
                </w:tcPr>
                <w:p w14:paraId="1D4B01F1" w14:textId="77777777" w:rsidR="00A76274" w:rsidRDefault="00000000">
                  <w:pPr>
                    <w:keepNext/>
                    <w:spacing w:after="60"/>
                    <w:jc w:val="center"/>
                  </w:pPr>
                  <w:r>
                    <w:rPr>
                      <w:rFonts w:ascii="Calibri" w:hAnsi="Calibri"/>
                      <w:sz w:val="20"/>
                    </w:rPr>
                    <w:t>0.042</w:t>
                  </w:r>
                </w:p>
              </w:tc>
              <w:tc>
                <w:tcPr>
                  <w:tcW w:w="2039" w:type="dxa"/>
                </w:tcPr>
                <w:p w14:paraId="61962F9A" w14:textId="77777777" w:rsidR="00A76274" w:rsidRDefault="00000000">
                  <w:pPr>
                    <w:keepNext/>
                    <w:spacing w:after="60"/>
                    <w:jc w:val="center"/>
                  </w:pPr>
                  <w:r>
                    <w:rPr>
                      <w:rFonts w:ascii="Calibri" w:hAnsi="Calibri"/>
                      <w:sz w:val="20"/>
                    </w:rPr>
                    <w:t>0.042</w:t>
                  </w:r>
                </w:p>
              </w:tc>
              <w:tc>
                <w:tcPr>
                  <w:tcW w:w="1505" w:type="dxa"/>
                </w:tcPr>
                <w:p w14:paraId="59AD0880" w14:textId="77777777" w:rsidR="00A76274" w:rsidRDefault="00000000">
                  <w:pPr>
                    <w:keepNext/>
                    <w:spacing w:after="60"/>
                    <w:jc w:val="center"/>
                  </w:pPr>
                  <w:r>
                    <w:rPr>
                      <w:rFonts w:ascii="Calibri" w:hAnsi="Calibri"/>
                      <w:sz w:val="20"/>
                    </w:rPr>
                    <w:t>0.042</w:t>
                  </w:r>
                </w:p>
              </w:tc>
            </w:tr>
            <w:tr w:rsidR="000C6231" w14:paraId="1821BBDC" w14:textId="77777777" w:rsidTr="000C6231">
              <w:trPr>
                <w:cantSplit/>
                <w:jc w:val="center"/>
              </w:trPr>
              <w:tc>
                <w:tcPr>
                  <w:tcW w:w="2633" w:type="dxa"/>
                </w:tcPr>
                <w:p w14:paraId="598A2A6D" w14:textId="77777777" w:rsidR="00A76274" w:rsidRDefault="00A76274">
                  <w:pPr>
                    <w:keepNext/>
                    <w:spacing w:after="60"/>
                  </w:pPr>
                </w:p>
              </w:tc>
              <w:tc>
                <w:tcPr>
                  <w:tcW w:w="1508" w:type="dxa"/>
                </w:tcPr>
                <w:p w14:paraId="248A8C6A" w14:textId="77777777" w:rsidR="00A76274" w:rsidRDefault="00000000">
                  <w:pPr>
                    <w:keepNext/>
                    <w:spacing w:after="60"/>
                    <w:jc w:val="center"/>
                  </w:pPr>
                  <w:r>
                    <w:rPr>
                      <w:rFonts w:ascii="Calibri" w:hAnsi="Calibri"/>
                      <w:sz w:val="20"/>
                    </w:rPr>
                    <w:t>(0.007) ***</w:t>
                  </w:r>
                </w:p>
              </w:tc>
              <w:tc>
                <w:tcPr>
                  <w:tcW w:w="2039" w:type="dxa"/>
                </w:tcPr>
                <w:p w14:paraId="723978CD" w14:textId="77777777" w:rsidR="00A76274" w:rsidRDefault="00000000">
                  <w:pPr>
                    <w:keepNext/>
                    <w:spacing w:after="60"/>
                    <w:jc w:val="center"/>
                  </w:pPr>
                  <w:r>
                    <w:rPr>
                      <w:rFonts w:ascii="Calibri" w:hAnsi="Calibri"/>
                      <w:sz w:val="20"/>
                    </w:rPr>
                    <w:t>(0.007) ***</w:t>
                  </w:r>
                </w:p>
              </w:tc>
              <w:tc>
                <w:tcPr>
                  <w:tcW w:w="1505" w:type="dxa"/>
                </w:tcPr>
                <w:p w14:paraId="21DC3674" w14:textId="77777777" w:rsidR="00A76274" w:rsidRDefault="00000000">
                  <w:pPr>
                    <w:keepNext/>
                    <w:spacing w:after="60"/>
                    <w:jc w:val="center"/>
                  </w:pPr>
                  <w:r>
                    <w:rPr>
                      <w:rFonts w:ascii="Calibri" w:hAnsi="Calibri"/>
                      <w:sz w:val="20"/>
                    </w:rPr>
                    <w:t>(0.016) **</w:t>
                  </w:r>
                </w:p>
              </w:tc>
            </w:tr>
            <w:tr w:rsidR="000C6231" w14:paraId="43CC05FD" w14:textId="77777777" w:rsidTr="000C6231">
              <w:trPr>
                <w:cantSplit/>
                <w:jc w:val="center"/>
              </w:trPr>
              <w:tc>
                <w:tcPr>
                  <w:tcW w:w="2633" w:type="dxa"/>
                </w:tcPr>
                <w:p w14:paraId="6130B7D8" w14:textId="77777777" w:rsidR="00A76274" w:rsidRDefault="00000000">
                  <w:pPr>
                    <w:keepNext/>
                    <w:spacing w:after="60"/>
                  </w:pPr>
                  <w:r>
                    <w:rPr>
                      <w:rFonts w:ascii="Calibri" w:hAnsi="Calibri"/>
                      <w:sz w:val="20"/>
                    </w:rPr>
                    <w:t>Extraversion</w:t>
                  </w:r>
                </w:p>
              </w:tc>
              <w:tc>
                <w:tcPr>
                  <w:tcW w:w="1508" w:type="dxa"/>
                </w:tcPr>
                <w:p w14:paraId="2509B9E7" w14:textId="77777777" w:rsidR="00A76274" w:rsidRDefault="00000000">
                  <w:pPr>
                    <w:keepNext/>
                    <w:spacing w:after="60"/>
                    <w:jc w:val="center"/>
                  </w:pPr>
                  <w:r>
                    <w:rPr>
                      <w:rFonts w:ascii="Calibri" w:hAnsi="Calibri"/>
                      <w:sz w:val="20"/>
                    </w:rPr>
                    <w:t>0.016</w:t>
                  </w:r>
                </w:p>
              </w:tc>
              <w:tc>
                <w:tcPr>
                  <w:tcW w:w="2039" w:type="dxa"/>
                </w:tcPr>
                <w:p w14:paraId="012DA3FF" w14:textId="77777777" w:rsidR="00A76274" w:rsidRDefault="00000000">
                  <w:pPr>
                    <w:keepNext/>
                    <w:spacing w:after="60"/>
                    <w:jc w:val="center"/>
                  </w:pPr>
                  <w:r>
                    <w:rPr>
                      <w:rFonts w:ascii="Calibri" w:hAnsi="Calibri"/>
                      <w:sz w:val="20"/>
                    </w:rPr>
                    <w:t>0.014</w:t>
                  </w:r>
                </w:p>
              </w:tc>
              <w:tc>
                <w:tcPr>
                  <w:tcW w:w="1505" w:type="dxa"/>
                </w:tcPr>
                <w:p w14:paraId="4EF90F47" w14:textId="77777777" w:rsidR="00A76274" w:rsidRDefault="00000000">
                  <w:pPr>
                    <w:keepNext/>
                    <w:spacing w:after="60"/>
                    <w:jc w:val="center"/>
                  </w:pPr>
                  <w:r>
                    <w:rPr>
                      <w:rFonts w:ascii="Calibri" w:hAnsi="Calibri"/>
                      <w:sz w:val="20"/>
                    </w:rPr>
                    <w:t>0.015</w:t>
                  </w:r>
                </w:p>
              </w:tc>
            </w:tr>
            <w:tr w:rsidR="000C6231" w14:paraId="25F5E6DA" w14:textId="77777777" w:rsidTr="000C6231">
              <w:trPr>
                <w:cantSplit/>
                <w:jc w:val="center"/>
              </w:trPr>
              <w:tc>
                <w:tcPr>
                  <w:tcW w:w="2633" w:type="dxa"/>
                </w:tcPr>
                <w:p w14:paraId="050E8F22" w14:textId="77777777" w:rsidR="00A76274" w:rsidRDefault="00A76274">
                  <w:pPr>
                    <w:keepNext/>
                    <w:spacing w:after="60"/>
                  </w:pPr>
                </w:p>
              </w:tc>
              <w:tc>
                <w:tcPr>
                  <w:tcW w:w="1508" w:type="dxa"/>
                </w:tcPr>
                <w:p w14:paraId="1A95C520" w14:textId="77777777" w:rsidR="00A76274" w:rsidRDefault="00000000">
                  <w:pPr>
                    <w:keepNext/>
                    <w:spacing w:after="60"/>
                    <w:jc w:val="center"/>
                  </w:pPr>
                  <w:r>
                    <w:rPr>
                      <w:rFonts w:ascii="Calibri" w:hAnsi="Calibri"/>
                      <w:sz w:val="20"/>
                    </w:rPr>
                    <w:t>(0.008) *</w:t>
                  </w:r>
                </w:p>
              </w:tc>
              <w:tc>
                <w:tcPr>
                  <w:tcW w:w="2039" w:type="dxa"/>
                </w:tcPr>
                <w:p w14:paraId="7EB811D2" w14:textId="77777777" w:rsidR="00A76274" w:rsidRDefault="00000000">
                  <w:pPr>
                    <w:keepNext/>
                    <w:spacing w:after="60"/>
                    <w:jc w:val="center"/>
                  </w:pPr>
                  <w:r>
                    <w:rPr>
                      <w:rFonts w:ascii="Calibri" w:hAnsi="Calibri"/>
                      <w:sz w:val="20"/>
                    </w:rPr>
                    <w:t>(0.006) *</w:t>
                  </w:r>
                </w:p>
              </w:tc>
              <w:tc>
                <w:tcPr>
                  <w:tcW w:w="1505" w:type="dxa"/>
                </w:tcPr>
                <w:p w14:paraId="7690A424" w14:textId="77777777" w:rsidR="00A76274" w:rsidRDefault="00000000">
                  <w:pPr>
                    <w:keepNext/>
                    <w:spacing w:after="60"/>
                    <w:jc w:val="center"/>
                  </w:pPr>
                  <w:r>
                    <w:rPr>
                      <w:rFonts w:ascii="Calibri" w:hAnsi="Calibri"/>
                      <w:sz w:val="20"/>
                    </w:rPr>
                    <w:t>(0.007) *</w:t>
                  </w:r>
                </w:p>
              </w:tc>
            </w:tr>
            <w:tr w:rsidR="000C6231" w14:paraId="5071290B" w14:textId="77777777" w:rsidTr="000C6231">
              <w:trPr>
                <w:cantSplit/>
                <w:jc w:val="center"/>
              </w:trPr>
              <w:tc>
                <w:tcPr>
                  <w:tcW w:w="2633" w:type="dxa"/>
                </w:tcPr>
                <w:p w14:paraId="65A5F0B7" w14:textId="77777777" w:rsidR="00A76274" w:rsidRDefault="00000000">
                  <w:pPr>
                    <w:keepNext/>
                    <w:spacing w:after="60"/>
                  </w:pPr>
                  <w:r>
                    <w:rPr>
                      <w:rFonts w:ascii="Calibri" w:hAnsi="Calibri"/>
                      <w:sz w:val="20"/>
                    </w:rPr>
                    <w:t>Agreeableness</w:t>
                  </w:r>
                </w:p>
              </w:tc>
              <w:tc>
                <w:tcPr>
                  <w:tcW w:w="1508" w:type="dxa"/>
                </w:tcPr>
                <w:p w14:paraId="2A108D2D" w14:textId="77777777" w:rsidR="00A76274" w:rsidRDefault="00000000">
                  <w:pPr>
                    <w:keepNext/>
                    <w:spacing w:after="60"/>
                    <w:jc w:val="center"/>
                  </w:pPr>
                  <w:r>
                    <w:rPr>
                      <w:rFonts w:ascii="Calibri" w:hAnsi="Calibri"/>
                      <w:sz w:val="20"/>
                    </w:rPr>
                    <w:t>-0.007</w:t>
                  </w:r>
                </w:p>
              </w:tc>
              <w:tc>
                <w:tcPr>
                  <w:tcW w:w="2039" w:type="dxa"/>
                </w:tcPr>
                <w:p w14:paraId="5804B204" w14:textId="77777777" w:rsidR="00A76274" w:rsidRDefault="00000000">
                  <w:pPr>
                    <w:keepNext/>
                    <w:spacing w:after="60"/>
                    <w:jc w:val="center"/>
                  </w:pPr>
                  <w:r>
                    <w:rPr>
                      <w:rFonts w:ascii="Calibri" w:hAnsi="Calibri"/>
                      <w:sz w:val="20"/>
                    </w:rPr>
                    <w:t>-0.008</w:t>
                  </w:r>
                </w:p>
              </w:tc>
              <w:tc>
                <w:tcPr>
                  <w:tcW w:w="1505" w:type="dxa"/>
                </w:tcPr>
                <w:p w14:paraId="472E25E9" w14:textId="77777777" w:rsidR="00A76274" w:rsidRDefault="00000000">
                  <w:pPr>
                    <w:keepNext/>
                    <w:spacing w:after="60"/>
                    <w:jc w:val="center"/>
                  </w:pPr>
                  <w:r>
                    <w:rPr>
                      <w:rFonts w:ascii="Calibri" w:hAnsi="Calibri"/>
                      <w:sz w:val="20"/>
                    </w:rPr>
                    <w:t>-0.008</w:t>
                  </w:r>
                </w:p>
              </w:tc>
            </w:tr>
            <w:tr w:rsidR="000C6231" w14:paraId="5D6A2655" w14:textId="77777777" w:rsidTr="000C6231">
              <w:trPr>
                <w:cantSplit/>
                <w:jc w:val="center"/>
              </w:trPr>
              <w:tc>
                <w:tcPr>
                  <w:tcW w:w="2633" w:type="dxa"/>
                </w:tcPr>
                <w:p w14:paraId="20407D30" w14:textId="77777777" w:rsidR="00A76274" w:rsidRDefault="00A76274">
                  <w:pPr>
                    <w:keepNext/>
                    <w:spacing w:after="60"/>
                  </w:pPr>
                </w:p>
              </w:tc>
              <w:tc>
                <w:tcPr>
                  <w:tcW w:w="1508" w:type="dxa"/>
                </w:tcPr>
                <w:p w14:paraId="650F6D62" w14:textId="77777777" w:rsidR="00A76274" w:rsidRDefault="00000000">
                  <w:pPr>
                    <w:keepNext/>
                    <w:spacing w:after="60"/>
                    <w:jc w:val="center"/>
                  </w:pPr>
                  <w:r>
                    <w:rPr>
                      <w:rFonts w:ascii="Calibri" w:hAnsi="Calibri"/>
                      <w:sz w:val="20"/>
                    </w:rPr>
                    <w:t>(0.007)</w:t>
                  </w:r>
                </w:p>
              </w:tc>
              <w:tc>
                <w:tcPr>
                  <w:tcW w:w="2039" w:type="dxa"/>
                </w:tcPr>
                <w:p w14:paraId="1BE4255E" w14:textId="77777777" w:rsidR="00A76274" w:rsidRDefault="00000000">
                  <w:pPr>
                    <w:keepNext/>
                    <w:spacing w:after="60"/>
                    <w:jc w:val="center"/>
                  </w:pPr>
                  <w:r>
                    <w:rPr>
                      <w:rFonts w:ascii="Calibri" w:hAnsi="Calibri"/>
                      <w:sz w:val="20"/>
                    </w:rPr>
                    <w:t>(0.006)</w:t>
                  </w:r>
                </w:p>
              </w:tc>
              <w:tc>
                <w:tcPr>
                  <w:tcW w:w="1505" w:type="dxa"/>
                </w:tcPr>
                <w:p w14:paraId="1A7A35AE" w14:textId="77777777" w:rsidR="00A76274" w:rsidRDefault="00000000">
                  <w:pPr>
                    <w:keepNext/>
                    <w:spacing w:after="60"/>
                    <w:jc w:val="center"/>
                  </w:pPr>
                  <w:r>
                    <w:rPr>
                      <w:rFonts w:ascii="Calibri" w:hAnsi="Calibri"/>
                      <w:sz w:val="20"/>
                    </w:rPr>
                    <w:t>(0.008)</w:t>
                  </w:r>
                </w:p>
              </w:tc>
            </w:tr>
            <w:tr w:rsidR="000C6231" w14:paraId="4B2B37AD" w14:textId="77777777" w:rsidTr="000C6231">
              <w:trPr>
                <w:cantSplit/>
                <w:jc w:val="center"/>
              </w:trPr>
              <w:tc>
                <w:tcPr>
                  <w:tcW w:w="2633" w:type="dxa"/>
                </w:tcPr>
                <w:p w14:paraId="4C4D67B7" w14:textId="77777777" w:rsidR="00A76274" w:rsidRDefault="00000000">
                  <w:pPr>
                    <w:keepNext/>
                    <w:spacing w:after="60"/>
                  </w:pPr>
                  <w:r>
                    <w:rPr>
                      <w:rFonts w:ascii="Calibri" w:hAnsi="Calibri"/>
                      <w:sz w:val="20"/>
                    </w:rPr>
                    <w:t>Emotional Stability</w:t>
                  </w:r>
                </w:p>
              </w:tc>
              <w:tc>
                <w:tcPr>
                  <w:tcW w:w="1508" w:type="dxa"/>
                </w:tcPr>
                <w:p w14:paraId="5090B358" w14:textId="77777777" w:rsidR="00A76274" w:rsidRDefault="00000000">
                  <w:pPr>
                    <w:keepNext/>
                    <w:spacing w:after="60"/>
                    <w:jc w:val="center"/>
                  </w:pPr>
                  <w:r>
                    <w:rPr>
                      <w:rFonts w:ascii="Calibri" w:hAnsi="Calibri"/>
                      <w:sz w:val="20"/>
                    </w:rPr>
                    <w:t>0.004</w:t>
                  </w:r>
                </w:p>
              </w:tc>
              <w:tc>
                <w:tcPr>
                  <w:tcW w:w="2039" w:type="dxa"/>
                </w:tcPr>
                <w:p w14:paraId="5A3D04F8" w14:textId="77777777" w:rsidR="00A76274" w:rsidRDefault="00000000">
                  <w:pPr>
                    <w:keepNext/>
                    <w:spacing w:after="60"/>
                    <w:jc w:val="center"/>
                  </w:pPr>
                  <w:r>
                    <w:rPr>
                      <w:rFonts w:ascii="Calibri" w:hAnsi="Calibri"/>
                      <w:sz w:val="20"/>
                    </w:rPr>
                    <w:t>0.003</w:t>
                  </w:r>
                </w:p>
              </w:tc>
              <w:tc>
                <w:tcPr>
                  <w:tcW w:w="1505" w:type="dxa"/>
                </w:tcPr>
                <w:p w14:paraId="71F47B4D" w14:textId="77777777" w:rsidR="00A76274" w:rsidRDefault="00000000">
                  <w:pPr>
                    <w:keepNext/>
                    <w:spacing w:after="60"/>
                    <w:jc w:val="center"/>
                  </w:pPr>
                  <w:r>
                    <w:rPr>
                      <w:rFonts w:ascii="Calibri" w:hAnsi="Calibri"/>
                      <w:sz w:val="20"/>
                    </w:rPr>
                    <w:t>0.003</w:t>
                  </w:r>
                </w:p>
              </w:tc>
            </w:tr>
            <w:tr w:rsidR="000C6231" w14:paraId="5A968CE7" w14:textId="77777777" w:rsidTr="000C6231">
              <w:trPr>
                <w:cantSplit/>
                <w:jc w:val="center"/>
              </w:trPr>
              <w:tc>
                <w:tcPr>
                  <w:tcW w:w="2633" w:type="dxa"/>
                </w:tcPr>
                <w:p w14:paraId="5403C7AE" w14:textId="77777777" w:rsidR="00A76274" w:rsidRDefault="00A76274">
                  <w:pPr>
                    <w:keepNext/>
                    <w:spacing w:after="60"/>
                  </w:pPr>
                </w:p>
              </w:tc>
              <w:tc>
                <w:tcPr>
                  <w:tcW w:w="1508" w:type="dxa"/>
                </w:tcPr>
                <w:p w14:paraId="30104444" w14:textId="77777777" w:rsidR="00A76274" w:rsidRDefault="00000000">
                  <w:pPr>
                    <w:keepNext/>
                    <w:spacing w:after="60"/>
                    <w:jc w:val="center"/>
                  </w:pPr>
                  <w:r>
                    <w:rPr>
                      <w:rFonts w:ascii="Calibri" w:hAnsi="Calibri"/>
                      <w:sz w:val="20"/>
                    </w:rPr>
                    <w:t>(0.010)</w:t>
                  </w:r>
                </w:p>
              </w:tc>
              <w:tc>
                <w:tcPr>
                  <w:tcW w:w="2039" w:type="dxa"/>
                </w:tcPr>
                <w:p w14:paraId="7B17A750" w14:textId="77777777" w:rsidR="00A76274" w:rsidRDefault="00000000">
                  <w:pPr>
                    <w:keepNext/>
                    <w:spacing w:after="60"/>
                    <w:jc w:val="center"/>
                  </w:pPr>
                  <w:r>
                    <w:rPr>
                      <w:rFonts w:ascii="Calibri" w:hAnsi="Calibri"/>
                      <w:sz w:val="20"/>
                    </w:rPr>
                    <w:t>(0.006)</w:t>
                  </w:r>
                </w:p>
              </w:tc>
              <w:tc>
                <w:tcPr>
                  <w:tcW w:w="1505" w:type="dxa"/>
                </w:tcPr>
                <w:p w14:paraId="557A9442" w14:textId="77777777" w:rsidR="00A76274" w:rsidRDefault="00000000">
                  <w:pPr>
                    <w:keepNext/>
                    <w:spacing w:after="60"/>
                    <w:jc w:val="center"/>
                  </w:pPr>
                  <w:r>
                    <w:rPr>
                      <w:rFonts w:ascii="Calibri" w:hAnsi="Calibri"/>
                      <w:sz w:val="20"/>
                    </w:rPr>
                    <w:t>(0.009)</w:t>
                  </w:r>
                </w:p>
              </w:tc>
            </w:tr>
            <w:tr w:rsidR="000C6231" w14:paraId="6A344DA5" w14:textId="77777777" w:rsidTr="000C6231">
              <w:trPr>
                <w:cantSplit/>
                <w:jc w:val="center"/>
              </w:trPr>
              <w:tc>
                <w:tcPr>
                  <w:tcW w:w="2633" w:type="dxa"/>
                </w:tcPr>
                <w:p w14:paraId="5CA86D75" w14:textId="77777777" w:rsidR="00A76274" w:rsidRDefault="00000000">
                  <w:pPr>
                    <w:keepNext/>
                    <w:spacing w:after="60"/>
                  </w:pPr>
                  <w:r>
                    <w:rPr>
                      <w:rFonts w:ascii="Calibri" w:hAnsi="Calibri"/>
                      <w:sz w:val="20"/>
                    </w:rPr>
                    <w:t>ses5Q2</w:t>
                  </w:r>
                </w:p>
              </w:tc>
              <w:tc>
                <w:tcPr>
                  <w:tcW w:w="1508" w:type="dxa"/>
                </w:tcPr>
                <w:p w14:paraId="447BFECA" w14:textId="77777777" w:rsidR="00A76274" w:rsidRDefault="00A76274">
                  <w:pPr>
                    <w:keepNext/>
                    <w:spacing w:after="60"/>
                    <w:jc w:val="center"/>
                  </w:pPr>
                </w:p>
              </w:tc>
              <w:tc>
                <w:tcPr>
                  <w:tcW w:w="2039" w:type="dxa"/>
                </w:tcPr>
                <w:p w14:paraId="63EA6AB1" w14:textId="77777777" w:rsidR="00A76274" w:rsidRDefault="00000000">
                  <w:pPr>
                    <w:keepNext/>
                    <w:spacing w:after="60"/>
                    <w:jc w:val="center"/>
                  </w:pPr>
                  <w:r>
                    <w:rPr>
                      <w:rFonts w:ascii="Calibri" w:hAnsi="Calibri"/>
                      <w:sz w:val="20"/>
                    </w:rPr>
                    <w:t>0.004</w:t>
                  </w:r>
                </w:p>
              </w:tc>
              <w:tc>
                <w:tcPr>
                  <w:tcW w:w="1505" w:type="dxa"/>
                </w:tcPr>
                <w:p w14:paraId="330BE3F0" w14:textId="77777777" w:rsidR="00A76274" w:rsidRDefault="00000000">
                  <w:pPr>
                    <w:keepNext/>
                    <w:spacing w:after="60"/>
                    <w:jc w:val="center"/>
                  </w:pPr>
                  <w:r>
                    <w:rPr>
                      <w:rFonts w:ascii="Calibri" w:hAnsi="Calibri"/>
                      <w:sz w:val="20"/>
                    </w:rPr>
                    <w:t>0.004</w:t>
                  </w:r>
                </w:p>
              </w:tc>
            </w:tr>
            <w:tr w:rsidR="000C6231" w14:paraId="065F6CF0" w14:textId="77777777" w:rsidTr="000C6231">
              <w:trPr>
                <w:cantSplit/>
                <w:jc w:val="center"/>
              </w:trPr>
              <w:tc>
                <w:tcPr>
                  <w:tcW w:w="2633" w:type="dxa"/>
                </w:tcPr>
                <w:p w14:paraId="73939C83" w14:textId="77777777" w:rsidR="00A76274" w:rsidRDefault="00A76274">
                  <w:pPr>
                    <w:keepNext/>
                    <w:spacing w:after="60"/>
                  </w:pPr>
                </w:p>
              </w:tc>
              <w:tc>
                <w:tcPr>
                  <w:tcW w:w="1508" w:type="dxa"/>
                </w:tcPr>
                <w:p w14:paraId="00E84B2D" w14:textId="77777777" w:rsidR="00A76274" w:rsidRDefault="00A76274">
                  <w:pPr>
                    <w:keepNext/>
                    <w:spacing w:after="60"/>
                    <w:jc w:val="center"/>
                  </w:pPr>
                </w:p>
              </w:tc>
              <w:tc>
                <w:tcPr>
                  <w:tcW w:w="2039" w:type="dxa"/>
                </w:tcPr>
                <w:p w14:paraId="6A989AF1" w14:textId="77777777" w:rsidR="00A76274" w:rsidRDefault="00000000">
                  <w:pPr>
                    <w:keepNext/>
                    <w:spacing w:after="60"/>
                    <w:jc w:val="center"/>
                  </w:pPr>
                  <w:r>
                    <w:rPr>
                      <w:rFonts w:ascii="Calibri" w:hAnsi="Calibri"/>
                      <w:sz w:val="20"/>
                    </w:rPr>
                    <w:t>(0.016)</w:t>
                  </w:r>
                </w:p>
              </w:tc>
              <w:tc>
                <w:tcPr>
                  <w:tcW w:w="1505" w:type="dxa"/>
                </w:tcPr>
                <w:p w14:paraId="7B7D0616" w14:textId="77777777" w:rsidR="00A76274" w:rsidRDefault="00000000">
                  <w:pPr>
                    <w:keepNext/>
                    <w:spacing w:after="60"/>
                    <w:jc w:val="center"/>
                  </w:pPr>
                  <w:r>
                    <w:rPr>
                      <w:rFonts w:ascii="Calibri" w:hAnsi="Calibri"/>
                      <w:sz w:val="20"/>
                    </w:rPr>
                    <w:t>(0.016)</w:t>
                  </w:r>
                </w:p>
              </w:tc>
            </w:tr>
            <w:tr w:rsidR="000C6231" w14:paraId="12C48ADB" w14:textId="77777777" w:rsidTr="000C6231">
              <w:trPr>
                <w:cantSplit/>
                <w:jc w:val="center"/>
              </w:trPr>
              <w:tc>
                <w:tcPr>
                  <w:tcW w:w="2633" w:type="dxa"/>
                </w:tcPr>
                <w:p w14:paraId="15E2D8BB" w14:textId="77777777" w:rsidR="00A76274" w:rsidRDefault="00000000">
                  <w:pPr>
                    <w:keepNext/>
                    <w:spacing w:after="60"/>
                  </w:pPr>
                  <w:r>
                    <w:rPr>
                      <w:rFonts w:ascii="Calibri" w:hAnsi="Calibri"/>
                      <w:sz w:val="20"/>
                    </w:rPr>
                    <w:lastRenderedPageBreak/>
                    <w:t>ses5Q3</w:t>
                  </w:r>
                </w:p>
              </w:tc>
              <w:tc>
                <w:tcPr>
                  <w:tcW w:w="1508" w:type="dxa"/>
                </w:tcPr>
                <w:p w14:paraId="3AA1317C" w14:textId="77777777" w:rsidR="00A76274" w:rsidRDefault="00A76274">
                  <w:pPr>
                    <w:keepNext/>
                    <w:spacing w:after="60"/>
                    <w:jc w:val="center"/>
                  </w:pPr>
                </w:p>
              </w:tc>
              <w:tc>
                <w:tcPr>
                  <w:tcW w:w="2039" w:type="dxa"/>
                </w:tcPr>
                <w:p w14:paraId="54F43AB0" w14:textId="77777777" w:rsidR="00A76274" w:rsidRDefault="00000000">
                  <w:pPr>
                    <w:keepNext/>
                    <w:spacing w:after="60"/>
                    <w:jc w:val="center"/>
                  </w:pPr>
                  <w:r>
                    <w:rPr>
                      <w:rFonts w:ascii="Calibri" w:hAnsi="Calibri"/>
                      <w:sz w:val="20"/>
                    </w:rPr>
                    <w:t>0.030</w:t>
                  </w:r>
                </w:p>
              </w:tc>
              <w:tc>
                <w:tcPr>
                  <w:tcW w:w="1505" w:type="dxa"/>
                </w:tcPr>
                <w:p w14:paraId="387C4735" w14:textId="77777777" w:rsidR="00A76274" w:rsidRDefault="00000000">
                  <w:pPr>
                    <w:keepNext/>
                    <w:spacing w:after="60"/>
                    <w:jc w:val="center"/>
                  </w:pPr>
                  <w:r>
                    <w:rPr>
                      <w:rFonts w:ascii="Calibri" w:hAnsi="Calibri"/>
                      <w:sz w:val="20"/>
                    </w:rPr>
                    <w:t>0.030</w:t>
                  </w:r>
                </w:p>
              </w:tc>
            </w:tr>
            <w:tr w:rsidR="000C6231" w14:paraId="4BF95542" w14:textId="77777777" w:rsidTr="000C6231">
              <w:trPr>
                <w:cantSplit/>
                <w:jc w:val="center"/>
              </w:trPr>
              <w:tc>
                <w:tcPr>
                  <w:tcW w:w="2633" w:type="dxa"/>
                </w:tcPr>
                <w:p w14:paraId="190FBBCB" w14:textId="77777777" w:rsidR="00A76274" w:rsidRDefault="00A76274">
                  <w:pPr>
                    <w:keepNext/>
                    <w:spacing w:after="60"/>
                  </w:pPr>
                </w:p>
              </w:tc>
              <w:tc>
                <w:tcPr>
                  <w:tcW w:w="1508" w:type="dxa"/>
                </w:tcPr>
                <w:p w14:paraId="0BA4121F" w14:textId="77777777" w:rsidR="00A76274" w:rsidRDefault="00A76274">
                  <w:pPr>
                    <w:keepNext/>
                    <w:spacing w:after="60"/>
                    <w:jc w:val="center"/>
                  </w:pPr>
                </w:p>
              </w:tc>
              <w:tc>
                <w:tcPr>
                  <w:tcW w:w="2039" w:type="dxa"/>
                </w:tcPr>
                <w:p w14:paraId="3057EBA8" w14:textId="77777777" w:rsidR="00A76274" w:rsidRDefault="00000000">
                  <w:pPr>
                    <w:keepNext/>
                    <w:spacing w:after="60"/>
                    <w:jc w:val="center"/>
                  </w:pPr>
                  <w:r>
                    <w:rPr>
                      <w:rFonts w:ascii="Calibri" w:hAnsi="Calibri"/>
                      <w:sz w:val="20"/>
                    </w:rPr>
                    <w:t>(0.016) +</w:t>
                  </w:r>
                </w:p>
              </w:tc>
              <w:tc>
                <w:tcPr>
                  <w:tcW w:w="1505" w:type="dxa"/>
                </w:tcPr>
                <w:p w14:paraId="37F84EF1" w14:textId="77777777" w:rsidR="00A76274" w:rsidRDefault="00000000">
                  <w:pPr>
                    <w:keepNext/>
                    <w:spacing w:after="60"/>
                    <w:jc w:val="center"/>
                  </w:pPr>
                  <w:r>
                    <w:rPr>
                      <w:rFonts w:ascii="Calibri" w:hAnsi="Calibri"/>
                      <w:sz w:val="20"/>
                    </w:rPr>
                    <w:t>(0.016) +</w:t>
                  </w:r>
                </w:p>
              </w:tc>
            </w:tr>
            <w:tr w:rsidR="000C6231" w14:paraId="77EA5BA0" w14:textId="77777777" w:rsidTr="000C6231">
              <w:trPr>
                <w:cantSplit/>
                <w:jc w:val="center"/>
              </w:trPr>
              <w:tc>
                <w:tcPr>
                  <w:tcW w:w="2633" w:type="dxa"/>
                </w:tcPr>
                <w:p w14:paraId="3748996C" w14:textId="77777777" w:rsidR="00A76274" w:rsidRDefault="00000000">
                  <w:pPr>
                    <w:keepNext/>
                    <w:spacing w:after="60"/>
                  </w:pPr>
                  <w:r>
                    <w:rPr>
                      <w:rFonts w:ascii="Calibri" w:hAnsi="Calibri"/>
                      <w:sz w:val="20"/>
                    </w:rPr>
                    <w:t>ses5Q4</w:t>
                  </w:r>
                </w:p>
              </w:tc>
              <w:tc>
                <w:tcPr>
                  <w:tcW w:w="1508" w:type="dxa"/>
                </w:tcPr>
                <w:p w14:paraId="773292E8" w14:textId="77777777" w:rsidR="00A76274" w:rsidRDefault="00A76274">
                  <w:pPr>
                    <w:keepNext/>
                    <w:spacing w:after="60"/>
                    <w:jc w:val="center"/>
                  </w:pPr>
                </w:p>
              </w:tc>
              <w:tc>
                <w:tcPr>
                  <w:tcW w:w="2039" w:type="dxa"/>
                </w:tcPr>
                <w:p w14:paraId="6A3AC3D7" w14:textId="77777777" w:rsidR="00A76274" w:rsidRDefault="00000000">
                  <w:pPr>
                    <w:keepNext/>
                    <w:spacing w:after="60"/>
                    <w:jc w:val="center"/>
                  </w:pPr>
                  <w:r>
                    <w:rPr>
                      <w:rFonts w:ascii="Calibri" w:hAnsi="Calibri"/>
                      <w:sz w:val="20"/>
                    </w:rPr>
                    <w:t>0.014</w:t>
                  </w:r>
                </w:p>
              </w:tc>
              <w:tc>
                <w:tcPr>
                  <w:tcW w:w="1505" w:type="dxa"/>
                </w:tcPr>
                <w:p w14:paraId="6B780F28" w14:textId="77777777" w:rsidR="00A76274" w:rsidRDefault="00000000">
                  <w:pPr>
                    <w:keepNext/>
                    <w:spacing w:after="60"/>
                    <w:jc w:val="center"/>
                  </w:pPr>
                  <w:r>
                    <w:rPr>
                      <w:rFonts w:ascii="Calibri" w:hAnsi="Calibri"/>
                      <w:sz w:val="20"/>
                    </w:rPr>
                    <w:t>0.011</w:t>
                  </w:r>
                </w:p>
              </w:tc>
            </w:tr>
            <w:tr w:rsidR="000C6231" w14:paraId="1A70F0BF" w14:textId="77777777" w:rsidTr="000C6231">
              <w:trPr>
                <w:cantSplit/>
                <w:jc w:val="center"/>
              </w:trPr>
              <w:tc>
                <w:tcPr>
                  <w:tcW w:w="2633" w:type="dxa"/>
                </w:tcPr>
                <w:p w14:paraId="74CA111E" w14:textId="77777777" w:rsidR="00A76274" w:rsidRDefault="00A76274">
                  <w:pPr>
                    <w:keepNext/>
                    <w:spacing w:after="60"/>
                  </w:pPr>
                </w:p>
              </w:tc>
              <w:tc>
                <w:tcPr>
                  <w:tcW w:w="1508" w:type="dxa"/>
                </w:tcPr>
                <w:p w14:paraId="06FF9FD1" w14:textId="77777777" w:rsidR="00A76274" w:rsidRDefault="00A76274">
                  <w:pPr>
                    <w:keepNext/>
                    <w:spacing w:after="60"/>
                    <w:jc w:val="center"/>
                  </w:pPr>
                </w:p>
              </w:tc>
              <w:tc>
                <w:tcPr>
                  <w:tcW w:w="2039" w:type="dxa"/>
                </w:tcPr>
                <w:p w14:paraId="17A2C868" w14:textId="77777777" w:rsidR="00A76274" w:rsidRDefault="00000000">
                  <w:pPr>
                    <w:keepNext/>
                    <w:spacing w:after="60"/>
                    <w:jc w:val="center"/>
                  </w:pPr>
                  <w:r>
                    <w:rPr>
                      <w:rFonts w:ascii="Calibri" w:hAnsi="Calibri"/>
                      <w:sz w:val="20"/>
                    </w:rPr>
                    <w:t>(0.017)</w:t>
                  </w:r>
                </w:p>
              </w:tc>
              <w:tc>
                <w:tcPr>
                  <w:tcW w:w="1505" w:type="dxa"/>
                </w:tcPr>
                <w:p w14:paraId="5AEEE917" w14:textId="77777777" w:rsidR="00A76274" w:rsidRDefault="00000000">
                  <w:pPr>
                    <w:keepNext/>
                    <w:spacing w:after="60"/>
                    <w:jc w:val="center"/>
                  </w:pPr>
                  <w:r>
                    <w:rPr>
                      <w:rFonts w:ascii="Calibri" w:hAnsi="Calibri"/>
                      <w:sz w:val="20"/>
                    </w:rPr>
                    <w:t>(0.017)</w:t>
                  </w:r>
                </w:p>
              </w:tc>
            </w:tr>
            <w:tr w:rsidR="000C6231" w14:paraId="26E8D0BF" w14:textId="77777777" w:rsidTr="000C6231">
              <w:trPr>
                <w:cantSplit/>
                <w:jc w:val="center"/>
              </w:trPr>
              <w:tc>
                <w:tcPr>
                  <w:tcW w:w="2633" w:type="dxa"/>
                </w:tcPr>
                <w:p w14:paraId="79D09D9C" w14:textId="77777777" w:rsidR="00A76274" w:rsidRDefault="00000000">
                  <w:pPr>
                    <w:keepNext/>
                    <w:spacing w:after="60"/>
                  </w:pPr>
                  <w:r>
                    <w:rPr>
                      <w:rFonts w:ascii="Calibri" w:hAnsi="Calibri"/>
                      <w:sz w:val="20"/>
                    </w:rPr>
                    <w:t>ses5Q5</w:t>
                  </w:r>
                </w:p>
              </w:tc>
              <w:tc>
                <w:tcPr>
                  <w:tcW w:w="1508" w:type="dxa"/>
                </w:tcPr>
                <w:p w14:paraId="533B5BC9" w14:textId="77777777" w:rsidR="00A76274" w:rsidRDefault="00A76274">
                  <w:pPr>
                    <w:keepNext/>
                    <w:spacing w:after="60"/>
                    <w:jc w:val="center"/>
                  </w:pPr>
                </w:p>
              </w:tc>
              <w:tc>
                <w:tcPr>
                  <w:tcW w:w="2039" w:type="dxa"/>
                </w:tcPr>
                <w:p w14:paraId="273D2070" w14:textId="77777777" w:rsidR="00A76274" w:rsidRDefault="00000000">
                  <w:pPr>
                    <w:keepNext/>
                    <w:spacing w:after="60"/>
                    <w:jc w:val="center"/>
                  </w:pPr>
                  <w:r>
                    <w:rPr>
                      <w:rFonts w:ascii="Calibri" w:hAnsi="Calibri"/>
                      <w:sz w:val="20"/>
                    </w:rPr>
                    <w:t>0.045</w:t>
                  </w:r>
                </w:p>
              </w:tc>
              <w:tc>
                <w:tcPr>
                  <w:tcW w:w="1505" w:type="dxa"/>
                </w:tcPr>
                <w:p w14:paraId="6F122A2C" w14:textId="77777777" w:rsidR="00A76274" w:rsidRDefault="00000000">
                  <w:pPr>
                    <w:keepNext/>
                    <w:spacing w:after="60"/>
                    <w:jc w:val="center"/>
                  </w:pPr>
                  <w:r>
                    <w:rPr>
                      <w:rFonts w:ascii="Calibri" w:hAnsi="Calibri"/>
                      <w:sz w:val="20"/>
                    </w:rPr>
                    <w:t>0.040</w:t>
                  </w:r>
                </w:p>
              </w:tc>
            </w:tr>
            <w:tr w:rsidR="000C6231" w14:paraId="44151C9A" w14:textId="77777777" w:rsidTr="000C6231">
              <w:trPr>
                <w:cantSplit/>
                <w:jc w:val="center"/>
              </w:trPr>
              <w:tc>
                <w:tcPr>
                  <w:tcW w:w="2633" w:type="dxa"/>
                </w:tcPr>
                <w:p w14:paraId="4C9D057B" w14:textId="77777777" w:rsidR="00A76274" w:rsidRDefault="00A76274">
                  <w:pPr>
                    <w:keepNext/>
                    <w:spacing w:after="60"/>
                  </w:pPr>
                </w:p>
              </w:tc>
              <w:tc>
                <w:tcPr>
                  <w:tcW w:w="1508" w:type="dxa"/>
                </w:tcPr>
                <w:p w14:paraId="3EE80E35" w14:textId="77777777" w:rsidR="00A76274" w:rsidRDefault="00A76274">
                  <w:pPr>
                    <w:keepNext/>
                    <w:spacing w:after="60"/>
                    <w:jc w:val="center"/>
                  </w:pPr>
                </w:p>
              </w:tc>
              <w:tc>
                <w:tcPr>
                  <w:tcW w:w="2039" w:type="dxa"/>
                </w:tcPr>
                <w:p w14:paraId="6775EEE1" w14:textId="77777777" w:rsidR="00A76274" w:rsidRDefault="00000000">
                  <w:pPr>
                    <w:keepNext/>
                    <w:spacing w:after="60"/>
                    <w:jc w:val="center"/>
                  </w:pPr>
                  <w:r>
                    <w:rPr>
                      <w:rFonts w:ascii="Calibri" w:hAnsi="Calibri"/>
                      <w:sz w:val="20"/>
                    </w:rPr>
                    <w:t>(0.018) *</w:t>
                  </w:r>
                </w:p>
              </w:tc>
              <w:tc>
                <w:tcPr>
                  <w:tcW w:w="1505" w:type="dxa"/>
                </w:tcPr>
                <w:p w14:paraId="325A0F99" w14:textId="77777777" w:rsidR="00A76274" w:rsidRDefault="00000000">
                  <w:pPr>
                    <w:keepNext/>
                    <w:spacing w:after="60"/>
                    <w:jc w:val="center"/>
                  </w:pPr>
                  <w:r>
                    <w:rPr>
                      <w:rFonts w:ascii="Calibri" w:hAnsi="Calibri"/>
                      <w:sz w:val="20"/>
                    </w:rPr>
                    <w:t>(0.018) *</w:t>
                  </w:r>
                </w:p>
              </w:tc>
            </w:tr>
            <w:tr w:rsidR="000C6231" w14:paraId="7C9CC01D" w14:textId="77777777" w:rsidTr="000C6231">
              <w:trPr>
                <w:cantSplit/>
                <w:jc w:val="center"/>
              </w:trPr>
              <w:tc>
                <w:tcPr>
                  <w:tcW w:w="2633" w:type="dxa"/>
                </w:tcPr>
                <w:p w14:paraId="78F70660" w14:textId="77777777" w:rsidR="00A76274" w:rsidRDefault="00000000">
                  <w:pPr>
                    <w:keepNext/>
                    <w:spacing w:after="60"/>
                  </w:pPr>
                  <w:proofErr w:type="spellStart"/>
                  <w:r>
                    <w:rPr>
                      <w:rFonts w:ascii="Calibri" w:hAnsi="Calibri"/>
                      <w:sz w:val="20"/>
                    </w:rPr>
                    <w:t>Num.Obs</w:t>
                  </w:r>
                  <w:proofErr w:type="spellEnd"/>
                  <w:r>
                    <w:rPr>
                      <w:rFonts w:ascii="Calibri" w:hAnsi="Calibri"/>
                      <w:sz w:val="20"/>
                    </w:rPr>
                    <w:t>.</w:t>
                  </w:r>
                </w:p>
              </w:tc>
              <w:tc>
                <w:tcPr>
                  <w:tcW w:w="1508" w:type="dxa"/>
                </w:tcPr>
                <w:p w14:paraId="37BC8730" w14:textId="77777777" w:rsidR="00A76274" w:rsidRDefault="00000000">
                  <w:pPr>
                    <w:keepNext/>
                    <w:spacing w:after="60"/>
                    <w:jc w:val="center"/>
                  </w:pPr>
                  <w:r>
                    <w:rPr>
                      <w:rFonts w:ascii="Calibri" w:hAnsi="Calibri"/>
                      <w:sz w:val="20"/>
                    </w:rPr>
                    <w:t>5994</w:t>
                  </w:r>
                </w:p>
              </w:tc>
              <w:tc>
                <w:tcPr>
                  <w:tcW w:w="2039" w:type="dxa"/>
                </w:tcPr>
                <w:p w14:paraId="569B0F15" w14:textId="77777777" w:rsidR="00A76274" w:rsidRDefault="00000000">
                  <w:pPr>
                    <w:keepNext/>
                    <w:spacing w:after="60"/>
                    <w:jc w:val="center"/>
                  </w:pPr>
                  <w:r>
                    <w:rPr>
                      <w:rFonts w:ascii="Calibri" w:hAnsi="Calibri"/>
                      <w:sz w:val="20"/>
                    </w:rPr>
                    <w:t>5994</w:t>
                  </w:r>
                </w:p>
              </w:tc>
              <w:tc>
                <w:tcPr>
                  <w:tcW w:w="1505" w:type="dxa"/>
                </w:tcPr>
                <w:p w14:paraId="159E7FE2" w14:textId="77777777" w:rsidR="00A76274" w:rsidRDefault="00000000">
                  <w:pPr>
                    <w:keepNext/>
                    <w:spacing w:after="60"/>
                    <w:jc w:val="center"/>
                  </w:pPr>
                  <w:r>
                    <w:rPr>
                      <w:rFonts w:ascii="Calibri" w:hAnsi="Calibri"/>
                      <w:sz w:val="20"/>
                    </w:rPr>
                    <w:t>5994</w:t>
                  </w:r>
                </w:p>
              </w:tc>
            </w:tr>
            <w:tr w:rsidR="000C6231" w14:paraId="2D2811B0" w14:textId="77777777" w:rsidTr="000C6231">
              <w:trPr>
                <w:cantSplit/>
                <w:jc w:val="center"/>
              </w:trPr>
              <w:tc>
                <w:tcPr>
                  <w:tcW w:w="2633" w:type="dxa"/>
                </w:tcPr>
                <w:p w14:paraId="24830F86" w14:textId="77777777" w:rsidR="00A76274" w:rsidRDefault="00000000">
                  <w:pPr>
                    <w:keepNext/>
                    <w:spacing w:after="60"/>
                  </w:pPr>
                  <w:r>
                    <w:rPr>
                      <w:rFonts w:ascii="Calibri" w:hAnsi="Calibri"/>
                      <w:sz w:val="20"/>
                    </w:rPr>
                    <w:t>R2 Marg.</w:t>
                  </w:r>
                </w:p>
              </w:tc>
              <w:tc>
                <w:tcPr>
                  <w:tcW w:w="1508" w:type="dxa"/>
                </w:tcPr>
                <w:p w14:paraId="52F74C3D" w14:textId="77777777" w:rsidR="00A76274" w:rsidRDefault="00000000">
                  <w:pPr>
                    <w:keepNext/>
                    <w:spacing w:after="60"/>
                    <w:jc w:val="center"/>
                  </w:pPr>
                  <w:r>
                    <w:rPr>
                      <w:rFonts w:ascii="Calibri" w:hAnsi="Calibri"/>
                      <w:sz w:val="20"/>
                    </w:rPr>
                    <w:t>0.209</w:t>
                  </w:r>
                </w:p>
              </w:tc>
              <w:tc>
                <w:tcPr>
                  <w:tcW w:w="2039" w:type="dxa"/>
                </w:tcPr>
                <w:p w14:paraId="7434A1B7" w14:textId="77777777" w:rsidR="00A76274" w:rsidRDefault="00000000">
                  <w:pPr>
                    <w:keepNext/>
                    <w:spacing w:after="60"/>
                    <w:jc w:val="center"/>
                  </w:pPr>
                  <w:r>
                    <w:rPr>
                      <w:rFonts w:ascii="Calibri" w:hAnsi="Calibri"/>
                      <w:sz w:val="20"/>
                    </w:rPr>
                    <w:t>0.082</w:t>
                  </w:r>
                </w:p>
              </w:tc>
              <w:tc>
                <w:tcPr>
                  <w:tcW w:w="1505" w:type="dxa"/>
                </w:tcPr>
                <w:p w14:paraId="222CD65A" w14:textId="77777777" w:rsidR="00A76274" w:rsidRDefault="00000000">
                  <w:pPr>
                    <w:keepNext/>
                    <w:spacing w:after="60"/>
                    <w:jc w:val="center"/>
                  </w:pPr>
                  <w:r>
                    <w:rPr>
                      <w:rFonts w:ascii="Calibri" w:hAnsi="Calibri"/>
                      <w:sz w:val="20"/>
                    </w:rPr>
                    <w:t>0.121</w:t>
                  </w:r>
                </w:p>
              </w:tc>
            </w:tr>
            <w:tr w:rsidR="00A76274" w14:paraId="02391999" w14:textId="77777777" w:rsidTr="000C6231">
              <w:trPr>
                <w:cantSplit/>
                <w:jc w:val="center"/>
              </w:trPr>
              <w:tc>
                <w:tcPr>
                  <w:tcW w:w="7685" w:type="dxa"/>
                  <w:gridSpan w:val="4"/>
                </w:tcPr>
                <w:p w14:paraId="753B625A" w14:textId="77777777" w:rsidR="00A76274" w:rsidRDefault="00000000">
                  <w:pPr>
                    <w:keepNext/>
                    <w:spacing w:after="60"/>
                  </w:pPr>
                  <w:r>
                    <w:rPr>
                      <w:rFonts w:ascii="Calibri" w:hAnsi="Calibri"/>
                      <w:sz w:val="20"/>
                    </w:rPr>
                    <w:t>Source: Calculations of the author based on the RLMS data.</w:t>
                  </w:r>
                </w:p>
              </w:tc>
            </w:tr>
            <w:bookmarkEnd w:id="14"/>
          </w:tbl>
          <w:p w14:paraId="6397C2A5" w14:textId="77777777" w:rsidR="00000000" w:rsidRDefault="00000000">
            <w:pPr>
              <w:spacing w:after="0"/>
            </w:pPr>
          </w:p>
        </w:tc>
      </w:tr>
    </w:tbl>
    <w:p w14:paraId="07C2264A" w14:textId="77777777" w:rsidR="00A76274" w:rsidRDefault="00000000">
      <w:pPr>
        <w:pStyle w:val="Heading3"/>
      </w:pPr>
      <w:bookmarkStart w:id="15" w:name="X6ab498c6b6f433e1a22a36325f0ee6230430a12"/>
      <w:bookmarkEnd w:id="12"/>
      <w:r>
        <w:t>Initial Conditions Matter: Skills Produce Different Effects by Socio-Economic Status</w:t>
      </w:r>
    </w:p>
    <w:p w14:paraId="3E439C41" w14:textId="77777777" w:rsidR="00A76274" w:rsidRDefault="00000000">
      <w:pPr>
        <w:pStyle w:val="FirstParagraph"/>
      </w:pPr>
      <w:r>
        <w:t xml:space="preserve">Based on the calculated mixed-effect model with the random slope coefficients of non-cognitive skills , </w:t>
      </w:r>
      <w:hyperlink w:anchor="fig-plot-ses">
        <w:r>
          <w:rPr>
            <w:rStyle w:val="Hyperlink"/>
          </w:rPr>
          <w:t>Figure 3</w:t>
        </w:r>
      </w:hyperlink>
      <w:r>
        <w:t xml:space="preserve"> visualizes the varying slope coefficients of non-cognitive skills across quintiles of household income per capita at the beginning of the school-to-work transition, i.e., when a respondent was 15 or 16 years old. As has been mentioned, this was done to account for the initial conditions that preceed the labor market entry, alllowing also to eliminate the everse causality of the income of household with the contribution from the employed respondents (i.e, when individuals who are currently employed add their wages to the overall household income). Consistent with the previous analysis, the model that calculates these effects highlights that only conscientiousness and extraversion are significant. Furthermore, it is seen that the quintiles above median have the higher returns to these skills. For example, the effect of extraversion is basically not meaningful for the youth from the bottom 20% of households, accounting for less than 1%. However, it accounts for 2.92% increase for the youth from the forth quintile, and 1.75% increase in probability for the youth from the top 20% of households by the per capita income. Though conscientiousness produces the effects higher in magnitude, it demonstrates the similar pattern, with the young people from the richer families benefiting more. These findings indicate concerns for the upward social mobility, highlighting that the richer youth holds an advantage in successful school-to-work transition.</w:t>
      </w:r>
    </w:p>
    <w:tbl>
      <w:tblPr>
        <w:tblStyle w:val="Table"/>
        <w:tblW w:w="5000" w:type="pct"/>
        <w:tblLayout w:type="fixed"/>
        <w:tblLook w:val="0000" w:firstRow="0" w:lastRow="0" w:firstColumn="0" w:lastColumn="0" w:noHBand="0" w:noVBand="0"/>
      </w:tblPr>
      <w:tblGrid>
        <w:gridCol w:w="9360"/>
      </w:tblGrid>
      <w:tr w:rsidR="00A76274" w14:paraId="6BDB5FF0" w14:textId="77777777">
        <w:tc>
          <w:tcPr>
            <w:tcW w:w="7920" w:type="dxa"/>
          </w:tcPr>
          <w:p w14:paraId="42CE4C5E" w14:textId="77777777" w:rsidR="00A76274" w:rsidRDefault="00000000">
            <w:pPr>
              <w:pStyle w:val="Compact"/>
              <w:jc w:val="center"/>
            </w:pPr>
            <w:bookmarkStart w:id="16" w:name="fig-plot-ses"/>
            <w:r>
              <w:rPr>
                <w:noProof/>
              </w:rPr>
              <w:lastRenderedPageBreak/>
              <w:drawing>
                <wp:inline distT="0" distB="0" distL="0" distR="0" wp14:anchorId="3DC02D3B" wp14:editId="1094088D">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swt-ncs_files/figure-docx/fig-plot-se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F549B6B" w14:textId="77777777" w:rsidR="00A76274" w:rsidRDefault="00000000">
            <w:pPr>
              <w:pStyle w:val="ImageCaption"/>
              <w:spacing w:before="200"/>
            </w:pPr>
            <w:r>
              <w:t>Figure 3: Probability Coefficients of Non-Cognitive Skills on Employment by Household Income per Capita Quintile Groups, Random Slope Terms of the Mixed-Effects Model</w:t>
            </w:r>
          </w:p>
        </w:tc>
        <w:bookmarkEnd w:id="16"/>
      </w:tr>
    </w:tbl>
    <w:p w14:paraId="59FC74FE" w14:textId="77777777" w:rsidR="00A76274" w:rsidRDefault="00000000">
      <w:pPr>
        <w:pStyle w:val="Heading3"/>
      </w:pPr>
      <w:bookmarkStart w:id="17" w:name="X2f59f37f3487ee918c9c4cf59465406afb62ad2"/>
      <w:bookmarkEnd w:id="15"/>
      <w:r>
        <w:t>Does Level of Education Increase the Effect of Non-Cognitive Skills?</w:t>
      </w:r>
    </w:p>
    <w:p w14:paraId="45212963" w14:textId="77777777" w:rsidR="00A76274" w:rsidRDefault="00000000">
      <w:pPr>
        <w:pStyle w:val="FirstParagraph"/>
      </w:pPr>
      <w:r>
        <w:t xml:space="preserve">One of the research questions of the study was to estimate whether the level of education increases the effect of non-cognitive skills on employment. Based on the 6th mixed-effect model, the random slopes of non-cognitive skills by the highest level of education completed were calculated. </w:t>
      </w:r>
      <w:hyperlink w:anchor="fig-plot-edu">
        <w:r>
          <w:rPr>
            <w:rStyle w:val="Hyperlink"/>
          </w:rPr>
          <w:t>Figure 4</w:t>
        </w:r>
      </w:hyperlink>
      <w:r>
        <w:t xml:space="preserve"> visualizes these effects. As the model identified significant effects of conscientiousness and extraversion, the effects of these skills are quite heterogeneous across education levels. Specifically, the effect of conscientiousness gradually increases with the education level, positively affecting the probability of employment: as such, its effect in the lowest category, namely, those without completed secondary school, accounts for 4.01%, whereas for the youth with the tertiary degree it increases the probability of employment by 4.66%. An opposite pattern is observed for extraversion, that is more important for the youth cohorts with the lower education levels. Accounting for 1.52% for those without secondary school completed, the effect of extraversion slightly drops to 1.23% for the young people with tertiary degree completed. In other words, social skills are more critical in selecting the youth without advanced academic qualifications.</w:t>
      </w:r>
    </w:p>
    <w:tbl>
      <w:tblPr>
        <w:tblStyle w:val="Table"/>
        <w:tblW w:w="5000" w:type="pct"/>
        <w:tblLayout w:type="fixed"/>
        <w:tblLook w:val="0000" w:firstRow="0" w:lastRow="0" w:firstColumn="0" w:lastColumn="0" w:noHBand="0" w:noVBand="0"/>
      </w:tblPr>
      <w:tblGrid>
        <w:gridCol w:w="9360"/>
      </w:tblGrid>
      <w:tr w:rsidR="00A76274" w14:paraId="314233FA" w14:textId="77777777">
        <w:tc>
          <w:tcPr>
            <w:tcW w:w="7920" w:type="dxa"/>
          </w:tcPr>
          <w:p w14:paraId="243D9122" w14:textId="77777777" w:rsidR="00A76274" w:rsidRDefault="00000000">
            <w:pPr>
              <w:pStyle w:val="Compact"/>
              <w:jc w:val="center"/>
            </w:pPr>
            <w:bookmarkStart w:id="18" w:name="fig-plot-edu"/>
            <w:r>
              <w:rPr>
                <w:noProof/>
              </w:rPr>
              <w:lastRenderedPageBreak/>
              <w:drawing>
                <wp:inline distT="0" distB="0" distL="0" distR="0" wp14:anchorId="1A18D414" wp14:editId="458CC859">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swt-ncs_files/figure-docx/fig-plot-edu-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8F59AD8" w14:textId="77777777" w:rsidR="00A76274" w:rsidRDefault="00000000">
            <w:pPr>
              <w:pStyle w:val="ImageCaption"/>
              <w:spacing w:before="200"/>
            </w:pPr>
            <w:r>
              <w:t>Figure 4: Probability Coefficients of Non-Cognitive Skills on Employment by Completed Level of Education, Random Slope Terms of the Mixed-Effects Model</w:t>
            </w:r>
          </w:p>
        </w:tc>
        <w:bookmarkEnd w:id="18"/>
      </w:tr>
    </w:tbl>
    <w:p w14:paraId="53D0B9B0" w14:textId="77777777" w:rsidR="00A76274" w:rsidRDefault="00000000">
      <w:pPr>
        <w:pStyle w:val="Heading3"/>
      </w:pPr>
      <w:bookmarkStart w:id="19" w:name="X2f5beaf67bc4e66c5bad998666ee49c97bd3dfc"/>
      <w:bookmarkEnd w:id="17"/>
      <w:r>
        <w:t>Can Non-Cognitive Skills Reduce the Gender Gap in Employment?</w:t>
      </w:r>
    </w:p>
    <w:p w14:paraId="097073CD" w14:textId="77777777" w:rsidR="00A76274" w:rsidRDefault="00000000">
      <w:pPr>
        <w:pStyle w:val="FirstParagraph"/>
      </w:pPr>
      <w:r>
        <w:t xml:space="preserve">While the analysis highlighted that young women have reduced chances of finding a job and entering the world of work, the last regression model tests whether non-cognitive skills can help reduce the gender gap in employment. </w:t>
      </w:r>
      <w:hyperlink w:anchor="fig-plot-gender">
        <w:r>
          <w:rPr>
            <w:rStyle w:val="Hyperlink"/>
          </w:rPr>
          <w:t>Figure 5</w:t>
        </w:r>
      </w:hyperlink>
      <w:r>
        <w:t xml:space="preserve"> visualizes the effects of non-cognitive skills on employment estimated through the random slopes of these skills by gender. While the regression model, from which these coefficients were estimated, also highlights the statistically significant effects of conscientiousness and extraversion, the first one produces higher effects for young men. Specifically, a 1 SD increase in conscientiousness results in an increase in the probability of employment by 5.53% for young men, compared to a 2.77% increase for young women. In other words, conscientiousness produces substantially higher employment benefits for young men than for their female counterparts. Importantly, extraversion demonstrates the reverse pattern. While both its effect and the gap in its effect by gender are smaller than that of conscientiousness, a 1 SD increase in extraversion results in a 1.92 percentage point higher likelihood of finding a job for women, compared to 1.04 percentage points for men. </w:t>
      </w:r>
      <w:r>
        <w:lastRenderedPageBreak/>
        <w:t>This suggests that extraversion is the non-cognitive skill that can help reduce the gender gap in employment.</w:t>
      </w:r>
    </w:p>
    <w:tbl>
      <w:tblPr>
        <w:tblStyle w:val="Table"/>
        <w:tblW w:w="5000" w:type="pct"/>
        <w:tblLayout w:type="fixed"/>
        <w:tblLook w:val="0000" w:firstRow="0" w:lastRow="0" w:firstColumn="0" w:lastColumn="0" w:noHBand="0" w:noVBand="0"/>
      </w:tblPr>
      <w:tblGrid>
        <w:gridCol w:w="9360"/>
      </w:tblGrid>
      <w:tr w:rsidR="00A76274" w14:paraId="5AE8DB12" w14:textId="77777777">
        <w:tc>
          <w:tcPr>
            <w:tcW w:w="7920" w:type="dxa"/>
          </w:tcPr>
          <w:p w14:paraId="3A17314D" w14:textId="77777777" w:rsidR="00A76274" w:rsidRDefault="00000000">
            <w:pPr>
              <w:pStyle w:val="Compact"/>
              <w:jc w:val="center"/>
            </w:pPr>
            <w:bookmarkStart w:id="20" w:name="fig-plot-gender"/>
            <w:r>
              <w:rPr>
                <w:noProof/>
              </w:rPr>
              <w:drawing>
                <wp:inline distT="0" distB="0" distL="0" distR="0" wp14:anchorId="44EEEA4E" wp14:editId="1C9F825D">
                  <wp:extent cx="5334000" cy="42672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swt-ncs_files/figure-docx/fig-plot-gender-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6CB28CC" w14:textId="77777777" w:rsidR="00A76274" w:rsidRDefault="00000000">
            <w:pPr>
              <w:pStyle w:val="ImageCaption"/>
              <w:spacing w:before="200"/>
            </w:pPr>
            <w:r>
              <w:t>Figure 5: Probability Coefficients of Non-Cognitive Skills on Employment by Gender, Random Slope Terms of the Mixed-Effects Model</w:t>
            </w:r>
          </w:p>
        </w:tc>
        <w:bookmarkEnd w:id="20"/>
      </w:tr>
    </w:tbl>
    <w:p w14:paraId="32292DE3" w14:textId="77777777" w:rsidR="00A76274" w:rsidRDefault="00000000">
      <w:pPr>
        <w:pStyle w:val="Heading2"/>
      </w:pPr>
      <w:bookmarkStart w:id="21" w:name="discussion"/>
      <w:bookmarkEnd w:id="5"/>
      <w:bookmarkEnd w:id="19"/>
      <w:r>
        <w:t>Discussion</w:t>
      </w:r>
    </w:p>
    <w:p w14:paraId="70D229F7" w14:textId="77777777" w:rsidR="00A76274" w:rsidRDefault="00000000">
      <w:pPr>
        <w:pStyle w:val="FirstParagraph"/>
      </w:pPr>
      <w:r>
        <w:t>The study’s findings highlight several key issues that warrant attention. Firstly, it is essentially important to point out at the late labor market entry of young people, even after receiving the highest education diploma. As such, our findings indicate that the age of 26 years old is associated with the highest probability of finding a job, which is 5 years after the theoretical age of completing a higher education degree in Russia. This suggests that the years following the completion of a higher education degree are challenging for young people, with the gap between completing a higher education degree and the age when the likelihood of being employed peaks accounting for 5 years.</w:t>
      </w:r>
    </w:p>
    <w:p w14:paraId="49A0D407" w14:textId="77777777" w:rsidR="00A76274" w:rsidRDefault="00000000">
      <w:pPr>
        <w:pStyle w:val="BodyText"/>
      </w:pPr>
      <w:r>
        <w:t xml:space="preserve">Second, having a higher education degree does not translate into a substantial advantage in finding a job compared to young people who completed secondary or secondary vocational school. This effect is only visible in comparison to those without education. However, this should rather be explained by the limitations of the estimation strategy: the </w:t>
      </w:r>
      <w:r>
        <w:lastRenderedPageBreak/>
        <w:t>verification model does not take into account the qualitative dimensions of employment, such as profession, occupied position, job satisfaction, etc., discriminating based on the simple fact of employment. Previous evidence indeed suggests that higher education degrees are associated with the more advanced wage premium (Rozhkova et al., 2021). However, it was also pointed out that in spite of the historic growth, the returns to higher education in Russia remain significantly below the global average (Melianova et al., 2021). Furthermore, it was acknowledged that supply of human capital produced by the national education system exists fairly independent from the quality of labor market institutes; while the policy measures could ensure the quality of education in the selected higher education institutions, it proved to be challenging to support the demand for its graduates (V. Gimpelson, 2016).</w:t>
      </w:r>
    </w:p>
    <w:p w14:paraId="39F2EE94" w14:textId="77777777" w:rsidR="00A76274" w:rsidRDefault="00000000">
      <w:pPr>
        <w:pStyle w:val="BodyText"/>
      </w:pPr>
      <w:r>
        <w:t>The study also reveals that belonging to richer households helps in finding a job, pointing at the crucial role of initial socio-economic conditions in transitioning from school to work. The effect of SES at the age of 15 or 16 years old is significant for the youth from the top 20% of families by household income per capita, even after controlling for higher education degree. This suggests that this pattern is rather explained by the concept of social capital. Defined as “the aggregate of the actual or potential resources which are linked to possession of a durable network of more or less institutionalized relationships of mutual acquaintance or recognition” (Bourdieu, 2018), this concept, to put simple, refers to personal networks and connections associated with the occupied social status. As such, personal connections and access to networks help younger people from richer families find a job quicker. In other words, the labor market as an institutional system continuously reproduces patterns of inequality and poverty that already persist in society.</w:t>
      </w:r>
    </w:p>
    <w:p w14:paraId="37B77C08" w14:textId="77777777" w:rsidR="00A76274" w:rsidRDefault="00000000">
      <w:pPr>
        <w:pStyle w:val="BodyText"/>
      </w:pPr>
      <w:r>
        <w:t>Out of five non-cognitive characteristics analyzed in this study, two have proven to be effective in facilitating school-to-work transition for young people, namely conscientiousness and extraversion, with conscientiousness having the most consistent and strongest effect across all models. However, the effect of these characteristics is quite heterogeneous, depending on social belonging measured by characteristics such as gender, initial conditions associated with the economic standing at the beginning of the transition, and highest level of education completed.</w:t>
      </w:r>
    </w:p>
    <w:p w14:paraId="151E17B3" w14:textId="77777777" w:rsidR="00A76274" w:rsidRDefault="00000000">
      <w:pPr>
        <w:pStyle w:val="BodyText"/>
      </w:pPr>
      <w:r>
        <w:t>For instance, conscientiousness and extraversion are more beneficial in facilitating employment opportunities for youth from the top 40% of households by income per capita. When it comes to gender, accelerating conscientiousness would increase the gap favoring men, whereas investing in extraversion could contribute to reducing the employment gap for women. This is in line with previous studies that identified a pivotal role of extraversion in female labor force participation and earnings (Wichert &amp; Pohlmeier, 2010), as well as the emergence of women as leaders (Lemoine et al., 2016).</w:t>
      </w:r>
    </w:p>
    <w:p w14:paraId="3E7FEADF" w14:textId="77777777" w:rsidR="00A76274" w:rsidRDefault="00000000">
      <w:pPr>
        <w:pStyle w:val="BodyText"/>
      </w:pPr>
      <w:r>
        <w:t xml:space="preserve">Finally, acknowledging the essential need in including young people without higher education into the workforce, the results emphasize that conscientiousness benefits more youth with higher education degrees, with somewhat reverse pattern identified for extraversion. However, these findings have quite ambiguous implications on the way the </w:t>
      </w:r>
      <w:r>
        <w:lastRenderedPageBreak/>
        <w:t>relationship between education, skills, and employment is perceived, pointing out at fairly limited relationship between higher education and non-cognitive skills generally and shaping labor market outcomes specifically.</w:t>
      </w:r>
    </w:p>
    <w:p w14:paraId="4C62335E" w14:textId="77777777" w:rsidR="00A76274" w:rsidRDefault="00000000">
      <w:pPr>
        <w:pStyle w:val="BodyText"/>
      </w:pPr>
      <w:r>
        <w:t>While the impact of higher education on non-cognitive skill development is not widely addressed in the economic body of work, a few existing studies suggest that schooling at this stage does not make substantial impact on non-cognitive skills. Recognizing that these skills “improve during the college education years”, one of the studies underlines that “the causality relationship from college education to non-cognitive skills disappears to a high extent when the prior levels of non-cognitive skills are controlled for” (Sanginabadi, 2020). Another study comes to similar conclusions suggesting that though there is a positive change in non-cognitive skills during university years, these “effects are likely to operate through exposure to university life rather than through degree-specific curricula or university-specific teaching quality” (Kassenboehmer et al., 2018). In more general sense, the findings of this study imply that the youth with more advanced qualifications do not benefit as much from their non-cognitive skills as their unqualified counterparts, emphasizing the need to address the utilization of human capital and role of tertiary education by policy measures.</w:t>
      </w:r>
    </w:p>
    <w:p w14:paraId="6E598C7D" w14:textId="77777777" w:rsidR="00A76274" w:rsidRDefault="00000000">
      <w:pPr>
        <w:pStyle w:val="Heading2"/>
      </w:pPr>
      <w:bookmarkStart w:id="22" w:name="research-limitations"/>
      <w:bookmarkEnd w:id="21"/>
      <w:r>
        <w:t>Research Limitations</w:t>
      </w:r>
    </w:p>
    <w:p w14:paraId="7C6F9476" w14:textId="77777777" w:rsidR="00A76274" w:rsidRDefault="00000000">
      <w:pPr>
        <w:pStyle w:val="FirstParagraph"/>
      </w:pPr>
      <w:r>
        <w:t>The study has a number of limitations, both due to the data, as well as estimation strategy. First, data missingness and non-response regarding the income-related questions and non-cognitive skills module create substantial challenges for the unbiased estimation, as the smaller set of observations inevitably results in the sample selection bias.</w:t>
      </w:r>
    </w:p>
    <w:p w14:paraId="5F9F7936" w14:textId="77777777" w:rsidR="00A76274" w:rsidRDefault="00000000">
      <w:pPr>
        <w:pStyle w:val="BodyText"/>
      </w:pPr>
      <w:r>
        <w:t>Attrition bias is also important as the study is based on the unbalanced panel. Though the the effect of time-variant characteristics beyond the scope of the analysis, non-random attrition of data also poses implications on the estimation.</w:t>
      </w:r>
    </w:p>
    <w:p w14:paraId="03FA00AF" w14:textId="77777777" w:rsidR="00A76274" w:rsidRDefault="00000000">
      <w:pPr>
        <w:pStyle w:val="BodyText"/>
      </w:pPr>
      <w:r>
        <w:t>Based on longitudinal design, the analysis does not explicitly address time-varying predictors or dynamic effects, except for controlling for the wave/year of the survey through the random intercept term. The further research in this domain could incorporate into the model a number of other time-varying factors that affect both employment outcomes and non-cognitive characteristics.</w:t>
      </w:r>
    </w:p>
    <w:p w14:paraId="28F8FAEA" w14:textId="77777777" w:rsidR="00A76274" w:rsidRDefault="00000000">
      <w:pPr>
        <w:pStyle w:val="Heading2"/>
      </w:pPr>
      <w:bookmarkStart w:id="23" w:name="policy-implications"/>
      <w:bookmarkEnd w:id="22"/>
      <w:r>
        <w:t>Policy Implications</w:t>
      </w:r>
    </w:p>
    <w:p w14:paraId="72BEA577" w14:textId="77777777" w:rsidR="00A76274" w:rsidRDefault="00000000">
      <w:pPr>
        <w:pStyle w:val="FirstParagraph"/>
      </w:pPr>
      <w:r>
        <w:t>The findings of this study have significant implications for policy interventions aimed at supporting Russian youth during the school-to-work transition. A comprehensive approach that integrates non-cognitive skills development into education policy, targets disadvantaged youth, and promotes social capital development can help improve employment outcomes and reduce labor market inequalities at the entry stage.</w:t>
      </w:r>
    </w:p>
    <w:p w14:paraId="16DECADB" w14:textId="77777777" w:rsidR="00A76274" w:rsidRDefault="00000000">
      <w:pPr>
        <w:pStyle w:val="BodyText"/>
      </w:pPr>
      <w:r>
        <w:t xml:space="preserve">Firstly, incorporating training programs that focus on developing conscientiousness, and extraversion into the Russian education system can provide young people with the skills </w:t>
      </w:r>
      <w:r>
        <w:lastRenderedPageBreak/>
        <w:t>necessary to succeed in the labor market. Schools and higher education institutions can serve as a platform for targeted interventions for economically disadvantaged youth, focusing on developing conscientiousness and communication skills that can compensate for the lack of extraversion. As this trait was found to significantly increase the employment chances of young women, gender-sensitive policies that promote extraversion development in this group can facilitate reducing the gender employment gap.</w:t>
      </w:r>
    </w:p>
    <w:p w14:paraId="7C18FA5D" w14:textId="77777777" w:rsidR="00A76274" w:rsidRDefault="00000000">
      <w:pPr>
        <w:pStyle w:val="BodyText"/>
      </w:pPr>
      <w:r>
        <w:t>Higher education institutions also could assume the leading role in promoting social capital development among young people, particularly those from lower-income households. Programs that facilitate networking, internships, and job shadowing can help young people build connections and access job opportunities. These programs should be integrated into study curricula to provide young people with the skills and connections necessary to access job opportunities.</w:t>
      </w:r>
    </w:p>
    <w:p w14:paraId="6549B493" w14:textId="77777777" w:rsidR="00A76274" w:rsidRDefault="00000000">
      <w:pPr>
        <w:pStyle w:val="BodyText"/>
      </w:pPr>
      <w:r>
        <w:t>To encourage employers to invest in non-cognitive skills development, policymakers can offer tax incentives, subsidies, or other forms of support. This can help create a culture of skills development and improve employment outcomes for young people. Moreover, employers who invest in training programs that focus on developing non-cognitive skills among their young employees can benefit from a more qualified and productive workforce, particularly when hiring from disadvantaged youth.</w:t>
      </w:r>
    </w:p>
    <w:p w14:paraId="57A14FBB" w14:textId="77777777" w:rsidR="00A76274" w:rsidRDefault="00000000">
      <w:pPr>
        <w:pStyle w:val="BodyText"/>
      </w:pPr>
      <w:r>
        <w:t>Finally, encouraging public-private partnerships can be especially beneficial in supporting policy initiatives aimed at facilitation of youth employment. By fostering partnerships between government agencies, educational institutions, leading state-owned enterprises, and private sector companies, policymakers can leverage resources, expertise, and funding to implement initiatives aimed at creating inclusive labor market. This collaborative approach can help ensure that policy interventions are effective, sustainable, and responsive to the needs of young people and employers.</w:t>
      </w:r>
    </w:p>
    <w:p w14:paraId="627C9B16" w14:textId="77777777" w:rsidR="00A76274" w:rsidRDefault="00000000">
      <w:pPr>
        <w:pStyle w:val="Heading2"/>
      </w:pPr>
      <w:bookmarkStart w:id="24" w:name="conclusions"/>
      <w:bookmarkEnd w:id="23"/>
      <w:r>
        <w:t>Conclusions</w:t>
      </w:r>
    </w:p>
    <w:p w14:paraId="6156993F" w14:textId="77777777" w:rsidR="00A76274" w:rsidRDefault="00000000">
      <w:pPr>
        <w:pStyle w:val="FirstParagraph"/>
      </w:pPr>
      <w:r>
        <w:t xml:space="preserve">The findings of this study highlight the importance of non-cognitive skills in facilitating employment opportunities among Russian youth. Three of the studied characteristics, namely, conscientiousness and extraversion, were found to be significant predictors of employment, with conscientiousness having consistently the largest effect across models. As the analysis found the gaps in probability of having a job due to gender, socio-economic, and educational dimensions, the study explored if these non-cognitive skills could play the role in reducing the identified gaps. The estimated random slope terms highlighted the pivotal need to develop extraversion in female youth as the means to reduce the gap observed in labor market success that favors young men. Further, development of conscientiousness and extraversion could facilitate inclusion of the youth from economically disadvantaged backgrounds, meaning that potential educational interventions aimed at development of these qualities among this population cohort could create channels of social mobility to elevate the status. However, to broader understand the interplay between education, non-cognitive skills, and employment outcomes of </w:t>
      </w:r>
      <w:r>
        <w:lastRenderedPageBreak/>
        <w:t>youth, future research in this domain should take into account both qualitative (i.e., profession, occupied position, job satisfaction) and quantitative (wages) dimensions of the school-to-work transition.</w:t>
      </w:r>
    </w:p>
    <w:p w14:paraId="5241E233" w14:textId="77777777" w:rsidR="00A76274" w:rsidRDefault="00000000">
      <w:pPr>
        <w:pStyle w:val="Heading2"/>
      </w:pPr>
      <w:bookmarkStart w:id="25" w:name="references"/>
      <w:bookmarkEnd w:id="24"/>
      <w:r>
        <w:t>References</w:t>
      </w:r>
    </w:p>
    <w:p w14:paraId="448F8FF9" w14:textId="77777777" w:rsidR="00A76274" w:rsidRDefault="00000000">
      <w:pPr>
        <w:pStyle w:val="Bibliography"/>
      </w:pPr>
      <w:bookmarkStart w:id="26" w:name="ref-akkermans2021"/>
      <w:bookmarkStart w:id="27" w:name="refs"/>
      <w:r>
        <w:t xml:space="preserve">Akkermans, J., Blokker, R., Buers, C., Heijden, B. V. der, &amp; Vos, A. D. (2021). </w:t>
      </w:r>
      <w:r>
        <w:rPr>
          <w:i/>
          <w:iCs/>
        </w:rPr>
        <w:t>Ready, Set, Go!</w:t>
      </w:r>
      <w:r>
        <w:t xml:space="preserve"> (pp. 77–104). Oxford University PressNew York. </w:t>
      </w:r>
      <w:hyperlink r:id="rId17">
        <w:r>
          <w:rPr>
            <w:rStyle w:val="Hyperlink"/>
          </w:rPr>
          <w:t>https://doi.org/10.1093/oso/9780190941512.003.0004</w:t>
        </w:r>
      </w:hyperlink>
    </w:p>
    <w:p w14:paraId="52932E4E" w14:textId="77777777" w:rsidR="00A76274" w:rsidRDefault="00000000">
      <w:pPr>
        <w:pStyle w:val="Bibliography"/>
      </w:pPr>
      <w:bookmarkStart w:id="28" w:name="ref-allmang2022"/>
      <w:bookmarkEnd w:id="26"/>
      <w:r>
        <w:t xml:space="preserve">Allmang, S., Plummer, J. A., Copeland, V., &amp; Riascos, M. C. (2022). Untangling the Effects of COVID-19 on Youth Employment: Directions for Social Work Research. </w:t>
      </w:r>
      <w:r>
        <w:rPr>
          <w:i/>
          <w:iCs/>
        </w:rPr>
        <w:t>Journal of the Society for Social Work and Research</w:t>
      </w:r>
      <w:r>
        <w:t xml:space="preserve">, </w:t>
      </w:r>
      <w:r>
        <w:rPr>
          <w:i/>
          <w:iCs/>
        </w:rPr>
        <w:t>13</w:t>
      </w:r>
      <w:r>
        <w:t xml:space="preserve">(3), 433–439. </w:t>
      </w:r>
      <w:hyperlink r:id="rId18">
        <w:r>
          <w:rPr>
            <w:rStyle w:val="Hyperlink"/>
          </w:rPr>
          <w:t>https://doi.org/10.1086/720981</w:t>
        </w:r>
      </w:hyperlink>
    </w:p>
    <w:p w14:paraId="736440EC" w14:textId="77777777" w:rsidR="00A76274" w:rsidRDefault="00000000">
      <w:pPr>
        <w:pStyle w:val="Bibliography"/>
      </w:pPr>
      <w:bookmarkStart w:id="29" w:name="ref-almlund2011a"/>
      <w:bookmarkEnd w:id="28"/>
      <w:r>
        <w:t xml:space="preserve">Almlund, M., Duckworth, A. L., Heckman, J., &amp; Kautz, T. (2011a). </w:t>
      </w:r>
      <w:r>
        <w:rPr>
          <w:i/>
          <w:iCs/>
        </w:rPr>
        <w:t>Personality Psychology and Economics</w:t>
      </w:r>
      <w:r>
        <w:t xml:space="preserve"> (pp. 1–181). Elsevier. </w:t>
      </w:r>
      <w:hyperlink r:id="rId19">
        <w:r>
          <w:rPr>
            <w:rStyle w:val="Hyperlink"/>
          </w:rPr>
          <w:t>https://doi.org/10.1016/b978-0-444-53444-6.00001-8</w:t>
        </w:r>
      </w:hyperlink>
    </w:p>
    <w:p w14:paraId="681B8EB9" w14:textId="77777777" w:rsidR="00A76274" w:rsidRDefault="00000000">
      <w:pPr>
        <w:pStyle w:val="Bibliography"/>
      </w:pPr>
      <w:bookmarkStart w:id="30" w:name="ref-almlund2011"/>
      <w:bookmarkEnd w:id="29"/>
      <w:r>
        <w:t xml:space="preserve">Almlund, M., Duckworth, A. L., Heckman, J., &amp; Kautz, T. (2011b). </w:t>
      </w:r>
      <w:r>
        <w:rPr>
          <w:i/>
          <w:iCs/>
        </w:rPr>
        <w:t>Personality Psychology and Economics</w:t>
      </w:r>
      <w:r>
        <w:t xml:space="preserve"> (pp. 1–181). Elsevier. </w:t>
      </w:r>
      <w:hyperlink r:id="rId20">
        <w:r>
          <w:rPr>
            <w:rStyle w:val="Hyperlink"/>
          </w:rPr>
          <w:t>https://doi.org/10.1016/b978-0-444-53444-6.00001-8</w:t>
        </w:r>
      </w:hyperlink>
    </w:p>
    <w:p w14:paraId="043F4C1E" w14:textId="77777777" w:rsidR="00A76274" w:rsidRDefault="00000000">
      <w:pPr>
        <w:pStyle w:val="Bibliography"/>
      </w:pPr>
      <w:bookmarkStart w:id="31" w:name="ref-avanesian2024"/>
      <w:bookmarkEnd w:id="30"/>
      <w:r>
        <w:t xml:space="preserve">Avanesian, G., Borovskaya, M., Masych, M., Dikaya, L., Ryzhova, V., &amp; Egorova, V. (2024). How Far Are NEET Youth Falling Behind in Their Non-Cognitive Skills? An Econometric Analysis of Disparities. </w:t>
      </w:r>
      <w:r>
        <w:rPr>
          <w:i/>
          <w:iCs/>
        </w:rPr>
        <w:t>Economies</w:t>
      </w:r>
      <w:r>
        <w:t xml:space="preserve">, </w:t>
      </w:r>
      <w:r>
        <w:rPr>
          <w:i/>
          <w:iCs/>
        </w:rPr>
        <w:t>12</w:t>
      </w:r>
      <w:r>
        <w:t xml:space="preserve">(1), 25. </w:t>
      </w:r>
      <w:hyperlink r:id="rId21">
        <w:r>
          <w:rPr>
            <w:rStyle w:val="Hyperlink"/>
          </w:rPr>
          <w:t>https://doi.org/10.3390/economies12010025</w:t>
        </w:r>
      </w:hyperlink>
    </w:p>
    <w:p w14:paraId="0B57C683" w14:textId="77777777" w:rsidR="00A76274" w:rsidRDefault="00000000">
      <w:pPr>
        <w:pStyle w:val="Bibliography"/>
      </w:pPr>
      <w:bookmarkStart w:id="32" w:name="ref-baay2014"/>
      <w:bookmarkEnd w:id="31"/>
      <w:r>
        <w:t xml:space="preserve">Baay, P. E., Aken, M. A. G. van, Ridder, D. T. D. de, &amp; Lippe, T. van der. (2014). Understanding the role of social capital in adolescents’ Big Five personality effects on school-to-work transitions. </w:t>
      </w:r>
      <w:r>
        <w:rPr>
          <w:i/>
          <w:iCs/>
        </w:rPr>
        <w:t>Journal of Adolescence</w:t>
      </w:r>
      <w:r>
        <w:t xml:space="preserve">, </w:t>
      </w:r>
      <w:r>
        <w:rPr>
          <w:i/>
          <w:iCs/>
        </w:rPr>
        <w:t>37</w:t>
      </w:r>
      <w:r>
        <w:t xml:space="preserve">(5), 739–748. </w:t>
      </w:r>
      <w:hyperlink r:id="rId22">
        <w:r>
          <w:rPr>
            <w:rStyle w:val="Hyperlink"/>
          </w:rPr>
          <w:t>https://doi.org/10.1016/j.adolescence.2014.04.015</w:t>
        </w:r>
      </w:hyperlink>
    </w:p>
    <w:p w14:paraId="41673820" w14:textId="77777777" w:rsidR="00A76274" w:rsidRDefault="00000000">
      <w:pPr>
        <w:pStyle w:val="Bibliography"/>
      </w:pPr>
      <w:bookmarkStart w:id="33" w:name="ref-baert2013"/>
      <w:bookmarkEnd w:id="32"/>
      <w:r>
        <w:t xml:space="preserve">Baert, S., Cockx, B., &amp; Verhaest, D. (2013). Overeducation at the start of the career: Stepping stone or trap? </w:t>
      </w:r>
      <w:r>
        <w:rPr>
          <w:i/>
          <w:iCs/>
        </w:rPr>
        <w:t>Labour Economics</w:t>
      </w:r>
      <w:r>
        <w:t xml:space="preserve">, </w:t>
      </w:r>
      <w:r>
        <w:rPr>
          <w:i/>
          <w:iCs/>
        </w:rPr>
        <w:t>25</w:t>
      </w:r>
      <w:r>
        <w:t xml:space="preserve">, 123–140. </w:t>
      </w:r>
      <w:hyperlink r:id="rId23">
        <w:r>
          <w:rPr>
            <w:rStyle w:val="Hyperlink"/>
          </w:rPr>
          <w:t>https://doi.org/10.1016/j.labeco.2013.04.013</w:t>
        </w:r>
      </w:hyperlink>
    </w:p>
    <w:p w14:paraId="2FE107BB" w14:textId="77777777" w:rsidR="00A76274" w:rsidRDefault="00000000">
      <w:pPr>
        <w:pStyle w:val="Bibliography"/>
      </w:pPr>
      <w:bookmarkStart w:id="34" w:name="ref-self-eff1995"/>
      <w:bookmarkEnd w:id="33"/>
      <w:r>
        <w:t xml:space="preserve">Bandura, A. (Ed.). (1995). </w:t>
      </w:r>
      <w:r>
        <w:rPr>
          <w:i/>
          <w:iCs/>
        </w:rPr>
        <w:t>Self-efficacy in changing societies</w:t>
      </w:r>
      <w:r>
        <w:t xml:space="preserve">. Cambridge University Press. </w:t>
      </w:r>
      <w:hyperlink r:id="rId24">
        <w:r>
          <w:rPr>
            <w:rStyle w:val="Hyperlink"/>
          </w:rPr>
          <w:t>https://doi.org/10.1017/cbo9780511527692</w:t>
        </w:r>
      </w:hyperlink>
    </w:p>
    <w:p w14:paraId="66F25E2F" w14:textId="77777777" w:rsidR="00A76274" w:rsidRDefault="00000000">
      <w:pPr>
        <w:pStyle w:val="Bibliography"/>
      </w:pPr>
      <w:bookmarkStart w:id="35" w:name="ref-bates2015"/>
      <w:bookmarkEnd w:id="34"/>
      <w:r>
        <w:t xml:space="preserve">Bates, D., Machler, M., Bolker, B., &amp; Walker, S. (2015). Fitting Linear Mixed-Effects Models Using lme4. </w:t>
      </w:r>
      <w:r>
        <w:rPr>
          <w:i/>
          <w:iCs/>
        </w:rPr>
        <w:t>Journal of Statistical Software</w:t>
      </w:r>
      <w:r>
        <w:t xml:space="preserve">, </w:t>
      </w:r>
      <w:r>
        <w:rPr>
          <w:i/>
          <w:iCs/>
        </w:rPr>
        <w:t>67</w:t>
      </w:r>
      <w:r>
        <w:t xml:space="preserve">(1). </w:t>
      </w:r>
      <w:hyperlink r:id="rId25">
        <w:r>
          <w:rPr>
            <w:rStyle w:val="Hyperlink"/>
          </w:rPr>
          <w:t>https://doi.org/10.18637/jss.v067.i01</w:t>
        </w:r>
      </w:hyperlink>
    </w:p>
    <w:p w14:paraId="7B141553" w14:textId="77777777" w:rsidR="00A76274" w:rsidRDefault="00000000">
      <w:pPr>
        <w:pStyle w:val="Bibliography"/>
      </w:pPr>
      <w:bookmarkStart w:id="36" w:name="ref-blokker2023"/>
      <w:bookmarkEnd w:id="35"/>
      <w:r>
        <w:t xml:space="preserve">Blokker, R., Akkermans, J., Marciniak, J., Jansen, P. G. W., &amp; Khapova, S. N. (2023). Organizing School-to-Work Transition Research from a Sustainable Career Perspective: A Review and Research Agenda. </w:t>
      </w:r>
      <w:r>
        <w:rPr>
          <w:i/>
          <w:iCs/>
        </w:rPr>
        <w:t>Work, Aging and Retirement</w:t>
      </w:r>
      <w:r>
        <w:t xml:space="preserve">, </w:t>
      </w:r>
      <w:r>
        <w:rPr>
          <w:i/>
          <w:iCs/>
        </w:rPr>
        <w:t>9</w:t>
      </w:r>
      <w:r>
        <w:t xml:space="preserve">(3), 239–261. </w:t>
      </w:r>
      <w:hyperlink r:id="rId26">
        <w:r>
          <w:rPr>
            <w:rStyle w:val="Hyperlink"/>
          </w:rPr>
          <w:t>https://doi.org/10.1093/workar/waad012</w:t>
        </w:r>
      </w:hyperlink>
    </w:p>
    <w:p w14:paraId="4C8312B4" w14:textId="77777777" w:rsidR="00A76274" w:rsidRDefault="00000000">
      <w:pPr>
        <w:pStyle w:val="Bibliography"/>
      </w:pPr>
      <w:bookmarkStart w:id="37" w:name="ref-bourdieu2018"/>
      <w:bookmarkEnd w:id="36"/>
      <w:r>
        <w:lastRenderedPageBreak/>
        <w:t xml:space="preserve">Bourdieu, P. (2018). </w:t>
      </w:r>
      <w:r>
        <w:rPr>
          <w:i/>
          <w:iCs/>
        </w:rPr>
        <w:t>The Forms of Capital</w:t>
      </w:r>
      <w:r>
        <w:t xml:space="preserve"> (pp. 78–92). Routledge. </w:t>
      </w:r>
      <w:hyperlink r:id="rId27">
        <w:r>
          <w:rPr>
            <w:rStyle w:val="Hyperlink"/>
          </w:rPr>
          <w:t>https://doi.org/10.4324/9780429494338-6</w:t>
        </w:r>
      </w:hyperlink>
    </w:p>
    <w:p w14:paraId="5B715F7A" w14:textId="77777777" w:rsidR="00A76274" w:rsidRDefault="00000000">
      <w:pPr>
        <w:pStyle w:val="Bibliography"/>
      </w:pPr>
      <w:bookmarkStart w:id="38" w:name="ref-buhl2007"/>
      <w:bookmarkEnd w:id="37"/>
      <w:r>
        <w:t xml:space="preserve">Buhl, H. M. (2007). Well-Being and the ChildParent Relationship at the Transition From University to Work Life. </w:t>
      </w:r>
      <w:r>
        <w:rPr>
          <w:i/>
          <w:iCs/>
        </w:rPr>
        <w:t>Journal of Adolescent Research</w:t>
      </w:r>
      <w:r>
        <w:t xml:space="preserve">, </w:t>
      </w:r>
      <w:r>
        <w:rPr>
          <w:i/>
          <w:iCs/>
        </w:rPr>
        <w:t>22</w:t>
      </w:r>
      <w:r>
        <w:t xml:space="preserve">(5), 550–571. </w:t>
      </w:r>
      <w:hyperlink r:id="rId28">
        <w:r>
          <w:rPr>
            <w:rStyle w:val="Hyperlink"/>
          </w:rPr>
          <w:t>https://doi.org/10.1177/0743558407305415</w:t>
        </w:r>
      </w:hyperlink>
    </w:p>
    <w:p w14:paraId="2768AE3A" w14:textId="77777777" w:rsidR="00A76274" w:rsidRDefault="00000000">
      <w:pPr>
        <w:pStyle w:val="Bibliography"/>
      </w:pPr>
      <w:bookmarkStart w:id="39" w:name="ref-chesters2020"/>
      <w:bookmarkEnd w:id="38"/>
      <w:r>
        <w:t xml:space="preserve">Chesters, J. (2020). Preparing for Successful Transitions between Education and Employment in the Twenty-First Century. </w:t>
      </w:r>
      <w:r>
        <w:rPr>
          <w:i/>
          <w:iCs/>
        </w:rPr>
        <w:t>Journal of Applied Youth Studies</w:t>
      </w:r>
      <w:r>
        <w:t xml:space="preserve">, </w:t>
      </w:r>
      <w:r>
        <w:rPr>
          <w:i/>
          <w:iCs/>
        </w:rPr>
        <w:t>3</w:t>
      </w:r>
      <w:r>
        <w:t xml:space="preserve">(2), 133–151. </w:t>
      </w:r>
      <w:hyperlink r:id="rId29">
        <w:r>
          <w:rPr>
            <w:rStyle w:val="Hyperlink"/>
          </w:rPr>
          <w:t>https://doi.org/10.1007/s43151-020-00002-8</w:t>
        </w:r>
      </w:hyperlink>
    </w:p>
    <w:p w14:paraId="75F0B7EA" w14:textId="77777777" w:rsidR="00A76274" w:rsidRDefault="00000000">
      <w:pPr>
        <w:pStyle w:val="Bibliography"/>
      </w:pPr>
      <w:bookmarkStart w:id="40" w:name="ref-emirza2021"/>
      <w:bookmarkEnd w:id="39"/>
      <w:r>
        <w:t xml:space="preserve">Emirza, S., Öztürk, E. B., &amp; Şengönül, A. S. (2021). The quality of international mobility experiences, general self-efficacy and job search self-efficacy: A time-lagged investigation. </w:t>
      </w:r>
      <w:r>
        <w:rPr>
          <w:i/>
          <w:iCs/>
        </w:rPr>
        <w:t>Current Psychology</w:t>
      </w:r>
      <w:r>
        <w:t xml:space="preserve">, </w:t>
      </w:r>
      <w:r>
        <w:rPr>
          <w:i/>
          <w:iCs/>
        </w:rPr>
        <w:t>40</w:t>
      </w:r>
      <w:r>
        <w:t xml:space="preserve">(4), 1580–1591. </w:t>
      </w:r>
      <w:hyperlink r:id="rId30">
        <w:r>
          <w:rPr>
            <w:rStyle w:val="Hyperlink"/>
          </w:rPr>
          <w:t>https://doi.org/10.1007/s12144-021-01394-3</w:t>
        </w:r>
      </w:hyperlink>
    </w:p>
    <w:p w14:paraId="2ECC8BD6" w14:textId="77777777" w:rsidR="00A76274" w:rsidRDefault="00000000">
      <w:pPr>
        <w:pStyle w:val="Bibliography"/>
      </w:pPr>
      <w:bookmarkStart w:id="41" w:name="ref-ferguson2011"/>
      <w:bookmarkEnd w:id="40"/>
      <w:r>
        <w:t xml:space="preserve">Ferguson, E., Heckman, J. J., &amp; Corr, P. (2011). Personality and economics: Overview and proposed framework. </w:t>
      </w:r>
      <w:r>
        <w:rPr>
          <w:i/>
          <w:iCs/>
        </w:rPr>
        <w:t>Personality and Individual Differences</w:t>
      </w:r>
      <w:r>
        <w:t xml:space="preserve">, </w:t>
      </w:r>
      <w:r>
        <w:rPr>
          <w:i/>
          <w:iCs/>
        </w:rPr>
        <w:t>51</w:t>
      </w:r>
      <w:r>
        <w:t xml:space="preserve">(3), 201–209. </w:t>
      </w:r>
      <w:hyperlink r:id="rId31">
        <w:r>
          <w:rPr>
            <w:rStyle w:val="Hyperlink"/>
          </w:rPr>
          <w:t>https://doi.org/10.1016/j.paid.2011.03.030</w:t>
        </w:r>
      </w:hyperlink>
    </w:p>
    <w:p w14:paraId="781D65EF" w14:textId="77777777" w:rsidR="00A76274" w:rsidRDefault="00000000">
      <w:pPr>
        <w:pStyle w:val="Bibliography"/>
      </w:pPr>
      <w:bookmarkStart w:id="42" w:name="ref-gelman2006"/>
      <w:bookmarkEnd w:id="41"/>
      <w:r>
        <w:t xml:space="preserve">Gelman, A., &amp; Hill, J. (2006). </w:t>
      </w:r>
      <w:r>
        <w:rPr>
          <w:i/>
          <w:iCs/>
        </w:rPr>
        <w:t>Data analysis using regression and multilevel/hierarchical models</w:t>
      </w:r>
      <w:r>
        <w:t xml:space="preserve">. </w:t>
      </w:r>
      <w:hyperlink r:id="rId32">
        <w:r>
          <w:rPr>
            <w:rStyle w:val="Hyperlink"/>
          </w:rPr>
          <w:t>https://doi.org/10.1017/cbo9780511790942</w:t>
        </w:r>
      </w:hyperlink>
    </w:p>
    <w:p w14:paraId="1ADC6FD2" w14:textId="77777777" w:rsidR="00A76274" w:rsidRDefault="00000000">
      <w:pPr>
        <w:pStyle w:val="Bibliography"/>
      </w:pPr>
      <w:bookmarkStart w:id="43" w:name="ref-gimpelson2016"/>
      <w:bookmarkEnd w:id="42"/>
      <w:r>
        <w:t xml:space="preserve">Gimpelson, V. (2016). Does the russian economy need human capital? Ten doubt. </w:t>
      </w:r>
      <w:r>
        <w:rPr>
          <w:i/>
          <w:iCs/>
        </w:rPr>
        <w:t>Voprosy Ekonomiki</w:t>
      </w:r>
      <w:r>
        <w:t xml:space="preserve">, </w:t>
      </w:r>
      <w:r>
        <w:rPr>
          <w:i/>
          <w:iCs/>
        </w:rPr>
        <w:t>10</w:t>
      </w:r>
      <w:r>
        <w:t xml:space="preserve">, 129–143. </w:t>
      </w:r>
      <w:hyperlink r:id="rId33">
        <w:r>
          <w:rPr>
            <w:rStyle w:val="Hyperlink"/>
          </w:rPr>
          <w:t>https://doi.org/10.32609/0042-8736-2016-10-129-143</w:t>
        </w:r>
      </w:hyperlink>
    </w:p>
    <w:p w14:paraId="15BA97A5" w14:textId="77777777" w:rsidR="00A76274" w:rsidRDefault="00000000">
      <w:pPr>
        <w:pStyle w:val="Bibliography"/>
      </w:pPr>
      <w:bookmarkStart w:id="44" w:name="ref-gimpelson2020"/>
      <w:bookmarkEnd w:id="43"/>
      <w:r>
        <w:t xml:space="preserve">Gimpelson, V. E., Zudina, A. A., &amp; Kapeliushnikov, R. I. (2020). Non-cognitive components of human capital: Evidence from russian data. </w:t>
      </w:r>
      <w:r>
        <w:rPr>
          <w:i/>
          <w:iCs/>
        </w:rPr>
        <w:t>Voprosy Ekonomiki</w:t>
      </w:r>
      <w:r>
        <w:t xml:space="preserve">, </w:t>
      </w:r>
      <w:r>
        <w:rPr>
          <w:i/>
          <w:iCs/>
        </w:rPr>
        <w:t>11</w:t>
      </w:r>
      <w:r>
        <w:t xml:space="preserve">, 5–31. </w:t>
      </w:r>
      <w:hyperlink r:id="rId34">
        <w:r>
          <w:rPr>
            <w:rStyle w:val="Hyperlink"/>
          </w:rPr>
          <w:t>https://doi.org/10.32609/0042-8736-2020-11-5-31</w:t>
        </w:r>
      </w:hyperlink>
    </w:p>
    <w:p w14:paraId="32584BF1" w14:textId="77777777" w:rsidR="00A76274" w:rsidRDefault="00000000">
      <w:pPr>
        <w:pStyle w:val="Bibliography"/>
      </w:pPr>
      <w:bookmarkStart w:id="45" w:name="ref-glewwe2017"/>
      <w:bookmarkEnd w:id="44"/>
      <w:r>
        <w:t xml:space="preserve">Glewwe, P., Huang, Q., &amp; Park, A. (2017). Cognitive skills, noncognitive skills, and school-to-work transitions in rural China. </w:t>
      </w:r>
      <w:r>
        <w:rPr>
          <w:i/>
          <w:iCs/>
        </w:rPr>
        <w:t>Journal of Economic Behavior &amp; Organization</w:t>
      </w:r>
      <w:r>
        <w:t xml:space="preserve">, </w:t>
      </w:r>
      <w:r>
        <w:rPr>
          <w:i/>
          <w:iCs/>
        </w:rPr>
        <w:t>134</w:t>
      </w:r>
      <w:r>
        <w:t xml:space="preserve">, 141–164. </w:t>
      </w:r>
      <w:hyperlink r:id="rId35">
        <w:r>
          <w:rPr>
            <w:rStyle w:val="Hyperlink"/>
          </w:rPr>
          <w:t>https://doi.org/10.1016/j.jebo.2016.12.009</w:t>
        </w:r>
      </w:hyperlink>
    </w:p>
    <w:p w14:paraId="00661C78" w14:textId="77777777" w:rsidR="00A76274" w:rsidRDefault="00000000">
      <w:pPr>
        <w:pStyle w:val="Bibliography"/>
      </w:pPr>
      <w:bookmarkStart w:id="46" w:name="ref-goldberg1990"/>
      <w:bookmarkEnd w:id="45"/>
      <w:r>
        <w:t xml:space="preserve">Goldberg, L. R. (1990). An alternative "description of personality": The Big-Five factor structure. </w:t>
      </w:r>
      <w:r>
        <w:rPr>
          <w:i/>
          <w:iCs/>
        </w:rPr>
        <w:t>Journal of Personality and Social Psychology</w:t>
      </w:r>
      <w:r>
        <w:t xml:space="preserve">, </w:t>
      </w:r>
      <w:r>
        <w:rPr>
          <w:i/>
          <w:iCs/>
        </w:rPr>
        <w:t>59</w:t>
      </w:r>
      <w:r>
        <w:t xml:space="preserve">(6), 1216–1229. </w:t>
      </w:r>
      <w:hyperlink r:id="rId36">
        <w:r>
          <w:rPr>
            <w:rStyle w:val="Hyperlink"/>
          </w:rPr>
          <w:t>https://doi.org/10.1037/0022-3514.59.6.1216</w:t>
        </w:r>
      </w:hyperlink>
    </w:p>
    <w:p w14:paraId="685ED8BF" w14:textId="77777777" w:rsidR="00A76274" w:rsidRDefault="00000000">
      <w:pPr>
        <w:pStyle w:val="Bibliography"/>
      </w:pPr>
      <w:bookmarkStart w:id="47" w:name="ref-grosemans2018"/>
      <w:bookmarkEnd w:id="46"/>
      <w:r>
        <w:t xml:space="preserve">Grosemans, I., Coertjens, L., &amp; Kyndt, E. (2018). Work-related learning in the transition from higher education to work: The role of the development of self-efficacy and achievement goals. </w:t>
      </w:r>
      <w:r>
        <w:rPr>
          <w:i/>
          <w:iCs/>
        </w:rPr>
        <w:t>British Journal of Educational Psychology</w:t>
      </w:r>
      <w:r>
        <w:t xml:space="preserve">, </w:t>
      </w:r>
      <w:r>
        <w:rPr>
          <w:i/>
          <w:iCs/>
        </w:rPr>
        <w:t>90</w:t>
      </w:r>
      <w:r>
        <w:t xml:space="preserve">(1), 19–42. </w:t>
      </w:r>
      <w:hyperlink r:id="rId37">
        <w:r>
          <w:rPr>
            <w:rStyle w:val="Hyperlink"/>
          </w:rPr>
          <w:t>https://doi.org/10.1111/bjep.12258</w:t>
        </w:r>
      </w:hyperlink>
    </w:p>
    <w:p w14:paraId="19ADF739" w14:textId="77777777" w:rsidR="00A76274" w:rsidRDefault="00000000">
      <w:pPr>
        <w:pStyle w:val="Bibliography"/>
      </w:pPr>
      <w:bookmarkStart w:id="48" w:name="ref-ilo2021"/>
      <w:bookmarkEnd w:id="47"/>
      <w:r>
        <w:t xml:space="preserve">ILO. (2021). </w:t>
      </w:r>
      <w:r>
        <w:rPr>
          <w:i/>
          <w:iCs/>
        </w:rPr>
        <w:t>An update on the youth labour market impact of the COVID-19 crisis</w:t>
      </w:r>
      <w:r>
        <w:t xml:space="preserve"> (Technical Report 1). ILO. </w:t>
      </w:r>
      <w:hyperlink r:id="rId38">
        <w:r>
          <w:rPr>
            <w:rStyle w:val="Hyperlink"/>
          </w:rPr>
          <w:t>https://www.ilo.org/resource/brief/update-youth-labour-market-impact-covid-19-crisis</w:t>
        </w:r>
      </w:hyperlink>
    </w:p>
    <w:p w14:paraId="41F213C8" w14:textId="77777777" w:rsidR="00A76274" w:rsidRDefault="00000000">
      <w:pPr>
        <w:pStyle w:val="Bibliography"/>
      </w:pPr>
      <w:bookmarkStart w:id="49" w:name="ref-ilo2020youth"/>
      <w:bookmarkEnd w:id="48"/>
      <w:r>
        <w:t xml:space="preserve">International Labour Organization (ILO). (2020). </w:t>
      </w:r>
      <w:r>
        <w:rPr>
          <w:i/>
          <w:iCs/>
        </w:rPr>
        <w:t>Youth and COVID-19: Impacts on jobs, education, rights, and mental well-being</w:t>
      </w:r>
      <w:r>
        <w:t xml:space="preserve"> [Technical Report]. ILO. </w:t>
      </w:r>
      <w:hyperlink r:id="rId39">
        <w:r>
          <w:rPr>
            <w:rStyle w:val="Hyperlink"/>
          </w:rPr>
          <w:t>https://www.ilo.org/publications/youth-covid-19-impacts-jobs-education-rights-and-mental-well-being</w:t>
        </w:r>
      </w:hyperlink>
    </w:p>
    <w:p w14:paraId="7EEDC3D5" w14:textId="77777777" w:rsidR="00A76274" w:rsidRDefault="00000000">
      <w:pPr>
        <w:pStyle w:val="Bibliography"/>
      </w:pPr>
      <w:bookmarkStart w:id="50" w:name="ref-judge1999"/>
      <w:bookmarkEnd w:id="49"/>
      <w:r>
        <w:t xml:space="preserve">Judge, T. A., Higgins, C. A., Thoresen, C. J., &amp; Barrick, M. R. (1999). THE BIG FIVE PERSONALITY TRAITS, GENERAL MENTAL ABILITY, AND CAREER SUCCESS ACROSS THE LIFE SPAN. </w:t>
      </w:r>
      <w:r>
        <w:rPr>
          <w:i/>
          <w:iCs/>
        </w:rPr>
        <w:t>Personnel Psychology</w:t>
      </w:r>
      <w:r>
        <w:t xml:space="preserve">, </w:t>
      </w:r>
      <w:r>
        <w:rPr>
          <w:i/>
          <w:iCs/>
        </w:rPr>
        <w:t>52</w:t>
      </w:r>
      <w:r>
        <w:t xml:space="preserve">(3), 621–652. </w:t>
      </w:r>
      <w:hyperlink r:id="rId40">
        <w:r>
          <w:rPr>
            <w:rStyle w:val="Hyperlink"/>
          </w:rPr>
          <w:t>https://doi.org/10.1111/j.1744-6570.1999.tb00174.x</w:t>
        </w:r>
      </w:hyperlink>
    </w:p>
    <w:p w14:paraId="027EBCF7" w14:textId="77777777" w:rsidR="00A76274" w:rsidRDefault="00000000">
      <w:pPr>
        <w:pStyle w:val="Bibliography"/>
      </w:pPr>
      <w:bookmarkStart w:id="51" w:name="ref-kassenboehmer2018"/>
      <w:bookmarkEnd w:id="50"/>
      <w:r>
        <w:t xml:space="preserve">Kassenboehmer, S. C., Leung, F., &amp; Schurer, S. (2018). University education and non-cognitive skill development. </w:t>
      </w:r>
      <w:r>
        <w:rPr>
          <w:i/>
          <w:iCs/>
        </w:rPr>
        <w:t>Oxford Economic Papers</w:t>
      </w:r>
      <w:r>
        <w:t xml:space="preserve">, </w:t>
      </w:r>
      <w:r>
        <w:rPr>
          <w:i/>
          <w:iCs/>
        </w:rPr>
        <w:t>70</w:t>
      </w:r>
      <w:r>
        <w:t xml:space="preserve">(2), 538–562. </w:t>
      </w:r>
      <w:hyperlink r:id="rId41">
        <w:r>
          <w:rPr>
            <w:rStyle w:val="Hyperlink"/>
          </w:rPr>
          <w:t>https://doi.org/10.1093/oep/gpy002</w:t>
        </w:r>
      </w:hyperlink>
    </w:p>
    <w:p w14:paraId="53240980" w14:textId="77777777" w:rsidR="00A76274" w:rsidRDefault="00000000">
      <w:pPr>
        <w:pStyle w:val="Bibliography"/>
      </w:pPr>
      <w:bookmarkStart w:id="52" w:name="ref-kelly2015"/>
      <w:bookmarkEnd w:id="51"/>
      <w:r>
        <w:t xml:space="preserve">Kelly, E., &amp; McGuinness, S. (2015). Impact of the Great Recession on unemployed and NEET individuals’ labour market transitions in Ireland. </w:t>
      </w:r>
      <w:r>
        <w:rPr>
          <w:i/>
          <w:iCs/>
        </w:rPr>
        <w:t>Economic Systems</w:t>
      </w:r>
      <w:r>
        <w:t xml:space="preserve">, </w:t>
      </w:r>
      <w:r>
        <w:rPr>
          <w:i/>
          <w:iCs/>
        </w:rPr>
        <w:t>39</w:t>
      </w:r>
      <w:r>
        <w:t xml:space="preserve">(1), 59–71. </w:t>
      </w:r>
      <w:hyperlink r:id="rId42">
        <w:r>
          <w:rPr>
            <w:rStyle w:val="Hyperlink"/>
          </w:rPr>
          <w:t>https://doi.org/10.1016/j.ecosys.2014.06.004</w:t>
        </w:r>
      </w:hyperlink>
    </w:p>
    <w:p w14:paraId="288D4F11" w14:textId="77777777" w:rsidR="00A76274" w:rsidRDefault="00000000">
      <w:pPr>
        <w:pStyle w:val="Bibliography"/>
      </w:pPr>
      <w:bookmarkStart w:id="53" w:name="ref-lmerTest"/>
      <w:bookmarkEnd w:id="52"/>
      <w:r>
        <w:t xml:space="preserve">Kuznetsova, A., Brockhoff, P. B., &amp; Christensen, R. H. B. (2017). lmerTest package: Tests in linear mixed effects models. </w:t>
      </w:r>
      <w:r>
        <w:rPr>
          <w:i/>
          <w:iCs/>
        </w:rPr>
        <w:t>Journal of Statistical Software</w:t>
      </w:r>
      <w:r>
        <w:t xml:space="preserve">, </w:t>
      </w:r>
      <w:r>
        <w:rPr>
          <w:i/>
          <w:iCs/>
        </w:rPr>
        <w:t>82</w:t>
      </w:r>
      <w:r>
        <w:t xml:space="preserve">. </w:t>
      </w:r>
      <w:hyperlink r:id="rId43">
        <w:r>
          <w:rPr>
            <w:rStyle w:val="Hyperlink"/>
          </w:rPr>
          <w:t>https://doi.org/10.18637/jss.v082.i13</w:t>
        </w:r>
      </w:hyperlink>
    </w:p>
    <w:p w14:paraId="501F084E" w14:textId="77777777" w:rsidR="00A76274" w:rsidRDefault="00000000">
      <w:pPr>
        <w:pStyle w:val="Bibliography"/>
      </w:pPr>
      <w:bookmarkStart w:id="54" w:name="ref-lemoine2016"/>
      <w:bookmarkEnd w:id="53"/>
      <w:r>
        <w:t xml:space="preserve">Lemoine, G. J., Aggarwal, I., &amp; Steed, L. B. (2016). When women emerge as leaders: Effects of extraversion and gender composition in groups. </w:t>
      </w:r>
      <w:r>
        <w:rPr>
          <w:i/>
          <w:iCs/>
        </w:rPr>
        <w:t>The Leadership Quarterly</w:t>
      </w:r>
      <w:r>
        <w:t xml:space="preserve">, </w:t>
      </w:r>
      <w:r>
        <w:rPr>
          <w:i/>
          <w:iCs/>
        </w:rPr>
        <w:t>27</w:t>
      </w:r>
      <w:r>
        <w:t xml:space="preserve">(3), 470–486. </w:t>
      </w:r>
      <w:hyperlink r:id="rId44">
        <w:r>
          <w:rPr>
            <w:rStyle w:val="Hyperlink"/>
          </w:rPr>
          <w:t>https://doi.org/10.1016/j.leaqua.2015.12.008</w:t>
        </w:r>
      </w:hyperlink>
    </w:p>
    <w:p w14:paraId="518E7CF7" w14:textId="77777777" w:rsidR="00A76274" w:rsidRDefault="00000000">
      <w:pPr>
        <w:pStyle w:val="Bibliography"/>
      </w:pPr>
      <w:bookmarkStart w:id="55" w:name="ref-lent1999"/>
      <w:bookmarkEnd w:id="54"/>
      <w:r>
        <w:t xml:space="preserve">Lent, R. W., Hackett, G., &amp; Brown, S. D. (1999). A Social Cognitive View of School-to-Work Transition. </w:t>
      </w:r>
      <w:r>
        <w:rPr>
          <w:i/>
          <w:iCs/>
        </w:rPr>
        <w:t>The Career Development Quarterly</w:t>
      </w:r>
      <w:r>
        <w:t xml:space="preserve">, </w:t>
      </w:r>
      <w:r>
        <w:rPr>
          <w:i/>
          <w:iCs/>
        </w:rPr>
        <w:t>47</w:t>
      </w:r>
      <w:r>
        <w:t xml:space="preserve">(4), 297–311. </w:t>
      </w:r>
      <w:hyperlink r:id="rId45">
        <w:r>
          <w:rPr>
            <w:rStyle w:val="Hyperlink"/>
          </w:rPr>
          <w:t>https://doi.org/10.1002/j.2161-0045.1999.tb00739.x</w:t>
        </w:r>
      </w:hyperlink>
    </w:p>
    <w:p w14:paraId="625CE765" w14:textId="77777777" w:rsidR="00A76274" w:rsidRDefault="00000000">
      <w:pPr>
        <w:pStyle w:val="Bibliography"/>
      </w:pPr>
      <w:bookmarkStart w:id="56" w:name="ref-lerman2013"/>
      <w:bookmarkEnd w:id="55"/>
      <w:r>
        <w:t xml:space="preserve">Lerman, R. I. (2013). Are employability skills learned in U.S. youth education and training programs? </w:t>
      </w:r>
      <w:r>
        <w:rPr>
          <w:i/>
          <w:iCs/>
        </w:rPr>
        <w:t>IZA Journal of Labor Policy</w:t>
      </w:r>
      <w:r>
        <w:t xml:space="preserve">, </w:t>
      </w:r>
      <w:r>
        <w:rPr>
          <w:i/>
          <w:iCs/>
        </w:rPr>
        <w:t>2</w:t>
      </w:r>
      <w:r>
        <w:t xml:space="preserve">(1). </w:t>
      </w:r>
      <w:hyperlink r:id="rId46">
        <w:r>
          <w:rPr>
            <w:rStyle w:val="Hyperlink"/>
          </w:rPr>
          <w:t>https://doi.org/10.1186/2193-9004-2-6</w:t>
        </w:r>
      </w:hyperlink>
    </w:p>
    <w:p w14:paraId="2125FB77" w14:textId="77777777" w:rsidR="00A76274" w:rsidRDefault="00000000">
      <w:pPr>
        <w:pStyle w:val="Bibliography"/>
      </w:pPr>
      <w:bookmarkStart w:id="57" w:name="ref-luijkx2009"/>
      <w:bookmarkEnd w:id="56"/>
      <w:r>
        <w:t xml:space="preserve">Luijkx, R., &amp; Wolbers, M. H. J. (2009). The Effects of Non-Employment in Early Work-Life on Subsequent Employment Chances of Individuals in The Netherlands. </w:t>
      </w:r>
      <w:r>
        <w:rPr>
          <w:i/>
          <w:iCs/>
        </w:rPr>
        <w:t>European Sociological Review</w:t>
      </w:r>
      <w:r>
        <w:t xml:space="preserve">, </w:t>
      </w:r>
      <w:r>
        <w:rPr>
          <w:i/>
          <w:iCs/>
        </w:rPr>
        <w:t>25</w:t>
      </w:r>
      <w:r>
        <w:t xml:space="preserve">(6), 647–660. </w:t>
      </w:r>
      <w:hyperlink r:id="rId47">
        <w:r>
          <w:rPr>
            <w:rStyle w:val="Hyperlink"/>
          </w:rPr>
          <w:t>https://doi.org/10.1093/esr/jcp002</w:t>
        </w:r>
      </w:hyperlink>
    </w:p>
    <w:p w14:paraId="492CBBAD" w14:textId="77777777" w:rsidR="00A76274" w:rsidRDefault="00000000">
      <w:pPr>
        <w:pStyle w:val="Bibliography"/>
      </w:pPr>
      <w:bookmarkStart w:id="58" w:name="ref-masdonati2021"/>
      <w:bookmarkEnd w:id="57"/>
      <w:r>
        <w:t xml:space="preserve">Masdonati, J., Massoudi, K., Blustein, D. L., &amp; Duffy, R. D. (2021). Moving Toward Decent Work: Application of the Psychology of Working Theory to the School-to-Work Transition. </w:t>
      </w:r>
      <w:r>
        <w:rPr>
          <w:i/>
          <w:iCs/>
        </w:rPr>
        <w:t>Journal of Career Development</w:t>
      </w:r>
      <w:r>
        <w:t xml:space="preserve">, </w:t>
      </w:r>
      <w:r>
        <w:rPr>
          <w:i/>
          <w:iCs/>
        </w:rPr>
        <w:t>49</w:t>
      </w:r>
      <w:r>
        <w:t xml:space="preserve">(1), 41–59. </w:t>
      </w:r>
      <w:hyperlink r:id="rId48">
        <w:r>
          <w:rPr>
            <w:rStyle w:val="Hyperlink"/>
          </w:rPr>
          <w:t>https://doi.org/10.1177/0894845321991681</w:t>
        </w:r>
      </w:hyperlink>
    </w:p>
    <w:p w14:paraId="5428C592" w14:textId="77777777" w:rsidR="00A76274" w:rsidRDefault="00000000">
      <w:pPr>
        <w:pStyle w:val="Bibliography"/>
      </w:pPr>
      <w:bookmarkStart w:id="59" w:name="ref-ilo2010"/>
      <w:bookmarkEnd w:id="58"/>
      <w:r>
        <w:t xml:space="preserve">Matsumoto, M., &amp; Elder, S. (2010). </w:t>
      </w:r>
      <w:r>
        <w:rPr>
          <w:i/>
          <w:iCs/>
        </w:rPr>
        <w:t>Characterizing the school-to-work transitions of young men and women: Evidence from the ILO school-to-work transition surveys</w:t>
      </w:r>
      <w:r>
        <w:t xml:space="preserve"> [Employment Working Paper No. 51]. International Labour Organization. </w:t>
      </w:r>
      <w:hyperlink r:id="rId49">
        <w:r>
          <w:rPr>
            <w:rStyle w:val="Hyperlink"/>
          </w:rPr>
          <w:t>https://www.ilo.org/publications/characterizing-school-work-transitions-young-men-and-women-evidence-ilo</w:t>
        </w:r>
      </w:hyperlink>
    </w:p>
    <w:p w14:paraId="3B305731" w14:textId="77777777" w:rsidR="00A76274" w:rsidRDefault="00000000">
      <w:pPr>
        <w:pStyle w:val="Bibliography"/>
      </w:pPr>
      <w:bookmarkStart w:id="60" w:name="ref-returns2021"/>
      <w:bookmarkEnd w:id="59"/>
      <w:r>
        <w:lastRenderedPageBreak/>
        <w:t xml:space="preserve">Melianova, E., Parandekar, S., Patrinos, H. A., &amp; Volgin, A. (2021). Returns to education in the russian federation: Some new estimates. </w:t>
      </w:r>
      <w:r>
        <w:rPr>
          <w:i/>
          <w:iCs/>
        </w:rPr>
        <w:t>Higher School of Economics Economic Journal</w:t>
      </w:r>
      <w:r>
        <w:t xml:space="preserve">, </w:t>
      </w:r>
      <w:r>
        <w:rPr>
          <w:i/>
          <w:iCs/>
        </w:rPr>
        <w:t>25</w:t>
      </w:r>
      <w:r>
        <w:t xml:space="preserve">(3), 403–422. </w:t>
      </w:r>
      <w:hyperlink r:id="rId50">
        <w:r>
          <w:rPr>
            <w:rStyle w:val="Hyperlink"/>
          </w:rPr>
          <w:t>https://doi.org/10.17323/1813-8691-2021-25-3-403-422</w:t>
        </w:r>
      </w:hyperlink>
    </w:p>
    <w:p w14:paraId="488DD4E2" w14:textId="77777777" w:rsidR="00A76274" w:rsidRDefault="00000000">
      <w:pPr>
        <w:pStyle w:val="Bibliography"/>
      </w:pPr>
      <w:bookmarkStart w:id="61" w:name="ref-montalvao2017"/>
      <w:bookmarkEnd w:id="60"/>
      <w:r>
        <w:t xml:space="preserve">Mont’alvao, A., Mortimer, J. T., &amp; Johnson, M. K. (2017). </w:t>
      </w:r>
      <w:r>
        <w:rPr>
          <w:i/>
          <w:iCs/>
        </w:rPr>
        <w:t>The great recession and youth labor market outcomes in international perspective</w:t>
      </w:r>
      <w:r>
        <w:t xml:space="preserve"> (pp. 52–74). Cambridge University Press. </w:t>
      </w:r>
      <w:hyperlink r:id="rId51">
        <w:r>
          <w:rPr>
            <w:rStyle w:val="Hyperlink"/>
          </w:rPr>
          <w:t>https://doi.org/10.1017/9781316779507.004</w:t>
        </w:r>
      </w:hyperlink>
    </w:p>
    <w:p w14:paraId="042CB307" w14:textId="77777777" w:rsidR="00A76274" w:rsidRDefault="00000000">
      <w:pPr>
        <w:pStyle w:val="Bibliography"/>
      </w:pPr>
      <w:bookmarkStart w:id="62" w:name="ref-ng-knight2017"/>
      <w:bookmarkEnd w:id="61"/>
      <w:r>
        <w:t xml:space="preserve">Ng-Knight, T., &amp; Schoon, I. (2017). Can Locus of Control Compensate for Socioeconomic Adversity in the Transition from School to Work? </w:t>
      </w:r>
      <w:r>
        <w:rPr>
          <w:i/>
          <w:iCs/>
        </w:rPr>
        <w:t>Journal of Youth and Adolescence</w:t>
      </w:r>
      <w:r>
        <w:t xml:space="preserve">, </w:t>
      </w:r>
      <w:r>
        <w:rPr>
          <w:i/>
          <w:iCs/>
        </w:rPr>
        <w:t>46</w:t>
      </w:r>
      <w:r>
        <w:t xml:space="preserve">(10), 2114–2128. </w:t>
      </w:r>
      <w:hyperlink r:id="rId52">
        <w:r>
          <w:rPr>
            <w:rStyle w:val="Hyperlink"/>
          </w:rPr>
          <w:t>https://doi.org/10.1007/s10964-017-0720-6</w:t>
        </w:r>
      </w:hyperlink>
    </w:p>
    <w:p w14:paraId="41DCCD9D" w14:textId="77777777" w:rsidR="00A76274" w:rsidRDefault="00000000">
      <w:pPr>
        <w:pStyle w:val="Bibliography"/>
      </w:pPr>
      <w:bookmarkStart w:id="63" w:name="ref-mixed-ef2000"/>
      <w:bookmarkEnd w:id="62"/>
      <w:r>
        <w:t xml:space="preserve">Pinheiro, J. C., &amp; Bates, D. M. (2000). </w:t>
      </w:r>
      <w:r>
        <w:rPr>
          <w:i/>
          <w:iCs/>
        </w:rPr>
        <w:t>Mixed-Effects Models in S and S-PLUS</w:t>
      </w:r>
      <w:r>
        <w:t xml:space="preserve">. Springer-Verlag. </w:t>
      </w:r>
      <w:hyperlink r:id="rId53">
        <w:r>
          <w:rPr>
            <w:rStyle w:val="Hyperlink"/>
          </w:rPr>
          <w:t>https://doi.org/10.1007/b98882</w:t>
        </w:r>
      </w:hyperlink>
    </w:p>
    <w:p w14:paraId="4EC8D11B" w14:textId="77777777" w:rsidR="00A76274" w:rsidRDefault="00000000">
      <w:pPr>
        <w:pStyle w:val="Bibliography"/>
      </w:pPr>
      <w:bookmarkStart w:id="64" w:name="ref-R"/>
      <w:bookmarkEnd w:id="63"/>
      <w:r>
        <w:t xml:space="preserve">R Core Team. (2021). </w:t>
      </w:r>
      <w:r>
        <w:rPr>
          <w:i/>
          <w:iCs/>
        </w:rPr>
        <w:t>R: A language and environment for statistical computing</w:t>
      </w:r>
      <w:r>
        <w:t xml:space="preserve">. R Foundation for Statistical Computing. </w:t>
      </w:r>
      <w:hyperlink r:id="rId54">
        <w:r>
          <w:rPr>
            <w:rStyle w:val="Hyperlink"/>
          </w:rPr>
          <w:t>https://www.R-project.org/</w:t>
        </w:r>
      </w:hyperlink>
    </w:p>
    <w:p w14:paraId="090AE72F" w14:textId="77777777" w:rsidR="00A76274" w:rsidRDefault="00000000">
      <w:pPr>
        <w:pStyle w:val="Bibliography"/>
      </w:pPr>
      <w:bookmarkStart w:id="65" w:name="ref-ripamonti2023"/>
      <w:bookmarkEnd w:id="64"/>
      <w:r>
        <w:t xml:space="preserve">Ripamonti, E. (2023). School-to-work transition: putting non-cognitive skills in context. The case of NEET and suggestions for policy. </w:t>
      </w:r>
      <w:r>
        <w:rPr>
          <w:i/>
          <w:iCs/>
        </w:rPr>
        <w:t>International Journal for Educational and Vocational Guidance</w:t>
      </w:r>
      <w:r>
        <w:t xml:space="preserve">. </w:t>
      </w:r>
      <w:hyperlink r:id="rId55">
        <w:r>
          <w:rPr>
            <w:rStyle w:val="Hyperlink"/>
          </w:rPr>
          <w:t>https://doi.org/10.1007/s10775-023-09635-6</w:t>
        </w:r>
      </w:hyperlink>
    </w:p>
    <w:p w14:paraId="0253988C" w14:textId="77777777" w:rsidR="00A76274" w:rsidRDefault="00000000">
      <w:pPr>
        <w:pStyle w:val="Bibliography"/>
      </w:pPr>
      <w:bookmarkStart w:id="66" w:name="ref-rosstat2024"/>
      <w:bookmarkEnd w:id="65"/>
      <w:r>
        <w:t xml:space="preserve">Rosstat. (2024). </w:t>
      </w:r>
      <w:r>
        <w:rPr>
          <w:i/>
          <w:iCs/>
        </w:rPr>
        <w:t>Labor force, employment, and unemployment in russia</w:t>
      </w:r>
      <w:r>
        <w:t xml:space="preserve"> [Report]. Federal State Statistics Service. </w:t>
      </w:r>
      <w:hyperlink r:id="rId56">
        <w:r>
          <w:rPr>
            <w:rStyle w:val="Hyperlink"/>
          </w:rPr>
          <w:t>https://rosstat.gov.ru/storage/mediabank/Rab_sila_2024.pdf</w:t>
        </w:r>
      </w:hyperlink>
    </w:p>
    <w:p w14:paraId="5C0FD540" w14:textId="77777777" w:rsidR="00A76274" w:rsidRDefault="00000000">
      <w:pPr>
        <w:pStyle w:val="Bibliography"/>
      </w:pPr>
      <w:bookmarkStart w:id="67" w:name="ref-rozhkova2019"/>
      <w:bookmarkEnd w:id="66"/>
      <w:r>
        <w:t xml:space="preserve">Rozhkova, K. V. (2019). The return to noncognitive characteristics in the russian labor market. </w:t>
      </w:r>
      <w:r>
        <w:rPr>
          <w:i/>
          <w:iCs/>
        </w:rPr>
        <w:t>Voprosy Ekonomiki</w:t>
      </w:r>
      <w:r>
        <w:t xml:space="preserve">, </w:t>
      </w:r>
      <w:r>
        <w:rPr>
          <w:i/>
          <w:iCs/>
        </w:rPr>
        <w:t>11</w:t>
      </w:r>
      <w:r>
        <w:t xml:space="preserve">, 81–107. </w:t>
      </w:r>
      <w:hyperlink r:id="rId57">
        <w:r>
          <w:rPr>
            <w:rStyle w:val="Hyperlink"/>
          </w:rPr>
          <w:t>https://doi.org/10.32609/0042-8736-2019-11-81-107</w:t>
        </w:r>
      </w:hyperlink>
    </w:p>
    <w:p w14:paraId="6674E067" w14:textId="77777777" w:rsidR="00A76274" w:rsidRDefault="00000000">
      <w:pPr>
        <w:pStyle w:val="Bibliography"/>
      </w:pPr>
      <w:bookmarkStart w:id="68" w:name="ref-rozhkova2021"/>
      <w:bookmarkEnd w:id="67"/>
      <w:r>
        <w:t xml:space="preserve">Rozhkova, K. V., Roshchin, S. Y., Solntsev, S. A., &amp; Travkin, P. V. (2021). The return to master’s degree in the russian labor market. </w:t>
      </w:r>
      <w:r>
        <w:rPr>
          <w:i/>
          <w:iCs/>
        </w:rPr>
        <w:t>Voprosy Ekonomiki</w:t>
      </w:r>
      <w:r>
        <w:t xml:space="preserve">, </w:t>
      </w:r>
      <w:r>
        <w:rPr>
          <w:i/>
          <w:iCs/>
        </w:rPr>
        <w:t>8</w:t>
      </w:r>
      <w:r>
        <w:t xml:space="preserve">, 69–92. </w:t>
      </w:r>
      <w:hyperlink r:id="rId58">
        <w:r>
          <w:rPr>
            <w:rStyle w:val="Hyperlink"/>
          </w:rPr>
          <w:t>https://doi.org/10.32609/0042-8736-2021-8-69-92</w:t>
        </w:r>
      </w:hyperlink>
    </w:p>
    <w:p w14:paraId="2CD1AC55" w14:textId="77777777" w:rsidR="00A76274" w:rsidRDefault="00000000">
      <w:pPr>
        <w:pStyle w:val="Bibliography"/>
      </w:pPr>
      <w:bookmarkStart w:id="69" w:name="ref-sanginabadi2020"/>
      <w:bookmarkEnd w:id="68"/>
      <w:r>
        <w:t xml:space="preserve">Sanginabadi, B. (2020). Does Schooling Causally Impact Non-Cognitive Skills? Evidence from Elimination of Social Security Student Benefits. </w:t>
      </w:r>
      <w:r>
        <w:rPr>
          <w:i/>
          <w:iCs/>
        </w:rPr>
        <w:t>Economies</w:t>
      </w:r>
      <w:r>
        <w:t xml:space="preserve">, </w:t>
      </w:r>
      <w:r>
        <w:rPr>
          <w:i/>
          <w:iCs/>
        </w:rPr>
        <w:t>8</w:t>
      </w:r>
      <w:r>
        <w:t xml:space="preserve">(1), 5. </w:t>
      </w:r>
      <w:hyperlink r:id="rId59">
        <w:r>
          <w:rPr>
            <w:rStyle w:val="Hyperlink"/>
          </w:rPr>
          <w:t>https://doi.org/10.3390/economies8010005</w:t>
        </w:r>
      </w:hyperlink>
    </w:p>
    <w:p w14:paraId="02CCF55A" w14:textId="77777777" w:rsidR="00A76274" w:rsidRDefault="00000000">
      <w:pPr>
        <w:pStyle w:val="Bibliography"/>
      </w:pPr>
      <w:bookmarkStart w:id="70" w:name="ref-tanveerchoudhry2012"/>
      <w:bookmarkEnd w:id="69"/>
      <w:r>
        <w:t xml:space="preserve">Tanveer Choudhry, M., Marelli, E., &amp; Signorelli, M. (2012). Youth unemployment rate and impact of financial crises. </w:t>
      </w:r>
      <w:r>
        <w:rPr>
          <w:i/>
          <w:iCs/>
        </w:rPr>
        <w:t>International Journal of Manpower</w:t>
      </w:r>
      <w:r>
        <w:t xml:space="preserve">, </w:t>
      </w:r>
      <w:r>
        <w:rPr>
          <w:i/>
          <w:iCs/>
        </w:rPr>
        <w:t>33</w:t>
      </w:r>
      <w:r>
        <w:t xml:space="preserve">(1), 76–95. </w:t>
      </w:r>
      <w:hyperlink r:id="rId60">
        <w:r>
          <w:rPr>
            <w:rStyle w:val="Hyperlink"/>
          </w:rPr>
          <w:t>https://doi.org/10.1108/01437721211212538</w:t>
        </w:r>
      </w:hyperlink>
    </w:p>
    <w:p w14:paraId="0BED2137" w14:textId="77777777" w:rsidR="00A76274" w:rsidRDefault="00000000">
      <w:pPr>
        <w:pStyle w:val="Bibliography"/>
      </w:pPr>
      <w:bookmarkStart w:id="71" w:name="ref-tolentino2018"/>
      <w:bookmarkEnd w:id="70"/>
      <w:r>
        <w:t xml:space="preserve">Tolentino, L. R., Sibunruang, H., &amp; Garcia, P. R. J. M. (2018). The Role of Self-Monitoring and Academic Effort in Students’ Career Adaptability and Job Search Self-Efficacy. </w:t>
      </w:r>
      <w:r>
        <w:rPr>
          <w:i/>
          <w:iCs/>
        </w:rPr>
        <w:t>Journal of Career Assessment</w:t>
      </w:r>
      <w:r>
        <w:t xml:space="preserve">, </w:t>
      </w:r>
      <w:r>
        <w:rPr>
          <w:i/>
          <w:iCs/>
        </w:rPr>
        <w:t>27</w:t>
      </w:r>
      <w:r>
        <w:t xml:space="preserve">(4), 726–740. </w:t>
      </w:r>
      <w:hyperlink r:id="rId61">
        <w:r>
          <w:rPr>
            <w:rStyle w:val="Hyperlink"/>
          </w:rPr>
          <w:t>https://doi.org/10.1177/1069072718816715</w:t>
        </w:r>
      </w:hyperlink>
    </w:p>
    <w:p w14:paraId="231FF235" w14:textId="77777777" w:rsidR="00A76274" w:rsidRDefault="00000000">
      <w:pPr>
        <w:pStyle w:val="Bibliography"/>
      </w:pPr>
      <w:bookmarkStart w:id="72" w:name="ref-uysal2011"/>
      <w:bookmarkEnd w:id="71"/>
      <w:r>
        <w:t xml:space="preserve">Uysal, S. D., &amp; Pohlmeier, W. (2011). Unemployment duration and personality. </w:t>
      </w:r>
      <w:r>
        <w:rPr>
          <w:i/>
          <w:iCs/>
        </w:rPr>
        <w:t>Journal of Economic Psychology</w:t>
      </w:r>
      <w:r>
        <w:t xml:space="preserve">, </w:t>
      </w:r>
      <w:r>
        <w:rPr>
          <w:i/>
          <w:iCs/>
        </w:rPr>
        <w:t>32</w:t>
      </w:r>
      <w:r>
        <w:t xml:space="preserve">(6), 980–992. </w:t>
      </w:r>
      <w:hyperlink r:id="rId62">
        <w:r>
          <w:rPr>
            <w:rStyle w:val="Hyperlink"/>
          </w:rPr>
          <w:t>https://doi.org/10.1016/j.joep.2011.03.008</w:t>
        </w:r>
      </w:hyperlink>
    </w:p>
    <w:p w14:paraId="1B9BA0B5" w14:textId="77777777" w:rsidR="00A76274" w:rsidRDefault="00000000">
      <w:pPr>
        <w:pStyle w:val="Bibliography"/>
      </w:pPr>
      <w:bookmarkStart w:id="73" w:name="ref-verbruggen2015"/>
      <w:bookmarkEnd w:id="72"/>
      <w:r>
        <w:lastRenderedPageBreak/>
        <w:t xml:space="preserve">Verbruggen, M., Emmerik, H. van, Van Gils, A., Meng, C., &amp; Grip, A. de. (2015). Does early-career underemployment impact future career success? A path dependency perspective. </w:t>
      </w:r>
      <w:r>
        <w:rPr>
          <w:i/>
          <w:iCs/>
        </w:rPr>
        <w:t>Journal of Vocational Behavior</w:t>
      </w:r>
      <w:r>
        <w:t xml:space="preserve">, </w:t>
      </w:r>
      <w:r>
        <w:rPr>
          <w:i/>
          <w:iCs/>
        </w:rPr>
        <w:t>90</w:t>
      </w:r>
      <w:r>
        <w:t xml:space="preserve">, 101–110. </w:t>
      </w:r>
      <w:hyperlink r:id="rId63">
        <w:r>
          <w:rPr>
            <w:rStyle w:val="Hyperlink"/>
          </w:rPr>
          <w:t>https://doi.org/10.1016/j.jvb.2015.08.002</w:t>
        </w:r>
      </w:hyperlink>
    </w:p>
    <w:p w14:paraId="3C70F298" w14:textId="77777777" w:rsidR="00A76274" w:rsidRDefault="00000000">
      <w:pPr>
        <w:pStyle w:val="Bibliography"/>
      </w:pPr>
      <w:bookmarkStart w:id="74" w:name="ref-verd2019"/>
      <w:bookmarkEnd w:id="73"/>
      <w:r>
        <w:t xml:space="preserve">Verd, J. M., Barranco, O., &amp; Bolíbar, M. (2019). Youth unemployment and employment trajectories in Spain during the Great Recession: what are the determinants? </w:t>
      </w:r>
      <w:r>
        <w:rPr>
          <w:i/>
          <w:iCs/>
        </w:rPr>
        <w:t>Journal for Labour Market Research</w:t>
      </w:r>
      <w:r>
        <w:t xml:space="preserve">, </w:t>
      </w:r>
      <w:r>
        <w:rPr>
          <w:i/>
          <w:iCs/>
        </w:rPr>
        <w:t>53</w:t>
      </w:r>
      <w:r>
        <w:t xml:space="preserve">(1). </w:t>
      </w:r>
      <w:hyperlink r:id="rId64">
        <w:r>
          <w:rPr>
            <w:rStyle w:val="Hyperlink"/>
          </w:rPr>
          <w:t>https://doi.org/10.1186/s12651-019-0254-3</w:t>
        </w:r>
      </w:hyperlink>
    </w:p>
    <w:p w14:paraId="54178134" w14:textId="77777777" w:rsidR="00A76274" w:rsidRDefault="00000000">
      <w:pPr>
        <w:pStyle w:val="Bibliography"/>
      </w:pPr>
      <w:bookmarkStart w:id="75" w:name="ref-verick2011"/>
      <w:bookmarkEnd w:id="74"/>
      <w:r>
        <w:t xml:space="preserve">Verick, S. (2011). </w:t>
      </w:r>
      <w:r>
        <w:rPr>
          <w:i/>
          <w:iCs/>
        </w:rPr>
        <w:t>The Impact of the Global Financial Crisis on Labour Markets in OECD Countries: Why Youth and Other Vulnerable Groups Have Been Hit Hard</w:t>
      </w:r>
      <w:r>
        <w:t xml:space="preserve"> (pp. 119–145). Palgrave Macmillan UK. </w:t>
      </w:r>
      <w:hyperlink r:id="rId65">
        <w:r>
          <w:rPr>
            <w:rStyle w:val="Hyperlink"/>
          </w:rPr>
          <w:t>https://doi.org/10.1057/9780230295186_5</w:t>
        </w:r>
      </w:hyperlink>
    </w:p>
    <w:p w14:paraId="24C4912B" w14:textId="77777777" w:rsidR="00A76274" w:rsidRDefault="00000000">
      <w:pPr>
        <w:pStyle w:val="Bibliography"/>
      </w:pPr>
      <w:bookmarkStart w:id="76" w:name="ref-wichert2010"/>
      <w:bookmarkEnd w:id="75"/>
      <w:r>
        <w:t xml:space="preserve">Wichert, L., &amp; Pohlmeier, W. (2010). Female Labor Force Participation and the Big Five. </w:t>
      </w:r>
      <w:r>
        <w:rPr>
          <w:i/>
          <w:iCs/>
        </w:rPr>
        <w:t>SSRN Electronic Journal</w:t>
      </w:r>
      <w:r>
        <w:t xml:space="preserve">. </w:t>
      </w:r>
      <w:hyperlink r:id="rId66">
        <w:r>
          <w:rPr>
            <w:rStyle w:val="Hyperlink"/>
          </w:rPr>
          <w:t>https://doi.org/10.2139/ssrn.1551258</w:t>
        </w:r>
      </w:hyperlink>
    </w:p>
    <w:p w14:paraId="2401D9F7" w14:textId="77777777" w:rsidR="00A76274" w:rsidRDefault="00000000">
      <w:pPr>
        <w:pStyle w:val="Bibliography"/>
      </w:pPr>
      <w:bookmarkStart w:id="77" w:name="ref-wbstep2014"/>
      <w:bookmarkEnd w:id="76"/>
      <w:r>
        <w:t xml:space="preserve">World Bank. (2014). </w:t>
      </w:r>
      <w:r>
        <w:rPr>
          <w:i/>
          <w:iCs/>
        </w:rPr>
        <w:t>STEP skills measurement surveys: Innovative tools for assessing skills</w:t>
      </w:r>
      <w:r>
        <w:t xml:space="preserve">. Social protection and labor discussion paper N. 1421; World Bank Group. </w:t>
      </w:r>
      <w:hyperlink r:id="rId67">
        <w:r>
          <w:rPr>
            <w:rStyle w:val="Hyperlink"/>
          </w:rPr>
          <w:t>http://documents.worldbank.org/curated/en/516741468178736065/STEP-skills-measurement-surveys-innovative-tools-for-assessing-skills</w:t>
        </w:r>
      </w:hyperlink>
    </w:p>
    <w:p w14:paraId="7613AD2C" w14:textId="77777777" w:rsidR="00A76274" w:rsidRDefault="00000000">
      <w:pPr>
        <w:pStyle w:val="Bibliography"/>
      </w:pPr>
      <w:bookmarkStart w:id="78" w:name="ref-wu2009"/>
      <w:bookmarkEnd w:id="77"/>
      <w:r>
        <w:t xml:space="preserve">Wu, L. (2009). </w:t>
      </w:r>
      <w:r>
        <w:rPr>
          <w:i/>
          <w:iCs/>
        </w:rPr>
        <w:t>Mixed Effects Models for Complex Data</w:t>
      </w:r>
      <w:r>
        <w:t xml:space="preserve">. Chapman; Hall/CRC. </w:t>
      </w:r>
      <w:hyperlink r:id="rId68">
        <w:r>
          <w:rPr>
            <w:rStyle w:val="Hyperlink"/>
          </w:rPr>
          <w:t>https://doi.org/10.1201/9781420074086</w:t>
        </w:r>
      </w:hyperlink>
    </w:p>
    <w:p w14:paraId="6BE76605" w14:textId="77777777" w:rsidR="00A76274" w:rsidRDefault="00000000">
      <w:pPr>
        <w:pStyle w:val="Bibliography"/>
      </w:pPr>
      <w:bookmarkStart w:id="79" w:name="ref-yang2014"/>
      <w:bookmarkEnd w:id="78"/>
      <w:r>
        <w:t xml:space="preserve">Yang, J., Zaitlen, N. A., Goddard, M. E., Visscher, P. M., &amp; Price, A. L. (2014). Advantages and pitfalls in the application of mixed-model association methods. </w:t>
      </w:r>
      <w:r>
        <w:rPr>
          <w:i/>
          <w:iCs/>
        </w:rPr>
        <w:t>Nature Genetics</w:t>
      </w:r>
      <w:r>
        <w:t xml:space="preserve">, </w:t>
      </w:r>
      <w:r>
        <w:rPr>
          <w:i/>
          <w:iCs/>
        </w:rPr>
        <w:t>46</w:t>
      </w:r>
      <w:r>
        <w:t xml:space="preserve">(2), 100–106. </w:t>
      </w:r>
      <w:hyperlink r:id="rId69">
        <w:r>
          <w:rPr>
            <w:rStyle w:val="Hyperlink"/>
          </w:rPr>
          <w:t>https://doi.org/10.1038/ng.2876</w:t>
        </w:r>
      </w:hyperlink>
    </w:p>
    <w:p w14:paraId="2741C361" w14:textId="77777777" w:rsidR="00A76274" w:rsidRDefault="00000000">
      <w:pPr>
        <w:pStyle w:val="Bibliography"/>
      </w:pPr>
      <w:bookmarkStart w:id="80" w:name="ref-zacher2021"/>
      <w:bookmarkEnd w:id="79"/>
      <w:r>
        <w:t xml:space="preserve">Zacher, H., &amp; Froidevaux, A. (2021). Life stage, lifespan, and life course perspectives on vocational behavior and development: A theoretical framework, review, and research agenda. </w:t>
      </w:r>
      <w:r>
        <w:rPr>
          <w:i/>
          <w:iCs/>
        </w:rPr>
        <w:t>Journal of Vocational Behavior</w:t>
      </w:r>
      <w:r>
        <w:t xml:space="preserve">, </w:t>
      </w:r>
      <w:r>
        <w:rPr>
          <w:i/>
          <w:iCs/>
        </w:rPr>
        <w:t>126</w:t>
      </w:r>
      <w:r>
        <w:t xml:space="preserve">, 103476. </w:t>
      </w:r>
      <w:hyperlink r:id="rId70">
        <w:r>
          <w:rPr>
            <w:rStyle w:val="Hyperlink"/>
          </w:rPr>
          <w:t>https://doi.org/10.1016/j.jvb.2020.103476</w:t>
        </w:r>
      </w:hyperlink>
    </w:p>
    <w:p w14:paraId="20F139EE" w14:textId="77777777" w:rsidR="00A76274" w:rsidRDefault="00000000">
      <w:pPr>
        <w:pStyle w:val="Bibliography"/>
      </w:pPr>
      <w:bookmarkStart w:id="81" w:name="ref-zudina2022"/>
      <w:bookmarkEnd w:id="80"/>
      <w:r>
        <w:t xml:space="preserve">Zudina, A. (2022). Non-cognitive skills of NEET youth in russia. </w:t>
      </w:r>
      <w:r>
        <w:rPr>
          <w:i/>
          <w:iCs/>
        </w:rPr>
        <w:t>Voprosy Obrazovaniya / Educational Studies Moscow</w:t>
      </w:r>
      <w:r>
        <w:t xml:space="preserve">, </w:t>
      </w:r>
      <w:r>
        <w:rPr>
          <w:i/>
          <w:iCs/>
        </w:rPr>
        <w:t>4</w:t>
      </w:r>
      <w:r>
        <w:t xml:space="preserve">, 154–183. </w:t>
      </w:r>
      <w:hyperlink r:id="rId71">
        <w:r>
          <w:rPr>
            <w:rStyle w:val="Hyperlink"/>
          </w:rPr>
          <w:t>https://doi.org/10.17323/1814-9545-2022-4-154-183</w:t>
        </w:r>
      </w:hyperlink>
      <w:bookmarkEnd w:id="25"/>
      <w:bookmarkEnd w:id="27"/>
      <w:bookmarkEnd w:id="81"/>
    </w:p>
    <w:sectPr w:rsidR="00A762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2F459" w14:textId="77777777" w:rsidR="002F230E" w:rsidRDefault="002F230E">
      <w:pPr>
        <w:spacing w:after="0"/>
      </w:pPr>
      <w:r>
        <w:separator/>
      </w:r>
    </w:p>
  </w:endnote>
  <w:endnote w:type="continuationSeparator" w:id="0">
    <w:p w14:paraId="6BD18582" w14:textId="77777777" w:rsidR="002F230E" w:rsidRDefault="002F2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6D61A" w14:textId="77777777" w:rsidR="002F230E" w:rsidRDefault="002F230E">
      <w:pPr>
        <w:spacing w:after="0"/>
      </w:pPr>
      <w:r>
        <w:separator/>
      </w:r>
    </w:p>
  </w:footnote>
  <w:footnote w:type="continuationSeparator" w:id="0">
    <w:p w14:paraId="5252EAE0" w14:textId="77777777" w:rsidR="002F230E" w:rsidRDefault="002F230E">
      <w:pPr>
        <w:spacing w:after="0"/>
      </w:pPr>
      <w:r>
        <w:continuationSeparator/>
      </w:r>
    </w:p>
  </w:footnote>
  <w:footnote w:id="1">
    <w:p w14:paraId="6117404A" w14:textId="77777777" w:rsidR="00A76274" w:rsidRDefault="00000000">
      <w:pPr>
        <w:pStyle w:val="FootnoteText"/>
      </w:pPr>
      <w:r>
        <w:rPr>
          <w:rStyle w:val="FootnoteReference"/>
        </w:rPr>
        <w:footnoteRef/>
      </w:r>
      <w:r>
        <w:t xml:space="preserve"> The Rosstat data were accessed on 24 September 2024, via the following link: </w:t>
      </w:r>
      <w:hyperlink r:id="rId1">
        <w:r>
          <w:rPr>
            <w:rStyle w:val="Hyperlink"/>
          </w:rPr>
          <w:t>https://rosstat.gov.ru/storage/mediabank/Trud_3_15-s.xlsx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1821D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351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74"/>
    <w:rsid w:val="000C6231"/>
    <w:rsid w:val="002F230E"/>
    <w:rsid w:val="00A76274"/>
    <w:rsid w:val="00BC184A"/>
    <w:rsid w:val="00C3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0CCE9"/>
  <w15:docId w15:val="{1FAB6AA6-C9B7-964B-A9DD-C6433D56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workar/waad012" TargetMode="External"/><Relationship Id="rId21" Type="http://schemas.openxmlformats.org/officeDocument/2006/relationships/hyperlink" Target="https://doi.org/10.3390/economies12010025" TargetMode="External"/><Relationship Id="rId42" Type="http://schemas.openxmlformats.org/officeDocument/2006/relationships/hyperlink" Target="https://doi.org/10.1016/j.ecosys.2014.06.004" TargetMode="External"/><Relationship Id="rId47" Type="http://schemas.openxmlformats.org/officeDocument/2006/relationships/hyperlink" Target="https://doi.org/10.1093/esr/jcp002" TargetMode="External"/><Relationship Id="rId63" Type="http://schemas.openxmlformats.org/officeDocument/2006/relationships/hyperlink" Target="https://doi.org/10.1016/j.jvb.2015.08.002" TargetMode="External"/><Relationship Id="rId68" Type="http://schemas.openxmlformats.org/officeDocument/2006/relationships/hyperlink" Target="https://doi.org/10.1201/9781420074086"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007/s43151-020-00002-8" TargetMode="External"/><Relationship Id="rId11" Type="http://schemas.openxmlformats.org/officeDocument/2006/relationships/image" Target="media/image5.png"/><Relationship Id="rId24" Type="http://schemas.openxmlformats.org/officeDocument/2006/relationships/hyperlink" Target="https://doi.org/10.1017/cbo9780511527692" TargetMode="External"/><Relationship Id="rId32" Type="http://schemas.openxmlformats.org/officeDocument/2006/relationships/hyperlink" Target="https://doi.org/10.1017/cbo9780511790942" TargetMode="External"/><Relationship Id="rId37" Type="http://schemas.openxmlformats.org/officeDocument/2006/relationships/hyperlink" Target="https://doi.org/10.1111/bjep.12258" TargetMode="External"/><Relationship Id="rId40" Type="http://schemas.openxmlformats.org/officeDocument/2006/relationships/hyperlink" Target="https://doi.org/10.1111/j.1744-6570.1999.tb00174.x" TargetMode="External"/><Relationship Id="rId45" Type="http://schemas.openxmlformats.org/officeDocument/2006/relationships/hyperlink" Target="https://doi.org/10.1002/j.2161-0045.1999.tb00739.x" TargetMode="External"/><Relationship Id="rId53" Type="http://schemas.openxmlformats.org/officeDocument/2006/relationships/hyperlink" Target="https://doi.org/10.1007/b98882" TargetMode="External"/><Relationship Id="rId58" Type="http://schemas.openxmlformats.org/officeDocument/2006/relationships/hyperlink" Target="https://doi.org/10.32609/0042-8736-2021-8-69-92" TargetMode="External"/><Relationship Id="rId66" Type="http://schemas.openxmlformats.org/officeDocument/2006/relationships/hyperlink" Target="https://doi.org/10.2139/ssrn.1551258" TargetMode="External"/><Relationship Id="rId5" Type="http://schemas.openxmlformats.org/officeDocument/2006/relationships/footnotes" Target="footnotes.xml"/><Relationship Id="rId61" Type="http://schemas.openxmlformats.org/officeDocument/2006/relationships/hyperlink" Target="https://doi.org/10.1177/1069072718816715" TargetMode="External"/><Relationship Id="rId19" Type="http://schemas.openxmlformats.org/officeDocument/2006/relationships/hyperlink" Target="https://doi.org/10.1016/b978-0-444-53444-6.00001-8" TargetMode="External"/><Relationship Id="rId14" Type="http://schemas.openxmlformats.org/officeDocument/2006/relationships/image" Target="media/image8.png"/><Relationship Id="rId22" Type="http://schemas.openxmlformats.org/officeDocument/2006/relationships/hyperlink" Target="https://doi.org/10.1016/j.adolescence.2014.04.015" TargetMode="External"/><Relationship Id="rId27" Type="http://schemas.openxmlformats.org/officeDocument/2006/relationships/hyperlink" Target="https://doi.org/10.4324/9780429494338-6" TargetMode="External"/><Relationship Id="rId30" Type="http://schemas.openxmlformats.org/officeDocument/2006/relationships/hyperlink" Target="https://doi.org/10.1007/s12144-021-01394-3" TargetMode="External"/><Relationship Id="rId35" Type="http://schemas.openxmlformats.org/officeDocument/2006/relationships/hyperlink" Target="https://doi.org/10.1016/j.jebo.2016.12.009" TargetMode="External"/><Relationship Id="rId43" Type="http://schemas.openxmlformats.org/officeDocument/2006/relationships/hyperlink" Target="https://doi.org/10.18637/jss.v082.i13" TargetMode="External"/><Relationship Id="rId48" Type="http://schemas.openxmlformats.org/officeDocument/2006/relationships/hyperlink" Target="https://doi.org/10.1177/0894845321991681" TargetMode="External"/><Relationship Id="rId56" Type="http://schemas.openxmlformats.org/officeDocument/2006/relationships/hyperlink" Target="https://rosstat.gov.ru/storage/mediabank/Rab_sila_2024.pdf" TargetMode="External"/><Relationship Id="rId64" Type="http://schemas.openxmlformats.org/officeDocument/2006/relationships/hyperlink" Target="https://doi.org/10.1186/s12651-019-0254-3" TargetMode="External"/><Relationship Id="rId69" Type="http://schemas.openxmlformats.org/officeDocument/2006/relationships/hyperlink" Target="https://doi.org/10.1038/ng.2876" TargetMode="External"/><Relationship Id="rId8" Type="http://schemas.openxmlformats.org/officeDocument/2006/relationships/image" Target="media/image2.png"/><Relationship Id="rId51" Type="http://schemas.openxmlformats.org/officeDocument/2006/relationships/hyperlink" Target="https://doi.org/10.1017/9781316779507.00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93/oso/9780190941512.003.0004" TargetMode="External"/><Relationship Id="rId25" Type="http://schemas.openxmlformats.org/officeDocument/2006/relationships/hyperlink" Target="https://doi.org/10.18637/jss.v067.i01" TargetMode="External"/><Relationship Id="rId33" Type="http://schemas.openxmlformats.org/officeDocument/2006/relationships/hyperlink" Target="https://doi.org/10.32609/0042-8736-2016-10-129-143" TargetMode="External"/><Relationship Id="rId38" Type="http://schemas.openxmlformats.org/officeDocument/2006/relationships/hyperlink" Target="https://www.ilo.org/resource/brief/update-youth-labour-market-impact-covid-19-crisis" TargetMode="External"/><Relationship Id="rId46" Type="http://schemas.openxmlformats.org/officeDocument/2006/relationships/hyperlink" Target="https://doi.org/10.1186/2193-9004-2-6" TargetMode="External"/><Relationship Id="rId59" Type="http://schemas.openxmlformats.org/officeDocument/2006/relationships/hyperlink" Target="https://doi.org/10.3390/economies8010005" TargetMode="External"/><Relationship Id="rId67" Type="http://schemas.openxmlformats.org/officeDocument/2006/relationships/hyperlink" Target="http://documents.worldbank.org/curated/en/516741468178736065/STEP-skills-measurement-surveys-innovative-tools-for-assessing-skills" TargetMode="External"/><Relationship Id="rId20" Type="http://schemas.openxmlformats.org/officeDocument/2006/relationships/hyperlink" Target="https://doi.org/10.1016/b978-0-444-53444-6.00001-8" TargetMode="External"/><Relationship Id="rId41" Type="http://schemas.openxmlformats.org/officeDocument/2006/relationships/hyperlink" Target="https://doi.org/10.1093/oep/gpy002" TargetMode="External"/><Relationship Id="rId54" Type="http://schemas.openxmlformats.org/officeDocument/2006/relationships/hyperlink" Target="https://www.R-project.org/" TargetMode="External"/><Relationship Id="rId62" Type="http://schemas.openxmlformats.org/officeDocument/2006/relationships/hyperlink" Target="https://doi.org/10.1016/j.joep.2011.03.008" TargetMode="External"/><Relationship Id="rId70" Type="http://schemas.openxmlformats.org/officeDocument/2006/relationships/hyperlink" Target="https://doi.org/10.1016/j.jvb.2020.1034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1016/j.labeco.2013.04.013" TargetMode="External"/><Relationship Id="rId28" Type="http://schemas.openxmlformats.org/officeDocument/2006/relationships/hyperlink" Target="https://doi.org/10.1177/0743558407305415" TargetMode="External"/><Relationship Id="rId36" Type="http://schemas.openxmlformats.org/officeDocument/2006/relationships/hyperlink" Target="https://doi.org/10.1037/0022-3514.59.6.1216" TargetMode="External"/><Relationship Id="rId49" Type="http://schemas.openxmlformats.org/officeDocument/2006/relationships/hyperlink" Target="https://www.ilo.org/publications/characterizing-school-work-transitions-young-men-and-women-evidence-ilo" TargetMode="External"/><Relationship Id="rId57" Type="http://schemas.openxmlformats.org/officeDocument/2006/relationships/hyperlink" Target="https://doi.org/10.32609/0042-8736-2019-11-81-107" TargetMode="External"/><Relationship Id="rId10" Type="http://schemas.openxmlformats.org/officeDocument/2006/relationships/image" Target="media/image4.png"/><Relationship Id="rId31" Type="http://schemas.openxmlformats.org/officeDocument/2006/relationships/hyperlink" Target="https://doi.org/10.1016/j.paid.2011.03.030" TargetMode="External"/><Relationship Id="rId44" Type="http://schemas.openxmlformats.org/officeDocument/2006/relationships/hyperlink" Target="https://doi.org/10.1016/j.leaqua.2015.12.008" TargetMode="External"/><Relationship Id="rId52" Type="http://schemas.openxmlformats.org/officeDocument/2006/relationships/hyperlink" Target="https://doi.org/10.1007/s10964-017-0720-6" TargetMode="External"/><Relationship Id="rId60" Type="http://schemas.openxmlformats.org/officeDocument/2006/relationships/hyperlink" Target="https://doi.org/10.1108/01437721211212538" TargetMode="External"/><Relationship Id="rId65" Type="http://schemas.openxmlformats.org/officeDocument/2006/relationships/hyperlink" Target="https://doi.org/10.1057/9780230295186_5"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86/720981" TargetMode="External"/><Relationship Id="rId39" Type="http://schemas.openxmlformats.org/officeDocument/2006/relationships/hyperlink" Target="https://www.ilo.org/publications/youth-covid-19-impacts-jobs-education-rights-and-mental-well-being" TargetMode="External"/><Relationship Id="rId34" Type="http://schemas.openxmlformats.org/officeDocument/2006/relationships/hyperlink" Target="https://doi.org/10.32609/0042-8736-2020-11-5-31" TargetMode="External"/><Relationship Id="rId50" Type="http://schemas.openxmlformats.org/officeDocument/2006/relationships/hyperlink" Target="https://doi.org/10.17323/1813-8691-2021-25-3-403-422" TargetMode="External"/><Relationship Id="rId55" Type="http://schemas.openxmlformats.org/officeDocument/2006/relationships/hyperlink" Target="https://doi.org/10.1007/s10775-023-09635-6" TargetMode="External"/><Relationship Id="rId7" Type="http://schemas.openxmlformats.org/officeDocument/2006/relationships/image" Target="media/image1.png"/><Relationship Id="rId71" Type="http://schemas.openxmlformats.org/officeDocument/2006/relationships/hyperlink" Target="https://doi.org/10.17323/1814-9545-2022-4-154-18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osstat.gov.ru/storage/mediabank/Trud_3_15-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9746</Words>
  <Characters>55556</Characters>
  <Application>Microsoft Office Word</Application>
  <DocSecurity>0</DocSecurity>
  <Lines>462</Lines>
  <Paragraphs>130</Paragraphs>
  <ScaleCrop>false</ScaleCrop>
  <Company/>
  <LinksUpToDate>false</LinksUpToDate>
  <CharactersWithSpaces>65172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Non-Cognitive Skills Affect Employment of Youth During the School-to-Work Transition?</dc:title>
  <dc:creator>Garen Avanesian</dc:creator>
  <cp:keywords>non-cognitive skills, school-to-work transition, human capital, big five personality traits, socio-economic status, mixed-effects models</cp:keywords>
  <cp:lastModifiedBy>Karen Avanesian</cp:lastModifiedBy>
  <cp:revision>2</cp:revision>
  <dcterms:created xsi:type="dcterms:W3CDTF">2025-04-18T14:51:00Z</dcterms:created>
  <dcterms:modified xsi:type="dcterms:W3CDTF">2025-04-18T14:57:00Z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study investigates the impact of non-cognitive skills on the probability of employment among youth aged 15-29 during school-to-work transition in Russia. Using data from the Russian Longitudinal Monitoring Survey, it employs a mixed-effects model approach to examine whether the effect of non-cognitive skills on employment varies by gender, income group at the beginning of transition (15-16 years old), and completed level of education. The results show that conscientiousness and extraversion play a significant role in facilitating successful transition to employment among young people. However, the effects of these skills are heterogeneous, with different cohorts having different benefits from them. The study concludes with policy implications for promoting the development of non-cognitive skills among Russian youth to improve their employment prospects.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style">
    <vt:lpwstr>bwl-FU</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sl">
    <vt:lpwstr>apa-with-abstract.csl</vt:lpwstr>
  </property>
  <property fmtid="{D5CDD505-2E9C-101B-9397-08002B2CF9AE}" pid="11" name="geometry">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