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45a0eea2d94f53" /><Relationship Type="http://schemas.openxmlformats.org/package/2006/relationships/metadata/core-properties" Target="/docProps/core.xml" Id="Rb8465d15bff440a8" /><Relationship Type="http://schemas.openxmlformats.org/officeDocument/2006/relationships/extended-properties" Target="/docProps/app.xml" Id="R142bdaa40b524032" /><Relationship Type="http://schemas.openxmlformats.org/officeDocument/2006/relationships/custom-properties" Target="/docProps/custom.xml" Id="R1cf94cbe964d4b9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</w:rPr>
        <w:t xml:space="preserve">Classic Models — Sales Dashboard Report</w:t>
      </w:r>
    </w:p>
    <w:p w14:paraId="00100002" w14:textId="00100003">
      <w:pPr>
        <w:spacing w:after="80"/>
        <w:jc w:val="center"/>
      </w:pPr>
      <w:r>
        <w:rPr>
          <w:color w:val="57606A"/>
          <w:sz w:val="22"/>
        </w:rPr>
        <w:t xml:space="preserve">Period: January 2003 – May 2005  |  Source: 8 CSV Tables  |  Total Revenue: $9.60M</w:t>
      </w:r>
    </w:p>
    <w:p w14:paraId="00100004" w14:textId="00100005">
      <w:pPr>
        <w:spacing w:after="400"/>
        <w:jc w:val="center"/>
      </w:pPr>
      <w:r>
        <w:rPr>
          <w:color w:val="57606A"/>
          <w:sz w:val="22"/>
        </w:rPr>
        <w:t xml:space="preserve">Prepared by: Ganesh — Classic Models Analytics Project</w:t>
      </w:r>
    </w:p>
    <w:p w14:paraId="00100006" w14:textId="00100007">
      <w:pPr>
        <w:pStyle w:val="Heading1"/>
        <w:spacing w:before="280" w:after="160"/>
      </w:pPr>
      <w:r>
        <w:rPr>
          <w:b/>
        </w:rPr>
        <w:t xml:space="preserve">1. Executive Summary</w:t>
      </w:r>
    </w:p>
    <w:p w14:paraId="00100008" w14:textId="00100009">
      <w:pPr>
        <w:spacing w:after="160"/>
      </w:pPr>
      <w:r>
        <w:rPr>
          <w:sz w:val="22"/>
        </w:rPr>
        <w:t xml:space="preserve">Classic Models is a toy-car distributor operating across 21 countries with 7 global offices. This report analyses sales performance from January 2003 to May 2005, covering 326 customer orders, 122 active customers, 110 products across 7 product lines, and 23 employees. Total order-line revenue reached $9.60M with $8.85M collected in payments.</w:t>
      </w:r>
    </w:p>
    <w:p w14:paraId="0010000A" w14:textId="0010000B">
      <w:pPr>
        <w:spacing w:after="280"/>
      </w:pPr>
      <w:r>
        <w:rPr>
          <w:sz w:val="22"/>
        </w:rPr>
        <w:t xml:space="preserve">Key highlights: Classic Cars dominates at $3.85M (40% of revenue). November 2003 and November 2004 were peak months exceeding $980K each. The top two customers account for over 14% of all payments. Order fulfilment is strong at 92.9% shipped.</w:t>
      </w:r>
    </w:p>
    <w:p w14:paraId="0010000C" w14:textId="0010000D">
      <w:pPr>
        <w:pStyle w:val="Heading1"/>
        <w:spacing w:before="280" w:after="160"/>
      </w:pPr>
      <w:r>
        <w:rPr>
          <w:b/>
        </w:rPr>
        <w:t xml:space="preserve">2. Key Performance Indicators</w:t>
      </w:r>
    </w:p>
    <w:p w14:paraId="0010000E" w14:textId="0010000F">
      <w:pPr>
        <w:spacing w:after="40"/>
      </w:pPr>
      <w:r>
        <w:rPr>
          <w:b/>
          <w:sz w:val="22"/>
        </w:rPr>
        <w:t xml:space="preserve">KPI | Value | Notes</w:t>
      </w:r>
    </w:p>
    <w:p w14:paraId="00100010" w14:textId="00100011">
      <w:pPr>
        <w:spacing w:after="40"/>
      </w:pPr>
      <w:r>
        <w:rPr>
          <w:sz w:val="22"/>
        </w:rPr>
        <w:t xml:space="preserve">Total Revenue | $9,604,190.61 | Sum of quantityOrdered x priceEach across all order lines</w:t>
      </w:r>
    </w:p>
    <w:p w14:paraId="00100012" w14:textId="00100013">
      <w:pPr>
        <w:spacing w:after="40"/>
      </w:pPr>
      <w:r>
        <w:rPr>
          <w:sz w:val="22"/>
        </w:rPr>
        <w:t xml:space="preserve">Total Payments Received | $8,853,839.23 | 273 payment transactions from 122 customers</w:t>
      </w:r>
    </w:p>
    <w:p w14:paraId="00100014" w14:textId="00100015">
      <w:pPr>
        <w:spacing w:after="40"/>
      </w:pPr>
      <w:r>
        <w:rPr>
          <w:sz w:val="22"/>
        </w:rPr>
        <w:t xml:space="preserve">Total Orders | 326 | Spanning Jan 2003 to May 2005</w:t>
      </w:r>
    </w:p>
    <w:p w14:paraId="00100016" w14:textId="00100017">
      <w:pPr>
        <w:spacing w:after="40"/>
      </w:pPr>
      <w:r>
        <w:rPr>
          <w:sz w:val="22"/>
        </w:rPr>
        <w:t xml:space="preserve">Order Shipped Rate | 92.9% | 303 of 326 orders successfully shipped</w:t>
      </w:r>
    </w:p>
    <w:p w14:paraId="00100018" w14:textId="00100019">
      <w:pPr>
        <w:spacing w:after="40"/>
      </w:pPr>
      <w:r>
        <w:rPr>
          <w:sz w:val="22"/>
        </w:rPr>
        <w:t xml:space="preserve">Total Customers | 122 | Across 21 countries</w:t>
      </w:r>
    </w:p>
    <w:p w14:paraId="0010001A" w14:textId="0010001B">
      <w:pPr>
        <w:spacing w:after="40"/>
      </w:pPr>
      <w:r>
        <w:rPr>
          <w:sz w:val="22"/>
        </w:rPr>
        <w:t xml:space="preserve">Total Products | 110 | Across 7 product lines</w:t>
      </w:r>
    </w:p>
    <w:p w14:paraId="0010001C" w14:textId="0010001D">
      <w:pPr>
        <w:spacing w:after="40"/>
      </w:pPr>
      <w:r>
        <w:rPr>
          <w:sz w:val="22"/>
        </w:rPr>
        <w:t xml:space="preserve">Total Employees | 23 | Across 7 offices globally</w:t>
      </w:r>
    </w:p>
    <w:p w14:paraId="0010001E" w14:textId="0010001F">
      <w:pPr>
        <w:spacing w:after="40"/>
      </w:pPr>
      <w:r>
        <w:rPr>
          <w:sz w:val="22"/>
        </w:rPr>
        <w:t xml:space="preserve">Average Order Value | ~$29,455 | Total revenue divided by 326 orders</w:t>
      </w:r>
    </w:p>
    <w:p w14:paraId="00100020" w14:textId="00100021">
      <w:pPr>
        <w:spacing w:after="40"/>
      </w:pPr>
      <w:r>
        <w:rPr>
          <w:sz w:val="22"/>
        </w:rPr>
        <w:t xml:space="preserve">Total Units Sold | 105,516 | Sum of quantityOrdered across all order lines</w:t>
      </w:r>
    </w:p>
    <w:p w14:paraId="00100022" w14:textId="00100023">
      <w:pPr>
        <w:spacing w:after="280"/>
      </w:pPr>
      <w:r>
        <w:rPr>
          <w:sz w:val="22"/>
        </w:rPr>
        <w:t xml:space="preserve">Avg Customer Credit Limit | $67,659 | Based on 122 customer records</w:t>
      </w:r>
    </w:p>
    <w:p w14:paraId="00100024" w14:textId="00100025">
      <w:pPr>
        <w:pStyle w:val="Heading1"/>
        <w:spacing w:before="280" w:after="160"/>
      </w:pPr>
      <w:r>
        <w:rPr>
          <w:b/>
        </w:rPr>
        <w:t xml:space="preserve">3. Revenue Analysis</w:t>
      </w:r>
    </w:p>
    <w:p w14:paraId="00100026" w14:textId="00100027">
      <w:pPr>
        <w:pStyle w:val="Heading2"/>
        <w:spacing w:before="200" w:after="120"/>
      </w:pPr>
      <w:r>
        <w:rPr>
          <w:b/>
        </w:rPr>
        <w:t xml:space="preserve">3.1 Revenue by Product Line</w:t>
      </w:r>
    </w:p>
    <w:p w14:paraId="00100028" w14:textId="00100029">
      <w:pPr>
        <w:spacing w:after="160"/>
      </w:pPr>
      <w:r>
        <w:rPr>
          <w:sz w:val="22"/>
        </w:rPr>
        <w:t xml:space="preserve">Classic Cars is the dominant category representing 40% of total revenue. Vintage Cars and Motorcycles follow as the next largest segments. Trains is the smallest line at under 2% of revenue.</w:t>
      </w:r>
    </w:p>
    <w:p w14:paraId="0010002A" w14:textId="0010002B">
      <w:pPr>
        <w:spacing w:after="40"/>
      </w:pPr>
      <w:r>
        <w:rPr>
          <w:b/>
          <w:sz w:val="22"/>
        </w:rPr>
        <w:t xml:space="preserve">Product Line | Revenue ($) | Units Sold | Revenue Share (%)</w:t>
      </w:r>
    </w:p>
    <w:p w14:paraId="0010002C" w14:textId="0010002D">
      <w:pPr>
        <w:spacing w:after="40"/>
      </w:pPr>
      <w:r>
        <w:rPr>
          <w:sz w:val="22"/>
        </w:rPr>
        <w:t xml:space="preserve">Classic Cars | $3,853,922.49 | 35,582 | 40.1%</w:t>
      </w:r>
    </w:p>
    <w:p w14:paraId="0010002E" w14:textId="0010002F">
      <w:pPr>
        <w:spacing w:after="40"/>
      </w:pPr>
      <w:r>
        <w:rPr>
          <w:sz w:val="22"/>
        </w:rPr>
        <w:t xml:space="preserve">Vintage Cars | $1,797,559.63 | 22,933 | 18.7%</w:t>
      </w:r>
    </w:p>
    <w:p w14:paraId="00100030" w14:textId="00100031">
      <w:pPr>
        <w:spacing w:after="40"/>
      </w:pPr>
      <w:r>
        <w:rPr>
          <w:sz w:val="22"/>
        </w:rPr>
        <w:t xml:space="preserve">Motorcycles | $1,121,426.12 | 12,778 | 11.7%</w:t>
      </w:r>
    </w:p>
    <w:p w14:paraId="00100032" w14:textId="00100033">
      <w:pPr>
        <w:spacing w:after="40"/>
      </w:pPr>
      <w:r>
        <w:rPr>
          <w:sz w:val="22"/>
        </w:rPr>
        <w:t xml:space="preserve">Trucks and Buses | $1,024,113.57 | 11,001 | 10.7%</w:t>
      </w:r>
    </w:p>
    <w:p w14:paraId="00100034" w14:textId="00100035">
      <w:pPr>
        <w:spacing w:after="40"/>
      </w:pPr>
      <w:r>
        <w:rPr>
          <w:sz w:val="22"/>
        </w:rPr>
        <w:t xml:space="preserve">Planes | $954,637.54 | 11,872 | 9.9%</w:t>
      </w:r>
    </w:p>
    <w:p w14:paraId="00100036" w14:textId="00100037">
      <w:pPr>
        <w:spacing w:after="40"/>
      </w:pPr>
      <w:r>
        <w:rPr>
          <w:sz w:val="22"/>
        </w:rPr>
        <w:t xml:space="preserve">Ships | $663,998.34 | 8,532 | 6.9%</w:t>
      </w:r>
    </w:p>
    <w:p w14:paraId="00100038" w14:textId="00100039">
      <w:pPr>
        <w:spacing w:after="40"/>
      </w:pPr>
      <w:r>
        <w:rPr>
          <w:sz w:val="22"/>
        </w:rPr>
        <w:t xml:space="preserve">Trains | $188,532.92 | 2,818 | 2.0%</w:t>
      </w:r>
    </w:p>
    <w:p w14:paraId="0010003A" w14:textId="0010003B">
      <w:pPr>
        <w:spacing w:after="200"/>
      </w:pPr>
      <w:r>
        <w:rPr>
          <w:b/>
          <w:sz w:val="22"/>
        </w:rPr>
        <w:t xml:space="preserve">TOTAL | $9,604,190.61 | 105,516 | 100%</w:t>
      </w:r>
    </w:p>
    <w:p w14:paraId="0010003C" w14:textId="0010003D">
      <w:pPr>
        <w:pStyle w:val="Heading2"/>
        <w:spacing w:before="200" w:after="120"/>
      </w:pPr>
      <w:r>
        <w:rPr>
          <w:b/>
        </w:rPr>
        <w:t xml:space="preserve">3.2 Annual Revenue Summary</w:t>
      </w:r>
    </w:p>
    <w:p w14:paraId="0010003E" w14:textId="0010003F">
      <w:pPr>
        <w:spacing w:after="160"/>
      </w:pPr>
      <w:r>
        <w:rPr>
          <w:sz w:val="22"/>
        </w:rPr>
        <w:t xml:space="preserve">Revenue grew 38% from 2003 to 2004. The 2005 figures cover only January through May; the annualised run-rate is approximately $4.25M, consistent with 2004 full-year performance.</w:t>
      </w:r>
    </w:p>
    <w:p w14:paraId="00100040" w14:textId="00100041">
      <w:pPr>
        <w:spacing w:after="40"/>
      </w:pPr>
      <w:r>
        <w:rPr>
          <w:b/>
          <w:sz w:val="22"/>
        </w:rPr>
        <w:t xml:space="preserve">Year | Total Revenue ($) | Payments ($) | YoY Growth</w:t>
      </w:r>
    </w:p>
    <w:p w14:paraId="00100042" w14:textId="00100043">
      <w:pPr>
        <w:spacing w:after="40"/>
      </w:pPr>
      <w:r>
        <w:rPr>
          <w:sz w:val="22"/>
        </w:rPr>
        <w:t xml:space="preserve">2003 | $3,317,348.44 | $3,250,217.70 | —</w:t>
      </w:r>
    </w:p>
    <w:p w14:paraId="00100044" w14:textId="00100045">
      <w:pPr>
        <w:spacing w:after="40"/>
      </w:pPr>
      <w:r>
        <w:rPr>
          <w:sz w:val="22"/>
        </w:rPr>
        <w:t xml:space="preserve">2004 | $4,583,706.60 | $4,313,328.25 | +38.2%</w:t>
      </w:r>
    </w:p>
    <w:p w14:paraId="00100046" w14:textId="00100047">
      <w:pPr>
        <w:spacing w:after="200"/>
      </w:pPr>
      <w:r>
        <w:rPr>
          <w:sz w:val="22"/>
        </w:rPr>
        <w:t xml:space="preserve">2005 (Jan–May) | $1,771,135.71 | $1,290,293.28 | Partial year</w:t>
      </w:r>
    </w:p>
    <w:p w14:paraId="00100048" w14:textId="00100049">
      <w:pPr>
        <w:pStyle w:val="Heading2"/>
        <w:spacing w:before="200" w:after="120"/>
      </w:pPr>
      <w:r>
        <w:rPr>
          <w:b/>
        </w:rPr>
        <w:t xml:space="preserve">3.3 Peak Months</w:t>
      </w:r>
    </w:p>
    <w:p w14:paraId="0010004A" w14:textId="0010004B">
      <w:pPr>
        <w:spacing w:after="280"/>
      </w:pPr>
      <w:r>
        <w:rPr>
          <w:sz w:val="22"/>
        </w:rPr>
        <w:t xml:space="preserve">November is consistently the highest revenue month — $988K in Nov 2003 and $979K in Nov 2004. This reflects year-end bulk purchasing by distributors. October also shows a significant spike each year, with both months together contributing over 15% of annual revenue.</w:t>
      </w:r>
    </w:p>
    <w:p w14:paraId="0010004C" w14:textId="0010004D">
      <w:pPr>
        <w:pStyle w:val="Heading1"/>
        <w:spacing w:before="280" w:after="160"/>
      </w:pPr>
      <w:r>
        <w:rPr>
          <w:b/>
        </w:rPr>
        <w:t xml:space="preserve">4. Top Products</w:t>
      </w:r>
    </w:p>
    <w:p w14:paraId="0010004E" w14:textId="0010004F">
      <w:pPr>
        <w:spacing w:after="160"/>
      </w:pPr>
      <w:r>
        <w:rPr>
          <w:sz w:val="22"/>
        </w:rPr>
        <w:t xml:space="preserve">The top 10 products by order-line revenue are listed below. Ferrari and Ford models dominate, all from the Classic Cars line. The top product — the 1992 Ferrari 360 Spider red — alone generated $276,840.</w:t>
      </w:r>
    </w:p>
    <w:p w14:paraId="00100050" w14:textId="00100051">
      <w:pPr>
        <w:spacing w:after="40"/>
      </w:pPr>
      <w:r>
        <w:rPr>
          <w:b/>
          <w:sz w:val="22"/>
        </w:rPr>
        <w:t xml:space="preserve">Rank | Product Name | Line | Revenue ($)</w:t>
      </w:r>
    </w:p>
    <w:p w14:paraId="00100052" w14:textId="00100053">
      <w:pPr>
        <w:spacing w:after="40"/>
      </w:pPr>
      <w:r>
        <w:rPr>
          <w:sz w:val="22"/>
        </w:rPr>
        <w:t xml:space="preserve">1 | 1992 Ferrari 360 Spider red | Classic Cars | $276,839.98</w:t>
      </w:r>
    </w:p>
    <w:p w14:paraId="00100054" w14:textId="00100055">
      <w:pPr>
        <w:spacing w:after="40"/>
      </w:pPr>
      <w:r>
        <w:rPr>
          <w:sz w:val="22"/>
        </w:rPr>
        <w:t xml:space="preserve">2 | 2001 Ferrari Enzo | Classic Cars | $190,755.86</w:t>
      </w:r>
    </w:p>
    <w:p w14:paraId="00100056" w14:textId="00100057">
      <w:pPr>
        <w:spacing w:after="40"/>
      </w:pPr>
      <w:r>
        <w:rPr>
          <w:sz w:val="22"/>
        </w:rPr>
        <w:t xml:space="preserve">3 | 1952 Alpine Renault 1300 | Classic Cars | $190,017.96</w:t>
      </w:r>
    </w:p>
    <w:p w14:paraId="00100058" w14:textId="00100059">
      <w:pPr>
        <w:spacing w:after="40"/>
      </w:pPr>
      <w:r>
        <w:rPr>
          <w:sz w:val="22"/>
        </w:rPr>
        <w:t xml:space="preserve">4 | 2003 Harley-Davidson Eagle Drag Bike | Motorcycles | $170,686.00</w:t>
      </w:r>
    </w:p>
    <w:p w14:paraId="0010005A" w14:textId="0010005B">
      <w:pPr>
        <w:spacing w:after="40"/>
      </w:pPr>
      <w:r>
        <w:rPr>
          <w:sz w:val="22"/>
        </w:rPr>
        <w:t xml:space="preserve">5 | 1968 Ford Mustang | Classic Cars | $161,531.48</w:t>
      </w:r>
    </w:p>
    <w:p w14:paraId="0010005C" w14:textId="0010005D">
      <w:pPr>
        <w:spacing w:after="40"/>
      </w:pPr>
      <w:r>
        <w:rPr>
          <w:sz w:val="22"/>
        </w:rPr>
        <w:t xml:space="preserve">6 | 1969 Ford Falcon | Classic Cars | $152,543.02</w:t>
      </w:r>
    </w:p>
    <w:p w14:paraId="0010005E" w14:textId="0010005F">
      <w:pPr>
        <w:spacing w:after="40"/>
      </w:pPr>
      <w:r>
        <w:rPr>
          <w:sz w:val="22"/>
        </w:rPr>
        <w:t xml:space="preserve">7 | 1980s Black Hawk Helicopter | Planes | $144,959.91</w:t>
      </w:r>
    </w:p>
    <w:p w14:paraId="00100060" w14:textId="00100061">
      <w:pPr>
        <w:spacing w:after="40"/>
      </w:pPr>
      <w:r>
        <w:rPr>
          <w:sz w:val="22"/>
        </w:rPr>
        <w:t xml:space="preserve">8 | 1998 Chrysler Plymouth Prowler | Classic Cars | $142,530.63</w:t>
      </w:r>
    </w:p>
    <w:p w14:paraId="00100062" w14:textId="00100063">
      <w:pPr>
        <w:spacing w:after="40"/>
      </w:pPr>
      <w:r>
        <w:rPr>
          <w:sz w:val="22"/>
        </w:rPr>
        <w:t xml:space="preserve">9 | 1917 Grand Touring Sedan | Vintage Cars | $140,535.60</w:t>
      </w:r>
    </w:p>
    <w:p w14:paraId="00100064" w14:textId="00100065">
      <w:pPr>
        <w:spacing w:after="280"/>
      </w:pPr>
      <w:r>
        <w:rPr>
          <w:sz w:val="22"/>
        </w:rPr>
        <w:t xml:space="preserve">10 | 2002 Suzuki XREO | Motorcycles | $135,767.03</w:t>
      </w:r>
    </w:p>
    <w:p w14:paraId="00100066" w14:textId="00100067">
      <w:pPr>
        <w:pStyle w:val="Heading1"/>
        <w:spacing w:before="280" w:after="160"/>
      </w:pPr>
      <w:r>
        <w:rPr>
          <w:b/>
        </w:rPr>
        <w:t xml:space="preserve">5. Customer Analysis</w:t>
      </w:r>
    </w:p>
    <w:p w14:paraId="00100068" w14:textId="00100069">
      <w:pPr>
        <w:pStyle w:val="Heading2"/>
        <w:spacing w:before="200" w:after="120"/>
      </w:pPr>
      <w:r>
        <w:rPr>
          <w:b/>
        </w:rPr>
        <w:t xml:space="preserve">5.1 Top 10 Customers by Total Payments</w:t>
      </w:r>
    </w:p>
    <w:p w14:paraId="0010006A" w14:textId="0010006B">
      <w:pPr>
        <w:spacing w:after="160"/>
      </w:pPr>
      <w:r>
        <w:rPr>
          <w:sz w:val="22"/>
        </w:rPr>
        <w:t xml:space="preserve">Two customers — Euro+ Shopping Channel and Mini Gifts Distributors Ltd. — far outpace the rest, together accounting for $1.30M or 14.7% of all payments.</w:t>
      </w:r>
    </w:p>
    <w:p w14:paraId="0010006C" w14:textId="0010006D">
      <w:pPr>
        <w:spacing w:after="40"/>
      </w:pPr>
      <w:r>
        <w:rPr>
          <w:b/>
          <w:sz w:val="22"/>
        </w:rPr>
        <w:t xml:space="preserve">Rank | Customer Name | Total Payments ($)</w:t>
      </w:r>
    </w:p>
    <w:p w14:paraId="0010006E" w14:textId="0010006F">
      <w:pPr>
        <w:spacing w:after="40"/>
      </w:pPr>
      <w:r>
        <w:rPr>
          <w:sz w:val="22"/>
        </w:rPr>
        <w:t xml:space="preserve">1 | Euro+ Shopping Channel | $715,738.98</w:t>
      </w:r>
    </w:p>
    <w:p w14:paraId="00100070" w14:textId="00100071">
      <w:pPr>
        <w:spacing w:after="40"/>
      </w:pPr>
      <w:r>
        <w:rPr>
          <w:sz w:val="22"/>
        </w:rPr>
        <w:t xml:space="preserve">2 | Mini Gifts Distributors Ltd. | $584,188.24</w:t>
      </w:r>
    </w:p>
    <w:p w14:paraId="00100072" w14:textId="00100073">
      <w:pPr>
        <w:spacing w:after="40"/>
      </w:pPr>
      <w:r>
        <w:rPr>
          <w:sz w:val="22"/>
        </w:rPr>
        <w:t xml:space="preserve">3 | Australian Collectors, Co. | $180,585.07</w:t>
      </w:r>
    </w:p>
    <w:p w14:paraId="00100074" w14:textId="00100075">
      <w:pPr>
        <w:spacing w:after="40"/>
      </w:pPr>
      <w:r>
        <w:rPr>
          <w:sz w:val="22"/>
        </w:rPr>
        <w:t xml:space="preserve">4 | Muscle Machine Inc | $177,913.95</w:t>
      </w:r>
    </w:p>
    <w:p w14:paraId="00100076" w14:textId="00100077">
      <w:pPr>
        <w:spacing w:after="40"/>
      </w:pPr>
      <w:r>
        <w:rPr>
          <w:sz w:val="22"/>
        </w:rPr>
        <w:t xml:space="preserve">5 | Dragon Souveniers, Ltd. | $156,251.03</w:t>
      </w:r>
    </w:p>
    <w:p w14:paraId="00100078" w14:textId="00100079">
      <w:pPr>
        <w:spacing w:after="40"/>
      </w:pPr>
      <w:r>
        <w:rPr>
          <w:sz w:val="22"/>
        </w:rPr>
        <w:t xml:space="preserve">6 | Down Under Souveniers, Inc | $154,622.08</w:t>
      </w:r>
    </w:p>
    <w:p w14:paraId="0010007A" w14:textId="0010007B">
      <w:pPr>
        <w:spacing w:after="40"/>
      </w:pPr>
      <w:r>
        <w:rPr>
          <w:sz w:val="22"/>
        </w:rPr>
        <w:t xml:space="preserve">7 | AV Stores, Co. | $148,410.09</w:t>
      </w:r>
    </w:p>
    <w:p w14:paraId="0010007C" w14:textId="0010007D">
      <w:pPr>
        <w:spacing w:after="40"/>
      </w:pPr>
      <w:r>
        <w:rPr>
          <w:sz w:val="22"/>
        </w:rPr>
        <w:t xml:space="preserve">8 | Anna's Decorations, Ltd | $137,034.22</w:t>
      </w:r>
    </w:p>
    <w:p w14:paraId="0010007E" w14:textId="0010007F">
      <w:pPr>
        <w:spacing w:after="40"/>
      </w:pPr>
      <w:r>
        <w:rPr>
          <w:sz w:val="22"/>
        </w:rPr>
        <w:t xml:space="preserve">9 | Corporate Gift Ideas Co. | $132,340.78</w:t>
      </w:r>
    </w:p>
    <w:p w14:paraId="00100080" w14:textId="00100081">
      <w:pPr>
        <w:spacing w:after="200"/>
      </w:pPr>
      <w:r>
        <w:rPr>
          <w:sz w:val="22"/>
        </w:rPr>
        <w:t xml:space="preserve">10 | Saveley and Henriot, Co. | $130,305.35</w:t>
      </w:r>
    </w:p>
    <w:p w14:paraId="00100082" w14:textId="00100083">
      <w:pPr>
        <w:pStyle w:val="Heading2"/>
        <w:spacing w:before="200" w:after="120"/>
      </w:pPr>
      <w:r>
        <w:rPr>
          <w:b/>
        </w:rPr>
        <w:t xml:space="preserve">5.2 Customer Distribution by Country</w:t>
      </w:r>
    </w:p>
    <w:p w14:paraId="00100084" w14:textId="00100085">
      <w:pPr>
        <w:spacing w:after="160"/>
      </w:pPr>
      <w:r>
        <w:rPr>
          <w:sz w:val="22"/>
        </w:rPr>
        <w:t xml:space="preserve">The USA is the largest customer market with 36 customers (29.5%), followed by Germany (13) and France (12). Together these three countries account for over 50% of the customer base.</w:t>
      </w:r>
    </w:p>
    <w:p w14:paraId="00100086" w14:textId="00100087">
      <w:pPr>
        <w:spacing w:after="40"/>
      </w:pPr>
      <w:r>
        <w:rPr>
          <w:b/>
          <w:sz w:val="22"/>
        </w:rPr>
        <w:t xml:space="preserve">Country | Customers | Share (%)</w:t>
      </w:r>
    </w:p>
    <w:p w14:paraId="00100088" w14:textId="00100089">
      <w:pPr>
        <w:spacing w:after="40"/>
      </w:pPr>
      <w:r>
        <w:rPr>
          <w:sz w:val="22"/>
        </w:rPr>
        <w:t xml:space="preserve">USA | 36 | 29.5%</w:t>
      </w:r>
    </w:p>
    <w:p w14:paraId="0010008A" w14:textId="0010008B">
      <w:pPr>
        <w:spacing w:after="40"/>
      </w:pPr>
      <w:r>
        <w:rPr>
          <w:sz w:val="22"/>
        </w:rPr>
        <w:t xml:space="preserve">Germany | 13 | 10.7%</w:t>
      </w:r>
    </w:p>
    <w:p w14:paraId="0010008C" w14:textId="0010008D">
      <w:pPr>
        <w:spacing w:after="40"/>
      </w:pPr>
      <w:r>
        <w:rPr>
          <w:sz w:val="22"/>
        </w:rPr>
        <w:t xml:space="preserve">France | 12 | 9.8%</w:t>
      </w:r>
    </w:p>
    <w:p w14:paraId="0010008E" w14:textId="0010008F">
      <w:pPr>
        <w:spacing w:after="40"/>
      </w:pPr>
      <w:r>
        <w:rPr>
          <w:sz w:val="22"/>
        </w:rPr>
        <w:t xml:space="preserve">Spain | 7 | 5.7%</w:t>
      </w:r>
    </w:p>
    <w:p w14:paraId="00100090" w14:textId="00100091">
      <w:pPr>
        <w:spacing w:after="40"/>
      </w:pPr>
      <w:r>
        <w:rPr>
          <w:sz w:val="22"/>
        </w:rPr>
        <w:t xml:space="preserve">Australia | 5 | 4.1%</w:t>
      </w:r>
    </w:p>
    <w:p w14:paraId="00100092" w14:textId="00100093">
      <w:pPr>
        <w:spacing w:after="40"/>
      </w:pPr>
      <w:r>
        <w:rPr>
          <w:sz w:val="22"/>
        </w:rPr>
        <w:t xml:space="preserve">UK | 5 | 4.1%</w:t>
      </w:r>
    </w:p>
    <w:p w14:paraId="00100094" w14:textId="00100095">
      <w:pPr>
        <w:spacing w:after="40"/>
      </w:pPr>
      <w:r>
        <w:rPr>
          <w:sz w:val="22"/>
        </w:rPr>
        <w:t xml:space="preserve">Italy | 4 | 3.3%</w:t>
      </w:r>
    </w:p>
    <w:p w14:paraId="00100096" w14:textId="00100097">
      <w:pPr>
        <w:spacing w:after="40"/>
      </w:pPr>
      <w:r>
        <w:rPr>
          <w:sz w:val="22"/>
        </w:rPr>
        <w:t xml:space="preserve">New Zealand | 4 | 3.3%</w:t>
      </w:r>
    </w:p>
    <w:p w14:paraId="00100098" w14:textId="00100099">
      <w:pPr>
        <w:spacing w:after="40"/>
      </w:pPr>
      <w:r>
        <w:rPr>
          <w:sz w:val="22"/>
        </w:rPr>
        <w:t xml:space="preserve">Finland | 3 | 2.5%</w:t>
      </w:r>
    </w:p>
    <w:p w14:paraId="0010009A" w14:textId="0010009B">
      <w:pPr>
        <w:spacing w:after="280"/>
      </w:pPr>
      <w:r>
        <w:rPr>
          <w:sz w:val="22"/>
        </w:rPr>
        <w:t xml:space="preserve">Switzerland | 3 | 2.5%</w:t>
      </w:r>
    </w:p>
    <w:p w14:paraId="0010009C" w14:textId="0010009D">
      <w:pPr>
        <w:pStyle w:val="Heading1"/>
        <w:spacing w:before="280" w:after="160"/>
      </w:pPr>
      <w:r>
        <w:rPr>
          <w:b/>
        </w:rPr>
        <w:t xml:space="preserve">6. Order Status Breakdown</w:t>
      </w:r>
    </w:p>
    <w:p w14:paraId="0010009E" w14:textId="0010009F">
      <w:pPr>
        <w:spacing w:after="160"/>
      </w:pPr>
      <w:r>
        <w:rPr>
          <w:sz w:val="22"/>
        </w:rPr>
        <w:t xml:space="preserve">The vast majority of orders (92.9%) were successfully shipped. A small number were cancelled, on hold, disputed, or in process — all within normal operational ranges.</w:t>
      </w:r>
    </w:p>
    <w:p w14:paraId="001000A0" w14:textId="001000A1">
      <w:pPr>
        <w:spacing w:after="40"/>
      </w:pPr>
      <w:r>
        <w:rPr>
          <w:b/>
          <w:sz w:val="22"/>
        </w:rPr>
        <w:t xml:space="preserve">Status | Order Count | Share (%)</w:t>
      </w:r>
    </w:p>
    <w:p w14:paraId="001000A2" w14:textId="001000A3">
      <w:pPr>
        <w:spacing w:after="40"/>
      </w:pPr>
      <w:r>
        <w:rPr>
          <w:sz w:val="22"/>
        </w:rPr>
        <w:t xml:space="preserve">Shipped | 303 | 92.9%</w:t>
      </w:r>
    </w:p>
    <w:p w14:paraId="001000A4" w14:textId="001000A5">
      <w:pPr>
        <w:spacing w:after="40"/>
      </w:pPr>
      <w:r>
        <w:rPr>
          <w:sz w:val="22"/>
        </w:rPr>
        <w:t xml:space="preserve">In Process | 6 | 1.8%</w:t>
      </w:r>
    </w:p>
    <w:p w14:paraId="001000A6" w14:textId="001000A7">
      <w:pPr>
        <w:spacing w:after="40"/>
      </w:pPr>
      <w:r>
        <w:rPr>
          <w:sz w:val="22"/>
        </w:rPr>
        <w:t xml:space="preserve">Cancelled | 6 | 1.8%</w:t>
      </w:r>
    </w:p>
    <w:p w14:paraId="001000A8" w14:textId="001000A9">
      <w:pPr>
        <w:spacing w:after="40"/>
      </w:pPr>
      <w:r>
        <w:rPr>
          <w:sz w:val="22"/>
        </w:rPr>
        <w:t xml:space="preserve">On Hold | 4 | 1.2%</w:t>
      </w:r>
    </w:p>
    <w:p w14:paraId="001000AA" w14:textId="001000AB">
      <w:pPr>
        <w:spacing w:after="40"/>
      </w:pPr>
      <w:r>
        <w:rPr>
          <w:sz w:val="22"/>
        </w:rPr>
        <w:t xml:space="preserve">Resolved | 4 | 1.2%</w:t>
      </w:r>
    </w:p>
    <w:p w14:paraId="001000AC" w14:textId="001000AD">
      <w:pPr>
        <w:spacing w:after="280"/>
      </w:pPr>
      <w:r>
        <w:rPr>
          <w:sz w:val="22"/>
        </w:rPr>
        <w:t xml:space="preserve">Disputed | 3 | 0.9%</w:t>
      </w:r>
    </w:p>
    <w:p w14:paraId="001000AE" w14:textId="001000AF">
      <w:pPr>
        <w:pStyle w:val="Heading1"/>
        <w:spacing w:before="280" w:after="160"/>
      </w:pPr>
      <w:r>
        <w:rPr>
          <w:b/>
        </w:rPr>
        <w:t xml:space="preserve">7. Data Quality Report</w:t>
      </w:r>
    </w:p>
    <w:p w14:paraId="001000B0" w14:textId="001000B1">
      <w:pPr>
        <w:spacing w:after="160"/>
      </w:pPr>
      <w:r>
        <w:rPr>
          <w:sz w:val="22"/>
        </w:rPr>
        <w:t xml:space="preserve">All 8 source CSV files were cleaned using clean_data.py before analysis. A total of 482 literal NULL strings were found and resolved. Numeric and date columns were cast to correct types, and 4 computed columns were added (lineTotal, margin, marginPct).</w:t>
      </w:r>
    </w:p>
    <w:p w14:paraId="001000B2" w14:textId="001000B3">
      <w:pPr>
        <w:spacing w:after="40"/>
      </w:pPr>
      <w:r>
        <w:rPr>
          <w:b/>
          <w:sz w:val="22"/>
        </w:rPr>
        <w:t xml:space="preserve">Table | Rows | NULL Strings (Raw) | Cleaning Actions</w:t>
      </w:r>
    </w:p>
    <w:p w14:paraId="001000B4" w14:textId="001000B5">
      <w:pPr>
        <w:spacing w:after="40"/>
      </w:pPr>
      <w:r>
        <w:rPr>
          <w:sz w:val="22"/>
        </w:rPr>
        <w:t xml:space="preserve">customers | 122 | 202 | Replace NULL in state, addressLine2; cast creditLimit, salesRepEmployeeNumber</w:t>
      </w:r>
    </w:p>
    <w:p w14:paraId="001000B6" w14:textId="001000B7">
      <w:pPr>
        <w:spacing w:after="40"/>
      </w:pPr>
      <w:r>
        <w:rPr>
          <w:sz w:val="22"/>
        </w:rPr>
        <w:t xml:space="preserve">employees | 23 | 1 | Replace NULL in reportsTo with NaN; cast to Int64</w:t>
      </w:r>
    </w:p>
    <w:p w14:paraId="001000B8" w14:textId="001000B9">
      <w:pPr>
        <w:spacing w:after="40"/>
      </w:pPr>
      <w:r>
        <w:rPr>
          <w:sz w:val="22"/>
        </w:rPr>
        <w:t xml:space="preserve">offices | 7 | 5 | Replace NULL in addressLine2, state with empty string</w:t>
      </w:r>
    </w:p>
    <w:p w14:paraId="001000BA" w14:textId="001000BB">
      <w:pPr>
        <w:spacing w:after="40"/>
      </w:pPr>
      <w:r>
        <w:rPr>
          <w:sz w:val="22"/>
        </w:rPr>
        <w:t xml:space="preserve">orders | 326 | 260 | shippedDate NULL to NaT; comments NULL to empty; cast dates to datetime</w:t>
      </w:r>
    </w:p>
    <w:p w14:paraId="001000BC" w14:textId="001000BD">
      <w:pPr>
        <w:spacing w:after="40"/>
      </w:pPr>
      <w:r>
        <w:rPr>
          <w:sz w:val="22"/>
        </w:rPr>
        <w:t xml:space="preserve">order details | 2,996 | 0 | Cast quantityOrdered, priceEach to numeric; added lineTotal column</w:t>
      </w:r>
    </w:p>
    <w:p w14:paraId="001000BE" w14:textId="001000BF">
      <w:pPr>
        <w:spacing w:after="40"/>
      </w:pPr>
      <w:r>
        <w:rPr>
          <w:sz w:val="22"/>
        </w:rPr>
        <w:t xml:space="preserve">payments | 273 | 0 | Cast paymentDate to datetime; cast amount to float</w:t>
      </w:r>
    </w:p>
    <w:p w14:paraId="001000C0" w14:textId="001000C1">
      <w:pPr>
        <w:spacing w:after="40"/>
      </w:pPr>
      <w:r>
        <w:rPr>
          <w:sz w:val="22"/>
        </w:rPr>
        <w:t xml:space="preserve">productlines | 7 | 14 | Replace NULL in htmlDescription, image with empty string</w:t>
      </w:r>
    </w:p>
    <w:p w14:paraId="001000C2" w14:textId="001000C3">
      <w:pPr>
        <w:spacing w:after="280"/>
      </w:pPr>
      <w:r>
        <w:rPr>
          <w:sz w:val="22"/>
        </w:rPr>
        <w:t xml:space="preserve">products | 110 | 0 | Cast buyPrice, MSRP to numeric; added margin and marginPct columns</w:t>
      </w:r>
    </w:p>
    <w:p w14:paraId="001000C4" w14:textId="001000C5">
      <w:pPr>
        <w:pStyle w:val="Heading1"/>
        <w:spacing w:before="280" w:after="160"/>
      </w:pPr>
      <w:r>
        <w:rPr>
          <w:b/>
        </w:rPr>
        <w:t xml:space="preserve">8. Recommendations</w:t>
      </w:r>
    </w:p>
    <w:p w14:paraId="001000C6" w14:textId="001000C7">
      <w:pPr>
        <w:spacing w:after="120"/>
      </w:pPr>
      <w:r>
        <w:rPr>
          <w:sz w:val="22"/>
        </w:rPr>
        <w:t xml:space="preserve">Based on the analysis, the following strategic recommendations are proposed:</w:t>
      </w:r>
    </w:p>
    <w:p w14:paraId="001000C8" w14:textId="001000C9">
      <w:pPr>
        <w:numPr>
          <w:ilvl w:val="0"/>
          <w:numId w:val="1"/>
        </w:numPr>
        <w:spacing w:after="80"/>
      </w:pPr>
      <w:r>
        <w:rPr>
          <w:sz w:val="22"/>
        </w:rPr>
        <w:t xml:space="preserve">Double down on Classic Cars: With 40% of revenue and 6 of the top 10 products, Classic Cars is the core business. Expanding this line could further accelerate growth.</w:t>
      </w:r>
    </w:p>
    <w:p w14:paraId="001000CA" w14:textId="001000CB">
      <w:pPr>
        <w:numPr>
          <w:ilvl w:val="0"/>
          <w:numId w:val="1"/>
        </w:numPr>
        <w:spacing w:after="80"/>
      </w:pPr>
      <w:r>
        <w:rPr>
          <w:sz w:val="22"/>
        </w:rPr>
        <w:t xml:space="preserve">Reduce customer concentration risk: Two customers represent 14.7% of all payments. Diversifying the top-customer base reduces business continuity risk.</w:t>
      </w:r>
    </w:p>
    <w:p w14:paraId="001000CC" w14:textId="001000CD">
      <w:pPr>
        <w:numPr>
          <w:ilvl w:val="0"/>
          <w:numId w:val="1"/>
        </w:numPr>
        <w:spacing w:after="80"/>
      </w:pPr>
      <w:r>
        <w:rPr>
          <w:sz w:val="22"/>
        </w:rPr>
        <w:t xml:space="preserve">Capitalise on November peaks: The consistent Q4 revenue spike should be supported with pre-positioned stock and targeted promotions ahead of the holiday season.</w:t>
      </w:r>
    </w:p>
    <w:p w14:paraId="001000CE" w14:textId="001000CF">
      <w:pPr>
        <w:numPr>
          <w:ilvl w:val="0"/>
          <w:numId w:val="1"/>
        </w:numPr>
        <w:spacing w:after="80"/>
      </w:pPr>
      <w:r>
        <w:rPr>
          <w:sz w:val="22"/>
        </w:rPr>
        <w:t xml:space="preserve">Review the Trains line: At only 2% revenue share and the lowest unit volume, evaluate whether this line should be reinvigorated or phased down in favour of higher-performing lines.</w:t>
      </w:r>
    </w:p>
    <w:p w14:paraId="001000D0" w14:textId="001000D1">
      <w:pPr>
        <w:numPr>
          <w:ilvl w:val="0"/>
          <w:numId w:val="1"/>
        </w:numPr>
        <w:spacing w:after="400"/>
      </w:pPr>
      <w:r>
        <w:rPr>
          <w:sz w:val="22"/>
        </w:rPr>
        <w:t xml:space="preserve">Deploy predictive models: The trained churn classifier and CLV regressor (train_model.py) can identify at-risk customers and high-value prospects for proactive sales outreach.</w:t>
      </w:r>
    </w:p>
    <w:p w14:paraId="001000D2" w14:textId="001000D3">
      <w:pPr>
        <w:spacing w:before="320" w:after="160"/>
        <w:jc w:val="center"/>
      </w:pPr>
      <w:r>
        <w:rPr>
          <w:color w:val="57606A"/>
          <w:sz w:val="22"/>
        </w:rPr>
        <w:t xml:space="preserve">— End of Report —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c34c5753d194f9f" /><Relationship Type="http://schemas.openxmlformats.org/officeDocument/2006/relationships/styles" Target="/word/styles.xml" Id="R02bcb0d3414a4eec" /><Relationship Type="http://schemas.openxmlformats.org/officeDocument/2006/relationships/theme" Target="/word/theme/theme1.xml" Id="R6831e847814a43bf" /><Relationship Type="http://schemas.openxmlformats.org/officeDocument/2006/relationships/numbering" Target="/word/numbering.xml" Id="R6255ceb86d7e4e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2026-09-24T07:24:59Z</dcterms:created>
  <cp:lastModifiedBy>OfficeCLI</cp:lastModifiedBy>
  <dcterms:modified xsi:type="dcterms:W3CDTF">2026-09-24T07:24:59Z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2026-09-24T07:25:02Z</vt:lpwstr>
  </op:property>
</op:Properties>
</file>