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DFA2D" w14:textId="03DF4E52" w:rsidR="00880E29" w:rsidRDefault="3EA2EA05" w:rsidP="321CD7A7">
      <w:pPr>
        <w:pStyle w:val="Heading1"/>
        <w:spacing w:before="480" w:after="120"/>
        <w:jc w:val="center"/>
      </w:pPr>
      <w:r w:rsidRPr="6D55177A">
        <w:rPr>
          <w:rFonts w:ascii="Arial" w:eastAsia="Arial" w:hAnsi="Arial" w:cs="Arial"/>
          <w:b/>
          <w:bCs/>
          <w:color w:val="000000" w:themeColor="text1"/>
          <w:sz w:val="46"/>
          <w:szCs w:val="46"/>
        </w:rPr>
        <w:t>Avoiding the Pitfalls of GenAI Model Dependency: Why Every Enterprise Needs a Plan B</w:t>
      </w:r>
    </w:p>
    <w:p w14:paraId="61EDBFCC" w14:textId="55FED8A7" w:rsidR="231CA78C" w:rsidRDefault="00F91F9F" w:rsidP="00F91F9F">
      <w:pPr>
        <w:pStyle w:val="Heading1"/>
        <w:rPr>
          <w:rFonts w:ascii="Aptos" w:eastAsia="Aptos" w:hAnsi="Aptos" w:cs="Aptos"/>
          <w:sz w:val="24"/>
          <w:szCs w:val="24"/>
        </w:rPr>
      </w:pPr>
      <w:r>
        <w:rPr>
          <w:rFonts w:eastAsia="Arial"/>
        </w:rPr>
        <w:t>Summarize</w:t>
      </w:r>
    </w:p>
    <w:p w14:paraId="75BDA2D0" w14:textId="2927D336" w:rsidR="231CA78C" w:rsidRDefault="231CA78C" w:rsidP="6D55177A">
      <w:pPr>
        <w:spacing w:before="240" w:after="240"/>
        <w:rPr>
          <w:rFonts w:ascii="Arial" w:eastAsia="Arial" w:hAnsi="Arial" w:cs="Arial"/>
        </w:rPr>
      </w:pPr>
      <w:r w:rsidRPr="6D55177A">
        <w:rPr>
          <w:rFonts w:ascii="Arial" w:eastAsia="Arial" w:hAnsi="Arial" w:cs="Arial"/>
        </w:rPr>
        <w:t>Relying on a single GenAI provider can lead to rising costs, service disruptions, compliance challenges, and limited innovation. Businesses that use multiple models or open-source alternatives are better protected and more adaptable. A flexible AI strategy, built on best practices, model diversity, and data control, helps reduce risk, maintain continuity, and support future growth.</w:t>
      </w:r>
    </w:p>
    <w:p w14:paraId="1E1A9753" w14:textId="5EF64563" w:rsidR="231CA78C" w:rsidRDefault="231CA78C" w:rsidP="6D55177A">
      <w:pPr>
        <w:spacing w:before="240" w:after="240"/>
        <w:rPr>
          <w:rFonts w:ascii="Arial" w:eastAsia="Arial" w:hAnsi="Arial" w:cs="Arial"/>
        </w:rPr>
      </w:pPr>
      <w:r w:rsidRPr="6D55177A">
        <w:rPr>
          <w:rFonts w:ascii="Arial" w:eastAsia="Arial" w:hAnsi="Arial" w:cs="Arial"/>
          <w:color w:val="000000" w:themeColor="text1"/>
        </w:rPr>
        <w:t>--------------------------------------------------------------------------------------------------------------------</w:t>
      </w:r>
    </w:p>
    <w:p w14:paraId="64095D4A" w14:textId="70EDEA26" w:rsidR="00880E29" w:rsidRDefault="3EA2EA05" w:rsidP="321CD7A7">
      <w:pPr>
        <w:spacing w:before="240" w:after="240"/>
      </w:pPr>
      <w:r w:rsidRPr="571479D4">
        <w:rPr>
          <w:rFonts w:ascii="Arial" w:eastAsia="Arial" w:hAnsi="Arial" w:cs="Arial"/>
          <w:color w:val="000000" w:themeColor="text1"/>
        </w:rPr>
        <w:t>Generative AI (GenAI) is evolving rapidly. Every few months, big companies release better, faster, and cheaper models. OpenAI’s GPT-4o, Anthropic’s Claude 3, and xAI’s Grok-4 are just some of the latest names making headlines.</w:t>
      </w:r>
    </w:p>
    <w:p w14:paraId="7EF84E22" w14:textId="0CAC55DB" w:rsidR="00880E29" w:rsidRDefault="3EA2EA05" w:rsidP="7ED76EB1">
      <w:pPr>
        <w:spacing w:before="240" w:after="240"/>
        <w:rPr>
          <w:rFonts w:ascii="Arial" w:eastAsia="Arial" w:hAnsi="Arial" w:cs="Arial"/>
        </w:rPr>
      </w:pPr>
      <w:r w:rsidRPr="7ED76EB1">
        <w:rPr>
          <w:rFonts w:ascii="Arial" w:eastAsia="Arial" w:hAnsi="Arial" w:cs="Arial"/>
          <w:color w:val="000000" w:themeColor="text1"/>
        </w:rPr>
        <w:t>For businesses, this is exciting, but it also brings hidden risks. Relying too much on one AI provider can leave your company exposed to rising costs, service outages, compliance issues, or slow innovation.</w:t>
      </w:r>
      <w:r w:rsidR="0944B400" w:rsidRPr="7ED76EB1">
        <w:rPr>
          <w:rFonts w:ascii="Arial" w:eastAsia="Arial" w:hAnsi="Arial" w:cs="Arial"/>
          <w:color w:val="000000" w:themeColor="text1"/>
        </w:rPr>
        <w:t xml:space="preserve"> </w:t>
      </w:r>
      <w:r w:rsidR="0944B400" w:rsidRPr="7ED76EB1">
        <w:rPr>
          <w:rFonts w:ascii="Arial" w:eastAsia="Arial" w:hAnsi="Arial" w:cs="Arial"/>
        </w:rPr>
        <w:t>Model dependency is a growing concern that often goes unnoticed until it’s too late</w:t>
      </w:r>
    </w:p>
    <w:p w14:paraId="648A3A11" w14:textId="0653367B" w:rsidR="00880E29" w:rsidRDefault="3EA2EA05" w:rsidP="321CD7A7">
      <w:pPr>
        <w:spacing w:before="240" w:after="240"/>
      </w:pPr>
      <w:r w:rsidRPr="43EAED56">
        <w:rPr>
          <w:rFonts w:ascii="Arial" w:eastAsia="Arial" w:hAnsi="Arial" w:cs="Arial"/>
          <w:color w:val="000000" w:themeColor="text1"/>
        </w:rPr>
        <w:t>This blog breaks down the risks of depending on a single GenAI provider and shows how to build a more flexible, reliable AI strategy.</w:t>
      </w:r>
    </w:p>
    <w:p w14:paraId="73412A58" w14:textId="297337B1" w:rsidR="037412C4" w:rsidRDefault="037412C4" w:rsidP="43EAED56">
      <w:pPr>
        <w:spacing w:before="240" w:after="240"/>
        <w:jc w:val="center"/>
        <w:rPr>
          <w:rFonts w:ascii="Arial" w:eastAsia="Arial" w:hAnsi="Arial" w:cs="Arial"/>
          <w:color w:val="000000" w:themeColor="text1"/>
        </w:rPr>
      </w:pPr>
      <w:r w:rsidRPr="43EAED56">
        <w:rPr>
          <w:rFonts w:ascii="Arial" w:eastAsia="Arial" w:hAnsi="Arial" w:cs="Arial"/>
          <w:color w:val="000000" w:themeColor="text1"/>
        </w:rPr>
        <w:t>https://blogimagesynoptix.blob.core.windows.net/images/Model Dependecy -1.jpg</w:t>
      </w:r>
    </w:p>
    <w:p w14:paraId="3B7A7B59" w14:textId="58742F64" w:rsidR="00880E29" w:rsidRDefault="3EA2EA05" w:rsidP="321CD7A7">
      <w:pPr>
        <w:pStyle w:val="Heading2"/>
        <w:spacing w:before="360"/>
      </w:pPr>
      <w:r w:rsidRPr="321CD7A7">
        <w:rPr>
          <w:rFonts w:ascii="Arial" w:eastAsia="Arial" w:hAnsi="Arial" w:cs="Arial"/>
          <w:b/>
          <w:bCs/>
          <w:color w:val="000000" w:themeColor="text1"/>
          <w:sz w:val="34"/>
          <w:szCs w:val="34"/>
        </w:rPr>
        <w:t>The Hidden Risks of Depending on One GenAI Provider</w:t>
      </w:r>
    </w:p>
    <w:p w14:paraId="6A4B87FF" w14:textId="00B9C7E2" w:rsidR="00880E29" w:rsidRDefault="3EA2EA05" w:rsidP="321CD7A7">
      <w:pPr>
        <w:pStyle w:val="Heading3"/>
        <w:spacing w:before="280"/>
      </w:pPr>
      <w:r w:rsidRPr="321CD7A7">
        <w:rPr>
          <w:rFonts w:ascii="Arial" w:eastAsia="Arial" w:hAnsi="Arial" w:cs="Arial"/>
          <w:b/>
          <w:bCs/>
          <w:color w:val="000000" w:themeColor="text1"/>
          <w:sz w:val="26"/>
          <w:szCs w:val="26"/>
        </w:rPr>
        <w:t>Price Increases</w:t>
      </w:r>
    </w:p>
    <w:p w14:paraId="0BC16F38" w14:textId="523F46BD" w:rsidR="00880E29" w:rsidRDefault="3EA2EA05" w:rsidP="321CD7A7">
      <w:pPr>
        <w:spacing w:before="240" w:after="240"/>
      </w:pPr>
      <w:r w:rsidRPr="321CD7A7">
        <w:rPr>
          <w:rFonts w:ascii="Arial" w:eastAsia="Arial" w:hAnsi="Arial" w:cs="Arial"/>
          <w:color w:val="000000" w:themeColor="text1"/>
        </w:rPr>
        <w:t>Many AI providers have lowered their prices recently. In early 2024, OpenAI cut the cost of GPT-4 Turbo by around 70%, and Google made big reductions to its Gemini 1.5 API costs by 78%.</w:t>
      </w:r>
    </w:p>
    <w:p w14:paraId="25BEE670" w14:textId="57BB738E" w:rsidR="00880E29" w:rsidRDefault="3EA2EA05" w:rsidP="321CD7A7">
      <w:pPr>
        <w:spacing w:before="240" w:after="240"/>
      </w:pPr>
      <w:r w:rsidRPr="321CD7A7">
        <w:rPr>
          <w:rFonts w:ascii="Arial" w:eastAsia="Arial" w:hAnsi="Arial" w:cs="Arial"/>
          <w:color w:val="000000" w:themeColor="text1"/>
        </w:rPr>
        <w:lastRenderedPageBreak/>
        <w:t>These price drops look great at first, but once your business is tied to a provider’s tools, it becomes hard (and expensive) to switch. That gives the provider room to raise prices or add hidden fees later, like charges for moving data in or out of their system.</w:t>
      </w:r>
    </w:p>
    <w:p w14:paraId="173083B6" w14:textId="341DE44D" w:rsidR="00880E29" w:rsidRDefault="3EA2EA05" w:rsidP="321CD7A7">
      <w:pPr>
        <w:pStyle w:val="Heading3"/>
        <w:spacing w:before="280"/>
      </w:pPr>
      <w:r w:rsidRPr="321CD7A7">
        <w:rPr>
          <w:rFonts w:ascii="Arial" w:eastAsia="Arial" w:hAnsi="Arial" w:cs="Arial"/>
          <w:b/>
          <w:bCs/>
          <w:color w:val="000000" w:themeColor="text1"/>
          <w:sz w:val="26"/>
          <w:szCs w:val="26"/>
        </w:rPr>
        <w:t>Service Outages Can Disrupt Your Business</w:t>
      </w:r>
    </w:p>
    <w:p w14:paraId="3D0981B7" w14:textId="009785FE" w:rsidR="00880E29" w:rsidRDefault="3EA2EA05" w:rsidP="7ED76EB1">
      <w:pPr>
        <w:spacing w:before="240" w:after="240"/>
        <w:rPr>
          <w:rFonts w:ascii="Arial" w:eastAsia="Arial" w:hAnsi="Arial" w:cs="Arial"/>
          <w:color w:val="000000" w:themeColor="text1"/>
        </w:rPr>
      </w:pPr>
      <w:r w:rsidRPr="7ED76EB1">
        <w:rPr>
          <w:rFonts w:ascii="Arial" w:eastAsia="Arial" w:hAnsi="Arial" w:cs="Arial"/>
          <w:color w:val="000000" w:themeColor="text1"/>
        </w:rPr>
        <w:t xml:space="preserve">No </w:t>
      </w:r>
      <w:r w:rsidRPr="7ED76EB1">
        <w:rPr>
          <w:rFonts w:ascii="Arial" w:eastAsia="Arial" w:hAnsi="Arial" w:cs="Arial"/>
          <w:color w:val="1155CC"/>
        </w:rPr>
        <w:t>GenAI provider</w:t>
      </w:r>
      <w:r w:rsidRPr="7ED76EB1">
        <w:rPr>
          <w:rFonts w:ascii="Arial" w:eastAsia="Arial" w:hAnsi="Arial" w:cs="Arial"/>
          <w:color w:val="000000" w:themeColor="text1"/>
        </w:rPr>
        <w:t xml:space="preserve"> can promise that their service will always be online. For example, in June 2025, OpenAI had a major outage that lasted several hours. During that time, ChatGPT and GPT-4o were completely unavailable.</w:t>
      </w:r>
    </w:p>
    <w:p w14:paraId="3C7D6BC6" w14:textId="39FCACFA" w:rsidR="00880E29" w:rsidRDefault="3EA2EA05" w:rsidP="321CD7A7">
      <w:pPr>
        <w:spacing w:before="240" w:after="240"/>
      </w:pPr>
      <w:r w:rsidRPr="6D55177A">
        <w:rPr>
          <w:rFonts w:ascii="Arial" w:eastAsia="Arial" w:hAnsi="Arial" w:cs="Arial"/>
          <w:color w:val="000000" w:themeColor="text1"/>
        </w:rPr>
        <w:t xml:space="preserve">Many businesses that relied only on OpenAI couldn’t run their AI tools. This caused delays, lost productivity, and even damaged </w:t>
      </w:r>
      <w:r w:rsidR="0A3CCB9F" w:rsidRPr="6D55177A">
        <w:rPr>
          <w:rFonts w:ascii="Arial" w:eastAsia="Arial" w:hAnsi="Arial" w:cs="Arial"/>
          <w:color w:val="000000" w:themeColor="text1"/>
        </w:rPr>
        <w:t>our reputation</w:t>
      </w:r>
      <w:r w:rsidRPr="6D55177A">
        <w:rPr>
          <w:rFonts w:ascii="Arial" w:eastAsia="Arial" w:hAnsi="Arial" w:cs="Arial"/>
          <w:color w:val="000000" w:themeColor="text1"/>
        </w:rPr>
        <w:t>.</w:t>
      </w:r>
    </w:p>
    <w:p w14:paraId="1587383C" w14:textId="6FD97075" w:rsidR="00880E29" w:rsidRDefault="3EA2EA05" w:rsidP="78432105">
      <w:pPr>
        <w:spacing w:before="240" w:after="240"/>
      </w:pPr>
      <w:r w:rsidRPr="7ED76EB1">
        <w:rPr>
          <w:rFonts w:ascii="Arial" w:eastAsia="Arial" w:hAnsi="Arial" w:cs="Arial"/>
          <w:color w:val="000000" w:themeColor="text1"/>
        </w:rPr>
        <w:t xml:space="preserve">If your system depends on just one model, and that model goes down, your entire operation can stop. </w:t>
      </w:r>
      <w:r w:rsidR="2D3ADCAE" w:rsidRPr="7ED76EB1">
        <w:rPr>
          <w:rFonts w:ascii="Arial" w:eastAsia="Arial" w:hAnsi="Arial" w:cs="Arial"/>
        </w:rPr>
        <w:t xml:space="preserve">That’s why it’s important to have a backup </w:t>
      </w:r>
      <w:hyperlink r:id="rId8">
        <w:r w:rsidR="1C6A1E26" w:rsidRPr="7ED76EB1">
          <w:rPr>
            <w:rStyle w:val="Hyperlink"/>
            <w:rFonts w:ascii="Arial" w:eastAsia="Arial" w:hAnsi="Arial" w:cs="Arial"/>
          </w:rPr>
          <w:t xml:space="preserve">AI </w:t>
        </w:r>
        <w:r w:rsidR="2D3ADCAE" w:rsidRPr="7ED76EB1">
          <w:rPr>
            <w:rStyle w:val="Hyperlink"/>
            <w:rFonts w:ascii="Arial" w:eastAsia="Arial" w:hAnsi="Arial" w:cs="Arial"/>
          </w:rPr>
          <w:t>model directory</w:t>
        </w:r>
      </w:hyperlink>
      <w:r w:rsidR="2D3ADCAE" w:rsidRPr="7ED76EB1">
        <w:rPr>
          <w:rFonts w:ascii="Arial" w:eastAsia="Arial" w:hAnsi="Arial" w:cs="Arial"/>
        </w:rPr>
        <w:t xml:space="preserve"> in place</w:t>
      </w:r>
      <w:r w:rsidRPr="7ED76EB1">
        <w:rPr>
          <w:rFonts w:ascii="Arial" w:eastAsia="Arial" w:hAnsi="Arial" w:cs="Arial"/>
          <w:color w:val="000000" w:themeColor="text1"/>
        </w:rPr>
        <w:t>.</w:t>
      </w:r>
    </w:p>
    <w:p w14:paraId="15F7377F" w14:textId="789C3C80" w:rsidR="00880E29" w:rsidRDefault="3EA2EA05" w:rsidP="321CD7A7">
      <w:pPr>
        <w:pStyle w:val="Heading3"/>
        <w:spacing w:before="280"/>
      </w:pPr>
      <w:r w:rsidRPr="321CD7A7">
        <w:rPr>
          <w:rFonts w:ascii="Arial" w:eastAsia="Arial" w:hAnsi="Arial" w:cs="Arial"/>
          <w:b/>
          <w:bCs/>
          <w:color w:val="000000" w:themeColor="text1"/>
          <w:sz w:val="26"/>
          <w:szCs w:val="26"/>
        </w:rPr>
        <w:t>Regulatory and Compliance Risks</w:t>
      </w:r>
    </w:p>
    <w:p w14:paraId="15C3400E" w14:textId="751AC55F" w:rsidR="00880E29" w:rsidRDefault="3EA2EA05" w:rsidP="321CD7A7">
      <w:pPr>
        <w:spacing w:before="240" w:after="240"/>
      </w:pPr>
      <w:r w:rsidRPr="321CD7A7">
        <w:rPr>
          <w:rFonts w:ascii="Arial" w:eastAsia="Arial" w:hAnsi="Arial" w:cs="Arial"/>
          <w:color w:val="000000" w:themeColor="text1"/>
        </w:rPr>
        <w:t>AI laws around the world are becoming stricter. For example, the EU has passed the AI Act, and many countries now have rules about where data must be stored and how it can be used.</w:t>
      </w:r>
    </w:p>
    <w:p w14:paraId="617C8B6B" w14:textId="7AFD2627" w:rsidR="00880E29" w:rsidRDefault="3EA2EA05" w:rsidP="321CD7A7">
      <w:pPr>
        <w:spacing w:before="240" w:after="240"/>
      </w:pPr>
      <w:r w:rsidRPr="321CD7A7">
        <w:rPr>
          <w:rFonts w:ascii="Arial" w:eastAsia="Arial" w:hAnsi="Arial" w:cs="Arial"/>
          <w:color w:val="000000" w:themeColor="text1"/>
        </w:rPr>
        <w:t>If a GenAI model is hosted in another country like the U.S., it might not follow local privacy laws such as GDPR or HIPAA. This can be a serious problem for industries like finance and healthcare.</w:t>
      </w:r>
    </w:p>
    <w:p w14:paraId="141D2A01" w14:textId="187A5888" w:rsidR="00880E29" w:rsidRDefault="3EA2EA05" w:rsidP="321CD7A7">
      <w:pPr>
        <w:spacing w:before="240" w:after="240"/>
      </w:pPr>
      <w:r w:rsidRPr="321CD7A7">
        <w:rPr>
          <w:rFonts w:ascii="Arial" w:eastAsia="Arial" w:hAnsi="Arial" w:cs="Arial"/>
          <w:color w:val="000000" w:themeColor="text1"/>
        </w:rPr>
        <w:t>Being locked into one AI provider makes it harder to stay compliant. But if your AI setup is flexible, you can choose where your models run, whether that’s in a specific region, on your own servers, or in a private cloud, to meet legal requirements more easily.</w:t>
      </w:r>
    </w:p>
    <w:p w14:paraId="3350412C" w14:textId="49C7D616" w:rsidR="00880E29" w:rsidRDefault="3EA2EA05" w:rsidP="321CD7A7">
      <w:pPr>
        <w:pStyle w:val="Heading3"/>
        <w:spacing w:before="280"/>
      </w:pPr>
      <w:r w:rsidRPr="321CD7A7">
        <w:rPr>
          <w:rFonts w:ascii="Arial" w:eastAsia="Arial" w:hAnsi="Arial" w:cs="Arial"/>
          <w:b/>
          <w:bCs/>
          <w:color w:val="000000" w:themeColor="text1"/>
          <w:sz w:val="26"/>
          <w:szCs w:val="26"/>
        </w:rPr>
        <w:t>Innovation Can Slow Down</w:t>
      </w:r>
    </w:p>
    <w:p w14:paraId="069459D0" w14:textId="6D718C53" w:rsidR="00880E29" w:rsidRDefault="3EA2EA05" w:rsidP="321CD7A7">
      <w:pPr>
        <w:spacing w:before="240" w:after="240"/>
      </w:pPr>
      <w:r w:rsidRPr="78432105">
        <w:rPr>
          <w:rFonts w:ascii="Arial" w:eastAsia="Arial" w:hAnsi="Arial" w:cs="Arial"/>
          <w:color w:val="000000" w:themeColor="text1"/>
        </w:rPr>
        <w:t xml:space="preserve">If your business relies on just one AI provider, you’re limited to whatever features and updates that </w:t>
      </w:r>
      <w:r w:rsidR="6C0DCFF6" w:rsidRPr="78432105">
        <w:rPr>
          <w:rFonts w:ascii="Arial" w:eastAsia="Arial" w:hAnsi="Arial" w:cs="Arial"/>
          <w:color w:val="000000" w:themeColor="text1"/>
        </w:rPr>
        <w:t>the provider</w:t>
      </w:r>
      <w:r w:rsidRPr="78432105">
        <w:rPr>
          <w:rFonts w:ascii="Arial" w:eastAsia="Arial" w:hAnsi="Arial" w:cs="Arial"/>
          <w:color w:val="000000" w:themeColor="text1"/>
        </w:rPr>
        <w:t xml:space="preserve"> decides to work on. If they stop focusing on something important to your business or don’t improve fast enough, you could fall behind competitors using other, more advanced tools.</w:t>
      </w:r>
    </w:p>
    <w:p w14:paraId="28516B60" w14:textId="6C26B158" w:rsidR="00880E29" w:rsidRDefault="3EA2EA05" w:rsidP="321CD7A7">
      <w:pPr>
        <w:spacing w:before="240" w:after="240"/>
      </w:pPr>
      <w:r w:rsidRPr="43EAED56">
        <w:rPr>
          <w:rFonts w:ascii="Arial" w:eastAsia="Arial" w:hAnsi="Arial" w:cs="Arial"/>
          <w:color w:val="000000" w:themeColor="text1"/>
        </w:rPr>
        <w:t>Relying on one provider also means there’s less pressure on them to keep improving. This can slow down innovation in the areas that matter most to your goals.</w:t>
      </w:r>
    </w:p>
    <w:p w14:paraId="354F0F4D" w14:textId="61317B4D" w:rsidR="7F3435A7" w:rsidRDefault="7F3435A7" w:rsidP="43EAED56">
      <w:pPr>
        <w:spacing w:before="240" w:after="240"/>
        <w:jc w:val="center"/>
        <w:rPr>
          <w:rFonts w:ascii="Arial" w:eastAsia="Arial" w:hAnsi="Arial" w:cs="Arial"/>
          <w:color w:val="000000" w:themeColor="text1"/>
        </w:rPr>
      </w:pPr>
      <w:r w:rsidRPr="43EAED56">
        <w:rPr>
          <w:rFonts w:ascii="Arial" w:eastAsia="Arial" w:hAnsi="Arial" w:cs="Arial"/>
          <w:color w:val="000000" w:themeColor="text1"/>
        </w:rPr>
        <w:t>https://blogimagesynoptix.blob.core.windows.net/images/Model Dependecy -2.jpg</w:t>
      </w:r>
    </w:p>
    <w:p w14:paraId="37621C8D" w14:textId="6540E20F" w:rsidR="00880E29" w:rsidRDefault="3EA2EA05" w:rsidP="321CD7A7">
      <w:pPr>
        <w:pStyle w:val="Heading2"/>
        <w:spacing w:before="280" w:after="120"/>
      </w:pPr>
      <w:r w:rsidRPr="321CD7A7">
        <w:rPr>
          <w:rFonts w:ascii="Arial" w:eastAsia="Arial" w:hAnsi="Arial" w:cs="Arial"/>
          <w:b/>
          <w:bCs/>
          <w:color w:val="000000" w:themeColor="text1"/>
          <w:sz w:val="28"/>
          <w:szCs w:val="28"/>
        </w:rPr>
        <w:lastRenderedPageBreak/>
        <w:t>Real-World Lessons for Enterprises</w:t>
      </w:r>
    </w:p>
    <w:p w14:paraId="2686D431" w14:textId="1976DDCD" w:rsidR="00880E29" w:rsidRDefault="3EA2EA05" w:rsidP="321CD7A7">
      <w:pPr>
        <w:pStyle w:val="Heading3"/>
        <w:spacing w:before="240" w:after="40"/>
      </w:pPr>
      <w:r w:rsidRPr="321CD7A7">
        <w:rPr>
          <w:rFonts w:ascii="Arial" w:eastAsia="Arial" w:hAnsi="Arial" w:cs="Arial"/>
          <w:b/>
          <w:bCs/>
          <w:color w:val="000000" w:themeColor="text1"/>
          <w:sz w:val="26"/>
          <w:szCs w:val="26"/>
        </w:rPr>
        <w:t>Instacart’s Smart Multi-Model Setup</w:t>
      </w:r>
    </w:p>
    <w:p w14:paraId="727F4556" w14:textId="712DD15E" w:rsidR="00880E29" w:rsidRDefault="3EA2EA05" w:rsidP="321CD7A7">
      <w:pPr>
        <w:spacing w:before="240" w:after="240"/>
      </w:pPr>
      <w:r w:rsidRPr="321CD7A7">
        <w:rPr>
          <w:rFonts w:ascii="Arial" w:eastAsia="Arial" w:hAnsi="Arial" w:cs="Arial"/>
          <w:color w:val="000000" w:themeColor="text1"/>
        </w:rPr>
        <w:t>Instacart’s AI assistant, “Ask Instacart,” doesn’t rely on just one model. It uses both OpenAI’s GPT-4 and its own custom-trained models, choosing the best one for each task. This setup helps them avoid being locked into one provider, save money, and keep performance consistent.</w:t>
      </w:r>
    </w:p>
    <w:p w14:paraId="4A7206A5" w14:textId="526BB3DF" w:rsidR="00880E29" w:rsidRDefault="3EA2EA05" w:rsidP="321CD7A7">
      <w:pPr>
        <w:pStyle w:val="Heading3"/>
        <w:spacing w:before="240" w:after="40"/>
      </w:pPr>
      <w:r w:rsidRPr="321CD7A7">
        <w:rPr>
          <w:rFonts w:ascii="Arial" w:eastAsia="Arial" w:hAnsi="Arial" w:cs="Arial"/>
          <w:b/>
          <w:bCs/>
          <w:color w:val="000000" w:themeColor="text1"/>
          <w:sz w:val="26"/>
          <w:szCs w:val="26"/>
        </w:rPr>
        <w:t>The Impact of the OpenAI Outage</w:t>
      </w:r>
    </w:p>
    <w:p w14:paraId="18F6110A" w14:textId="041D9BAC" w:rsidR="00880E29" w:rsidRDefault="3EA2EA05" w:rsidP="321CD7A7">
      <w:pPr>
        <w:spacing w:before="240" w:after="240"/>
      </w:pPr>
      <w:r w:rsidRPr="7ED76EB1">
        <w:rPr>
          <w:rFonts w:ascii="Arial" w:eastAsia="Arial" w:hAnsi="Arial" w:cs="Arial"/>
          <w:color w:val="000000" w:themeColor="text1"/>
        </w:rPr>
        <w:t xml:space="preserve">When </w:t>
      </w:r>
      <w:hyperlink r:id="rId9">
        <w:r w:rsidRPr="7ED76EB1">
          <w:rPr>
            <w:rStyle w:val="Hyperlink"/>
            <w:rFonts w:ascii="Arial" w:eastAsia="Arial" w:hAnsi="Arial" w:cs="Arial"/>
          </w:rPr>
          <w:t>OpenAI</w:t>
        </w:r>
      </w:hyperlink>
      <w:r w:rsidRPr="7ED76EB1">
        <w:rPr>
          <w:rFonts w:ascii="Arial" w:eastAsia="Arial" w:hAnsi="Arial" w:cs="Arial"/>
          <w:color w:val="000000" w:themeColor="text1"/>
        </w:rPr>
        <w:t xml:space="preserve"> went down in June 2025, many companies that depended only on its API were caught off guard. They couldn’t switch quickly and had to pause key operations. On the other hand, businesses using multiple models stayed up and running by switching providers right away.</w:t>
      </w:r>
    </w:p>
    <w:p w14:paraId="78E967C0" w14:textId="6107F55B" w:rsidR="00880E29" w:rsidRDefault="3EA2EA05" w:rsidP="321CD7A7">
      <w:pPr>
        <w:pStyle w:val="Heading3"/>
        <w:spacing w:before="240" w:after="40"/>
      </w:pPr>
      <w:r w:rsidRPr="321CD7A7">
        <w:rPr>
          <w:rFonts w:ascii="Arial" w:eastAsia="Arial" w:hAnsi="Arial" w:cs="Arial"/>
          <w:b/>
          <w:bCs/>
          <w:color w:val="000000" w:themeColor="text1"/>
          <w:sz w:val="26"/>
          <w:szCs w:val="26"/>
        </w:rPr>
        <w:t>AI Lock-In Is a Bigger Risk Than It Seems</w:t>
      </w:r>
    </w:p>
    <w:p w14:paraId="3D0D89BC" w14:textId="128614E5" w:rsidR="00880E29" w:rsidRDefault="3EA2EA05" w:rsidP="321CD7A7">
      <w:pPr>
        <w:spacing w:before="240" w:after="240"/>
      </w:pPr>
      <w:r w:rsidRPr="321CD7A7">
        <w:rPr>
          <w:rFonts w:ascii="Arial" w:eastAsia="Arial" w:hAnsi="Arial" w:cs="Arial"/>
          <w:color w:val="000000" w:themeColor="text1"/>
        </w:rPr>
        <w:t xml:space="preserve">One </w:t>
      </w:r>
      <w:hyperlink r:id="rId10" w:anchor=":~:text=This%20was%20outlined%20perfectly%20during,interview%20in%20the%20CMA%20report">
        <w:r w:rsidRPr="321CD7A7">
          <w:rPr>
            <w:rStyle w:val="Hyperlink"/>
            <w:rFonts w:ascii="Arial" w:eastAsia="Arial" w:hAnsi="Arial" w:cs="Arial"/>
            <w:color w:val="1155CC"/>
            <w:u w:val="none"/>
          </w:rPr>
          <w:t>UK company</w:t>
        </w:r>
      </w:hyperlink>
      <w:r w:rsidRPr="321CD7A7">
        <w:rPr>
          <w:rFonts w:ascii="Arial" w:eastAsia="Arial" w:hAnsi="Arial" w:cs="Arial"/>
          <w:color w:val="000000" w:themeColor="text1"/>
        </w:rPr>
        <w:t xml:space="preserve"> said using just one AI provider feels even more limiting than traditional cloud services. When you build everything your data, prompts, and workflows around one model, switching becomes difficult, expensive, and time-consuming. That makes it even harder to stay flexible as your needs change.</w:t>
      </w:r>
    </w:p>
    <w:p w14:paraId="38674665" w14:textId="07E2E84D" w:rsidR="00880E29" w:rsidRDefault="3EA2EA05" w:rsidP="321CD7A7">
      <w:pPr>
        <w:pStyle w:val="Heading2"/>
        <w:spacing w:before="280" w:after="120"/>
      </w:pPr>
      <w:r w:rsidRPr="321CD7A7">
        <w:rPr>
          <w:rFonts w:ascii="Arial" w:eastAsia="Arial" w:hAnsi="Arial" w:cs="Arial"/>
          <w:b/>
          <w:bCs/>
          <w:color w:val="000000" w:themeColor="text1"/>
          <w:sz w:val="28"/>
          <w:szCs w:val="28"/>
        </w:rPr>
        <w:t>How to Build a Flexible GenAI Strategy (So You’re Not Stuck with One Provider)</w:t>
      </w:r>
    </w:p>
    <w:p w14:paraId="417B749E" w14:textId="2EE0B290" w:rsidR="00880E29" w:rsidRDefault="3EA2EA05" w:rsidP="321CD7A7">
      <w:pPr>
        <w:spacing w:before="240" w:after="240"/>
      </w:pPr>
      <w:r w:rsidRPr="321CD7A7">
        <w:rPr>
          <w:rFonts w:ascii="Arial" w:eastAsia="Arial" w:hAnsi="Arial" w:cs="Arial"/>
          <w:color w:val="000000" w:themeColor="text1"/>
        </w:rPr>
        <w:t>To avoid the risks of relying on a single GenAI provider, businesses should build systems that are flexible and able to adapt quickly. Here’s how:</w:t>
      </w:r>
    </w:p>
    <w:p w14:paraId="4DB764E2" w14:textId="2BD3B9A2" w:rsidR="00880E29" w:rsidRDefault="3EA2EA05" w:rsidP="321CD7A7">
      <w:pPr>
        <w:pStyle w:val="Heading3"/>
        <w:spacing w:before="240" w:after="40"/>
      </w:pPr>
      <w:r w:rsidRPr="321CD7A7">
        <w:rPr>
          <w:rFonts w:ascii="Arial" w:eastAsia="Arial" w:hAnsi="Arial" w:cs="Arial"/>
          <w:b/>
          <w:bCs/>
          <w:color w:val="434343"/>
          <w:sz w:val="26"/>
          <w:szCs w:val="26"/>
        </w:rPr>
        <w:t>Use Multiple Models</w:t>
      </w:r>
    </w:p>
    <w:p w14:paraId="42050C78" w14:textId="5D46FC10" w:rsidR="00880E29" w:rsidRDefault="3EA2EA05" w:rsidP="321CD7A7">
      <w:pPr>
        <w:spacing w:before="240" w:after="240"/>
      </w:pPr>
      <w:r w:rsidRPr="7ED76EB1">
        <w:rPr>
          <w:rFonts w:ascii="Arial" w:eastAsia="Arial" w:hAnsi="Arial" w:cs="Arial"/>
          <w:color w:val="000000" w:themeColor="text1"/>
        </w:rPr>
        <w:t xml:space="preserve">Set up your systems so they can work with more than one AI model. Tools like LangChain, Semantic Kernel, or your own </w:t>
      </w:r>
      <w:hyperlink r:id="rId11" w:anchor="Custom-Agent">
        <w:r w:rsidRPr="7ED76EB1">
          <w:rPr>
            <w:rStyle w:val="Hyperlink"/>
            <w:rFonts w:ascii="Arial" w:eastAsia="Arial" w:hAnsi="Arial" w:cs="Arial"/>
          </w:rPr>
          <w:t>custom setup</w:t>
        </w:r>
      </w:hyperlink>
      <w:r w:rsidRPr="7ED76EB1">
        <w:rPr>
          <w:rFonts w:ascii="Arial" w:eastAsia="Arial" w:hAnsi="Arial" w:cs="Arial"/>
          <w:color w:val="000000" w:themeColor="text1"/>
        </w:rPr>
        <w:t xml:space="preserve"> can help route each task to the best model based on cost, speed, or reliability.</w:t>
      </w:r>
    </w:p>
    <w:p w14:paraId="53E147F0" w14:textId="3F5028F1" w:rsidR="00880E29" w:rsidRDefault="3EA2EA05" w:rsidP="321CD7A7">
      <w:pPr>
        <w:spacing w:before="240" w:after="240"/>
      </w:pPr>
      <w:r w:rsidRPr="7ED76EB1">
        <w:rPr>
          <w:rFonts w:ascii="Arial" w:eastAsia="Arial" w:hAnsi="Arial" w:cs="Arial"/>
          <w:color w:val="000000" w:themeColor="text1"/>
        </w:rPr>
        <w:t xml:space="preserve">Some companies already use 5 to 10 models at </w:t>
      </w:r>
      <w:r w:rsidR="4BA89634" w:rsidRPr="7ED76EB1">
        <w:rPr>
          <w:rFonts w:ascii="Arial" w:eastAsia="Arial" w:hAnsi="Arial" w:cs="Arial"/>
          <w:color w:val="000000" w:themeColor="text1"/>
        </w:rPr>
        <w:t>a time</w:t>
      </w:r>
      <w:r w:rsidRPr="7ED76EB1">
        <w:rPr>
          <w:rFonts w:ascii="Arial" w:eastAsia="Arial" w:hAnsi="Arial" w:cs="Arial"/>
          <w:color w:val="000000" w:themeColor="text1"/>
        </w:rPr>
        <w:t>. That way, if one model goes down or gets too expensive, they can switch instantly without any major issues.</w:t>
      </w:r>
    </w:p>
    <w:p w14:paraId="3D93975F" w14:textId="29F06CA4" w:rsidR="00880E29" w:rsidRDefault="3EA2EA05" w:rsidP="321CD7A7">
      <w:pPr>
        <w:pStyle w:val="Heading3"/>
        <w:spacing w:before="240" w:after="40"/>
      </w:pPr>
      <w:r w:rsidRPr="321CD7A7">
        <w:rPr>
          <w:rFonts w:ascii="Arial" w:eastAsia="Arial" w:hAnsi="Arial" w:cs="Arial"/>
          <w:b/>
          <w:bCs/>
          <w:color w:val="434343"/>
          <w:sz w:val="26"/>
          <w:szCs w:val="26"/>
        </w:rPr>
        <w:t>Try Open-Source AI Models</w:t>
      </w:r>
    </w:p>
    <w:p w14:paraId="6D58585B" w14:textId="26AD6985" w:rsidR="00880E29" w:rsidRDefault="3EA2EA05" w:rsidP="321CD7A7">
      <w:pPr>
        <w:spacing w:before="240" w:after="240"/>
      </w:pPr>
      <w:r w:rsidRPr="321CD7A7">
        <w:rPr>
          <w:rFonts w:ascii="Arial" w:eastAsia="Arial" w:hAnsi="Arial" w:cs="Arial"/>
          <w:color w:val="000000" w:themeColor="text1"/>
        </w:rPr>
        <w:t>Open-source models like Llama 3, Mistral, or Nous Hermes are free to use and can be run on your own servers or in private cloud environments.</w:t>
      </w:r>
    </w:p>
    <w:p w14:paraId="6BFFC0EF" w14:textId="24D74937" w:rsidR="00880E29" w:rsidRDefault="3EA2EA05" w:rsidP="321CD7A7">
      <w:pPr>
        <w:spacing w:before="240" w:after="240"/>
      </w:pPr>
      <w:r w:rsidRPr="321CD7A7">
        <w:rPr>
          <w:rFonts w:ascii="Arial" w:eastAsia="Arial" w:hAnsi="Arial" w:cs="Arial"/>
          <w:color w:val="000000" w:themeColor="text1"/>
        </w:rPr>
        <w:lastRenderedPageBreak/>
        <w:t>Benefits include:</w:t>
      </w:r>
    </w:p>
    <w:p w14:paraId="66EAF49C" w14:textId="3CA66B77" w:rsidR="00880E29" w:rsidRDefault="3EA2EA05" w:rsidP="7ED76EB1">
      <w:pPr>
        <w:pStyle w:val="ListParagraph"/>
        <w:numPr>
          <w:ilvl w:val="0"/>
          <w:numId w:val="1"/>
        </w:numPr>
        <w:spacing w:before="240" w:after="240"/>
        <w:rPr>
          <w:rFonts w:ascii="Arial" w:eastAsia="Arial" w:hAnsi="Arial" w:cs="Arial"/>
          <w:color w:val="000000" w:themeColor="text1"/>
        </w:rPr>
      </w:pPr>
      <w:r w:rsidRPr="7ED76EB1">
        <w:rPr>
          <w:rFonts w:ascii="Arial" w:eastAsia="Arial" w:hAnsi="Arial" w:cs="Arial"/>
          <w:color w:val="000000" w:themeColor="text1"/>
        </w:rPr>
        <w:t>Full control over data privacy and security</w:t>
      </w:r>
    </w:p>
    <w:p w14:paraId="00C70E55" w14:textId="0164392A" w:rsidR="00880E29" w:rsidRDefault="3EA2EA05" w:rsidP="7ED76EB1">
      <w:pPr>
        <w:pStyle w:val="ListParagraph"/>
        <w:numPr>
          <w:ilvl w:val="0"/>
          <w:numId w:val="1"/>
        </w:numPr>
        <w:spacing w:before="240" w:after="240"/>
        <w:rPr>
          <w:rFonts w:ascii="Arial" w:eastAsia="Arial" w:hAnsi="Arial" w:cs="Arial"/>
          <w:color w:val="000000" w:themeColor="text1"/>
        </w:rPr>
      </w:pPr>
      <w:r w:rsidRPr="7ED76EB1">
        <w:rPr>
          <w:rFonts w:ascii="Arial" w:eastAsia="Arial" w:hAnsi="Arial" w:cs="Arial"/>
          <w:color w:val="000000" w:themeColor="text1"/>
        </w:rPr>
        <w:t>No per-use fees</w:t>
      </w:r>
    </w:p>
    <w:p w14:paraId="04B8872B" w14:textId="1692799C" w:rsidR="00880E29" w:rsidRDefault="3EA2EA05" w:rsidP="7ED76EB1">
      <w:pPr>
        <w:pStyle w:val="ListParagraph"/>
        <w:numPr>
          <w:ilvl w:val="0"/>
          <w:numId w:val="1"/>
        </w:numPr>
        <w:spacing w:before="240" w:after="240"/>
        <w:rPr>
          <w:rFonts w:ascii="Arial" w:eastAsia="Arial" w:hAnsi="Arial" w:cs="Arial"/>
          <w:color w:val="000000" w:themeColor="text1"/>
        </w:rPr>
      </w:pPr>
      <w:r w:rsidRPr="7ED76EB1">
        <w:rPr>
          <w:rFonts w:ascii="Arial" w:eastAsia="Arial" w:hAnsi="Arial" w:cs="Arial"/>
          <w:color w:val="000000" w:themeColor="text1"/>
        </w:rPr>
        <w:t>Easier to customise for your industry or business needs</w:t>
      </w:r>
    </w:p>
    <w:p w14:paraId="2383C543" w14:textId="2C6C983D" w:rsidR="00880E29" w:rsidRDefault="3EA2EA05" w:rsidP="7ED76EB1">
      <w:pPr>
        <w:pStyle w:val="ListParagraph"/>
        <w:numPr>
          <w:ilvl w:val="0"/>
          <w:numId w:val="1"/>
        </w:numPr>
        <w:spacing w:before="240" w:after="240"/>
        <w:rPr>
          <w:rFonts w:ascii="Arial" w:eastAsia="Arial" w:hAnsi="Arial" w:cs="Arial"/>
          <w:color w:val="000000" w:themeColor="text1"/>
        </w:rPr>
      </w:pPr>
      <w:r w:rsidRPr="7ED76EB1">
        <w:rPr>
          <w:rFonts w:ascii="Arial" w:eastAsia="Arial" w:hAnsi="Arial" w:cs="Arial"/>
          <w:color w:val="000000" w:themeColor="text1"/>
        </w:rPr>
        <w:t>Can be run offline for extra security</w:t>
      </w:r>
    </w:p>
    <w:p w14:paraId="0868F32A" w14:textId="33A4154A" w:rsidR="00880E29" w:rsidRDefault="3EA2EA05" w:rsidP="321CD7A7">
      <w:pPr>
        <w:spacing w:before="240" w:after="240"/>
      </w:pPr>
      <w:r w:rsidRPr="43EAED56">
        <w:rPr>
          <w:rFonts w:ascii="Arial" w:eastAsia="Arial" w:hAnsi="Arial" w:cs="Arial"/>
          <w:color w:val="000000" w:themeColor="text1"/>
        </w:rPr>
        <w:t>This is especially useful in areas like healthcare, finance, and government, where data rules are strict.</w:t>
      </w:r>
    </w:p>
    <w:p w14:paraId="0331F46E" w14:textId="5AA46D5C" w:rsidR="3BA99D7B" w:rsidRDefault="3BA99D7B" w:rsidP="43EAED56">
      <w:pPr>
        <w:spacing w:before="240" w:after="240"/>
        <w:jc w:val="center"/>
        <w:rPr>
          <w:rFonts w:ascii="Arial" w:eastAsia="Arial" w:hAnsi="Arial" w:cs="Arial"/>
          <w:color w:val="000000" w:themeColor="text1"/>
        </w:rPr>
      </w:pPr>
      <w:r w:rsidRPr="43EAED56">
        <w:rPr>
          <w:rFonts w:ascii="Arial" w:eastAsia="Arial" w:hAnsi="Arial" w:cs="Arial"/>
          <w:color w:val="000000" w:themeColor="text1"/>
        </w:rPr>
        <w:t>https://blogimagesynoptix.blob.core.windows.net/images/Model Dependecy -3.jpg</w:t>
      </w:r>
    </w:p>
    <w:p w14:paraId="1B4AD426" w14:textId="51C44B89" w:rsidR="00880E29" w:rsidRDefault="3EA2EA05" w:rsidP="321CD7A7">
      <w:pPr>
        <w:pStyle w:val="Heading3"/>
        <w:spacing w:before="240" w:after="40"/>
      </w:pPr>
      <w:r w:rsidRPr="321CD7A7">
        <w:rPr>
          <w:rFonts w:ascii="Arial" w:eastAsia="Arial" w:hAnsi="Arial" w:cs="Arial"/>
          <w:b/>
          <w:bCs/>
          <w:color w:val="434343"/>
          <w:sz w:val="26"/>
          <w:szCs w:val="26"/>
        </w:rPr>
        <w:t>Follow GenAI Best Practices (Also Called LLMOps)</w:t>
      </w:r>
    </w:p>
    <w:p w14:paraId="698B5F2B" w14:textId="6ABDE781" w:rsidR="00880E29" w:rsidRDefault="3EA2EA05" w:rsidP="321CD7A7">
      <w:pPr>
        <w:spacing w:before="240" w:after="240"/>
      </w:pPr>
      <w:r w:rsidRPr="321CD7A7">
        <w:rPr>
          <w:rFonts w:ascii="Arial" w:eastAsia="Arial" w:hAnsi="Arial" w:cs="Arial"/>
          <w:color w:val="000000" w:themeColor="text1"/>
        </w:rPr>
        <w:t>Think of managing GenAI like managing any other software system. Good practices include</w:t>
      </w:r>
    </w:p>
    <w:p w14:paraId="3BFED520" w14:textId="18CE5430" w:rsidR="00880E29" w:rsidRDefault="3EA2EA05" w:rsidP="7ED76EB1">
      <w:pPr>
        <w:pStyle w:val="ListParagraph"/>
        <w:numPr>
          <w:ilvl w:val="0"/>
          <w:numId w:val="2"/>
        </w:numPr>
        <w:spacing w:before="240" w:after="240"/>
        <w:rPr>
          <w:rFonts w:ascii="Arial" w:eastAsia="Arial" w:hAnsi="Arial" w:cs="Arial"/>
          <w:color w:val="000000" w:themeColor="text1"/>
        </w:rPr>
      </w:pPr>
      <w:r w:rsidRPr="7ED76EB1">
        <w:rPr>
          <w:rFonts w:ascii="Arial" w:eastAsia="Arial" w:hAnsi="Arial" w:cs="Arial"/>
          <w:b/>
          <w:bCs/>
          <w:color w:val="000000" w:themeColor="text1"/>
        </w:rPr>
        <w:t>Track performance and costs</w:t>
      </w:r>
      <w:r w:rsidRPr="7ED76EB1">
        <w:rPr>
          <w:rFonts w:ascii="Arial" w:eastAsia="Arial" w:hAnsi="Arial" w:cs="Arial"/>
          <w:color w:val="000000" w:themeColor="text1"/>
        </w:rPr>
        <w:t xml:space="preserve"> to catch issues early</w:t>
      </w:r>
    </w:p>
    <w:p w14:paraId="366E9BD3" w14:textId="1E7282A0" w:rsidR="00880E29" w:rsidRDefault="3EA2EA05" w:rsidP="7ED76EB1">
      <w:pPr>
        <w:pStyle w:val="ListParagraph"/>
        <w:numPr>
          <w:ilvl w:val="0"/>
          <w:numId w:val="2"/>
        </w:numPr>
        <w:spacing w:before="240" w:after="240"/>
        <w:rPr>
          <w:rFonts w:ascii="Arial" w:eastAsia="Arial" w:hAnsi="Arial" w:cs="Arial"/>
          <w:color w:val="000000" w:themeColor="text1"/>
        </w:rPr>
      </w:pPr>
      <w:r w:rsidRPr="7ED76EB1">
        <w:rPr>
          <w:rFonts w:ascii="Arial" w:eastAsia="Arial" w:hAnsi="Arial" w:cs="Arial"/>
          <w:b/>
          <w:bCs/>
          <w:color w:val="000000" w:themeColor="text1"/>
        </w:rPr>
        <w:t>Use modular workflows</w:t>
      </w:r>
      <w:r w:rsidRPr="7ED76EB1">
        <w:rPr>
          <w:rFonts w:ascii="Arial" w:eastAsia="Arial" w:hAnsi="Arial" w:cs="Arial"/>
          <w:color w:val="000000" w:themeColor="text1"/>
        </w:rPr>
        <w:t xml:space="preserve"> (like RAG) so your logic isn’t tied to just one model</w:t>
      </w:r>
    </w:p>
    <w:p w14:paraId="6E7C3815" w14:textId="63DA7005" w:rsidR="00880E29" w:rsidRDefault="3EA2EA05" w:rsidP="7ED76EB1">
      <w:pPr>
        <w:pStyle w:val="ListParagraph"/>
        <w:numPr>
          <w:ilvl w:val="0"/>
          <w:numId w:val="2"/>
        </w:numPr>
        <w:spacing w:before="240" w:after="240"/>
        <w:rPr>
          <w:rFonts w:ascii="Arial" w:eastAsia="Arial" w:hAnsi="Arial" w:cs="Arial"/>
          <w:color w:val="000000" w:themeColor="text1"/>
        </w:rPr>
      </w:pPr>
      <w:r w:rsidRPr="7ED76EB1">
        <w:rPr>
          <w:rFonts w:ascii="Arial" w:eastAsia="Arial" w:hAnsi="Arial" w:cs="Arial"/>
          <w:b/>
          <w:bCs/>
          <w:color w:val="000000" w:themeColor="text1"/>
        </w:rPr>
        <w:t>Store and manage prompts like code</w:t>
      </w:r>
      <w:r w:rsidRPr="7ED76EB1">
        <w:rPr>
          <w:rFonts w:ascii="Arial" w:eastAsia="Arial" w:hAnsi="Arial" w:cs="Arial"/>
          <w:color w:val="000000" w:themeColor="text1"/>
        </w:rPr>
        <w:t>, which makes them reusable, easier to test, and easier to move to new models if needed</w:t>
      </w:r>
    </w:p>
    <w:p w14:paraId="7AD9DF78" w14:textId="3D45B377" w:rsidR="00880E29" w:rsidRDefault="3EA2EA05" w:rsidP="321CD7A7">
      <w:pPr>
        <w:spacing w:before="240" w:after="240"/>
      </w:pPr>
      <w:r w:rsidRPr="78432105">
        <w:rPr>
          <w:rFonts w:ascii="Arial" w:eastAsia="Arial" w:hAnsi="Arial" w:cs="Arial"/>
          <w:color w:val="000000" w:themeColor="text1"/>
        </w:rPr>
        <w:t xml:space="preserve">This kind of setup makes it faster and safer to adapt as your AI needs </w:t>
      </w:r>
      <w:r w:rsidR="2942017F" w:rsidRPr="78432105">
        <w:rPr>
          <w:rFonts w:ascii="Arial" w:eastAsia="Arial" w:hAnsi="Arial" w:cs="Arial"/>
          <w:color w:val="000000" w:themeColor="text1"/>
        </w:rPr>
        <w:t>to grow</w:t>
      </w:r>
      <w:r w:rsidRPr="78432105">
        <w:rPr>
          <w:rFonts w:ascii="Arial" w:eastAsia="Arial" w:hAnsi="Arial" w:cs="Arial"/>
          <w:color w:val="000000" w:themeColor="text1"/>
        </w:rPr>
        <w:t xml:space="preserve"> or change.</w:t>
      </w:r>
    </w:p>
    <w:p w14:paraId="50026760" w14:textId="2883BFF0" w:rsidR="00880E29" w:rsidRDefault="3EA2EA05" w:rsidP="321CD7A7">
      <w:pPr>
        <w:pStyle w:val="Heading2"/>
        <w:spacing w:before="280" w:after="120"/>
      </w:pPr>
      <w:r w:rsidRPr="321CD7A7">
        <w:rPr>
          <w:rFonts w:ascii="Arial" w:eastAsia="Arial" w:hAnsi="Arial" w:cs="Arial"/>
          <w:b/>
          <w:bCs/>
          <w:color w:val="000000" w:themeColor="text1"/>
          <w:sz w:val="28"/>
          <w:szCs w:val="28"/>
        </w:rPr>
        <w:t>Flexibility Is the Smarter Choice</w:t>
      </w:r>
    </w:p>
    <w:p w14:paraId="7783EDC2" w14:textId="0C4847DE" w:rsidR="00880E29" w:rsidRDefault="3EA2EA05" w:rsidP="321CD7A7">
      <w:pPr>
        <w:spacing w:before="240" w:after="240"/>
      </w:pPr>
      <w:r w:rsidRPr="78432105">
        <w:rPr>
          <w:rFonts w:ascii="Arial" w:eastAsia="Arial" w:hAnsi="Arial" w:cs="Arial"/>
          <w:color w:val="000000" w:themeColor="text1"/>
        </w:rPr>
        <w:t xml:space="preserve">Generative AI is helping businesses work faster and </w:t>
      </w:r>
      <w:r w:rsidR="3A4E23A6" w:rsidRPr="78432105">
        <w:rPr>
          <w:rFonts w:ascii="Arial" w:eastAsia="Arial" w:hAnsi="Arial" w:cs="Arial"/>
          <w:color w:val="000000" w:themeColor="text1"/>
        </w:rPr>
        <w:t>smarter but</w:t>
      </w:r>
      <w:r w:rsidRPr="78432105">
        <w:rPr>
          <w:rFonts w:ascii="Arial" w:eastAsia="Arial" w:hAnsi="Arial" w:cs="Arial"/>
          <w:color w:val="000000" w:themeColor="text1"/>
        </w:rPr>
        <w:t xml:space="preserve"> relying on just one AI provider comes with risks. It can slow you down, limit your options, and make it harder to stay in control.</w:t>
      </w:r>
    </w:p>
    <w:p w14:paraId="4005C730" w14:textId="52EF89D8" w:rsidR="00880E29" w:rsidRDefault="3EA2EA05" w:rsidP="321CD7A7">
      <w:pPr>
        <w:spacing w:before="240" w:after="240"/>
      </w:pPr>
      <w:r w:rsidRPr="321CD7A7">
        <w:rPr>
          <w:rFonts w:ascii="Arial" w:eastAsia="Arial" w:hAnsi="Arial" w:cs="Arial"/>
          <w:color w:val="000000" w:themeColor="text1"/>
        </w:rPr>
        <w:t>The better approach is to stay flexible.</w:t>
      </w:r>
    </w:p>
    <w:p w14:paraId="4EE4BDA9" w14:textId="17F9DE09" w:rsidR="00880E29" w:rsidRDefault="3EA2EA05" w:rsidP="321CD7A7">
      <w:pPr>
        <w:spacing w:before="240" w:after="240"/>
      </w:pPr>
      <w:r w:rsidRPr="7ED76EB1">
        <w:rPr>
          <w:rFonts w:ascii="Arial" w:eastAsia="Arial" w:hAnsi="Arial" w:cs="Arial"/>
          <w:color w:val="000000" w:themeColor="text1"/>
        </w:rPr>
        <w:t>By using multiple AI models, exploring open-source tools, and following best practices for managing AI systems, businesses can reduce risk and stay ready for whatever comes next.</w:t>
      </w:r>
    </w:p>
    <w:p w14:paraId="06860D63" w14:textId="4CBE3C2D" w:rsidR="58A28708" w:rsidRDefault="58A28708" w:rsidP="7ED76EB1">
      <w:pPr>
        <w:spacing w:before="240" w:after="240"/>
      </w:pPr>
      <w:r w:rsidRPr="7ED76EB1">
        <w:rPr>
          <w:rFonts w:ascii="Arial" w:eastAsia="Arial" w:hAnsi="Arial" w:cs="Arial"/>
        </w:rPr>
        <w:t xml:space="preserve">Need help getting started? Explore </w:t>
      </w:r>
      <w:hyperlink r:id="rId12">
        <w:r w:rsidRPr="7ED76EB1">
          <w:rPr>
            <w:rStyle w:val="Hyperlink"/>
            <w:rFonts w:ascii="Arial" w:eastAsia="Arial" w:hAnsi="Arial" w:cs="Arial"/>
          </w:rPr>
          <w:t>AI Consulting</w:t>
        </w:r>
      </w:hyperlink>
      <w:r w:rsidRPr="7ED76EB1">
        <w:rPr>
          <w:rFonts w:ascii="Arial" w:eastAsia="Arial" w:hAnsi="Arial" w:cs="Arial"/>
        </w:rPr>
        <w:t>, open-source options, or multi-model setups with expert guidance.</w:t>
      </w:r>
    </w:p>
    <w:p w14:paraId="5864A0A8" w14:textId="5ACB4BA9" w:rsidR="00880E29" w:rsidRDefault="58A28708" w:rsidP="43EAED56">
      <w:pPr>
        <w:spacing w:before="240" w:after="240"/>
      </w:pPr>
      <w:hyperlink r:id="rId13">
        <w:r w:rsidRPr="43EAED56">
          <w:rPr>
            <w:rStyle w:val="Hyperlink"/>
            <w:rFonts w:ascii="Arial" w:eastAsia="Arial" w:hAnsi="Arial" w:cs="Arial"/>
          </w:rPr>
          <w:t>Contact Us</w:t>
        </w:r>
      </w:hyperlink>
      <w:r w:rsidRPr="43EAED56">
        <w:rPr>
          <w:rFonts w:ascii="Arial" w:eastAsia="Arial" w:hAnsi="Arial" w:cs="Arial"/>
        </w:rPr>
        <w:t xml:space="preserve"> to learn more</w:t>
      </w:r>
      <w:r w:rsidR="76227381" w:rsidRPr="43EAED56">
        <w:rPr>
          <w:rFonts w:ascii="Arial" w:eastAsia="Arial" w:hAnsi="Arial" w:cs="Arial"/>
        </w:rPr>
        <w:t>.</w:t>
      </w:r>
    </w:p>
    <w:p w14:paraId="49FFA5F3" w14:textId="58E8A796" w:rsidR="00880E29" w:rsidRDefault="00880E29"/>
    <w:p w14:paraId="41759FE1" w14:textId="2E4EB532" w:rsidR="00880E29" w:rsidRDefault="00880E29"/>
    <w:p w14:paraId="0C2DD807" w14:textId="44B17014" w:rsidR="00880E29" w:rsidRDefault="00880E29"/>
    <w:p w14:paraId="2C078E63" w14:textId="1ADBAA17" w:rsidR="00880E29" w:rsidRDefault="00880E29"/>
    <w:sectPr w:rsidR="00880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wCHTq0xpdPatvy" int2:id="x3EDgx0G">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EFD25"/>
    <w:multiLevelType w:val="hybridMultilevel"/>
    <w:tmpl w:val="AF803B5E"/>
    <w:lvl w:ilvl="0" w:tplc="00F61DEC">
      <w:start w:val="1"/>
      <w:numFmt w:val="bullet"/>
      <w:lvlText w:val=""/>
      <w:lvlJc w:val="left"/>
      <w:pPr>
        <w:ind w:left="720" w:hanging="360"/>
      </w:pPr>
      <w:rPr>
        <w:rFonts w:ascii="Symbol" w:hAnsi="Symbol" w:hint="default"/>
      </w:rPr>
    </w:lvl>
    <w:lvl w:ilvl="1" w:tplc="5BDA384C">
      <w:start w:val="1"/>
      <w:numFmt w:val="bullet"/>
      <w:lvlText w:val="o"/>
      <w:lvlJc w:val="left"/>
      <w:pPr>
        <w:ind w:left="1440" w:hanging="360"/>
      </w:pPr>
      <w:rPr>
        <w:rFonts w:ascii="Courier New" w:hAnsi="Courier New" w:hint="default"/>
      </w:rPr>
    </w:lvl>
    <w:lvl w:ilvl="2" w:tplc="11287A30">
      <w:start w:val="1"/>
      <w:numFmt w:val="bullet"/>
      <w:lvlText w:val=""/>
      <w:lvlJc w:val="left"/>
      <w:pPr>
        <w:ind w:left="2160" w:hanging="360"/>
      </w:pPr>
      <w:rPr>
        <w:rFonts w:ascii="Wingdings" w:hAnsi="Wingdings" w:hint="default"/>
      </w:rPr>
    </w:lvl>
    <w:lvl w:ilvl="3" w:tplc="05A02A4E">
      <w:start w:val="1"/>
      <w:numFmt w:val="bullet"/>
      <w:lvlText w:val=""/>
      <w:lvlJc w:val="left"/>
      <w:pPr>
        <w:ind w:left="2880" w:hanging="360"/>
      </w:pPr>
      <w:rPr>
        <w:rFonts w:ascii="Symbol" w:hAnsi="Symbol" w:hint="default"/>
      </w:rPr>
    </w:lvl>
    <w:lvl w:ilvl="4" w:tplc="515462A0">
      <w:start w:val="1"/>
      <w:numFmt w:val="bullet"/>
      <w:lvlText w:val="o"/>
      <w:lvlJc w:val="left"/>
      <w:pPr>
        <w:ind w:left="3600" w:hanging="360"/>
      </w:pPr>
      <w:rPr>
        <w:rFonts w:ascii="Courier New" w:hAnsi="Courier New" w:hint="default"/>
      </w:rPr>
    </w:lvl>
    <w:lvl w:ilvl="5" w:tplc="240AE40C">
      <w:start w:val="1"/>
      <w:numFmt w:val="bullet"/>
      <w:lvlText w:val=""/>
      <w:lvlJc w:val="left"/>
      <w:pPr>
        <w:ind w:left="4320" w:hanging="360"/>
      </w:pPr>
      <w:rPr>
        <w:rFonts w:ascii="Wingdings" w:hAnsi="Wingdings" w:hint="default"/>
      </w:rPr>
    </w:lvl>
    <w:lvl w:ilvl="6" w:tplc="2B222B46">
      <w:start w:val="1"/>
      <w:numFmt w:val="bullet"/>
      <w:lvlText w:val=""/>
      <w:lvlJc w:val="left"/>
      <w:pPr>
        <w:ind w:left="5040" w:hanging="360"/>
      </w:pPr>
      <w:rPr>
        <w:rFonts w:ascii="Symbol" w:hAnsi="Symbol" w:hint="default"/>
      </w:rPr>
    </w:lvl>
    <w:lvl w:ilvl="7" w:tplc="8CD2FD82">
      <w:start w:val="1"/>
      <w:numFmt w:val="bullet"/>
      <w:lvlText w:val="o"/>
      <w:lvlJc w:val="left"/>
      <w:pPr>
        <w:ind w:left="5760" w:hanging="360"/>
      </w:pPr>
      <w:rPr>
        <w:rFonts w:ascii="Courier New" w:hAnsi="Courier New" w:hint="default"/>
      </w:rPr>
    </w:lvl>
    <w:lvl w:ilvl="8" w:tplc="E6D290DC">
      <w:start w:val="1"/>
      <w:numFmt w:val="bullet"/>
      <w:lvlText w:val=""/>
      <w:lvlJc w:val="left"/>
      <w:pPr>
        <w:ind w:left="6480" w:hanging="360"/>
      </w:pPr>
      <w:rPr>
        <w:rFonts w:ascii="Wingdings" w:hAnsi="Wingdings" w:hint="default"/>
      </w:rPr>
    </w:lvl>
  </w:abstractNum>
  <w:abstractNum w:abstractNumId="1" w15:restartNumberingAfterBreak="0">
    <w:nsid w:val="1651AB48"/>
    <w:multiLevelType w:val="hybridMultilevel"/>
    <w:tmpl w:val="629A3782"/>
    <w:lvl w:ilvl="0" w:tplc="F13E6DDE">
      <w:start w:val="1"/>
      <w:numFmt w:val="decimal"/>
      <w:lvlText w:val="%1."/>
      <w:lvlJc w:val="left"/>
      <w:pPr>
        <w:ind w:left="720" w:hanging="360"/>
      </w:pPr>
    </w:lvl>
    <w:lvl w:ilvl="1" w:tplc="65B0927E">
      <w:start w:val="1"/>
      <w:numFmt w:val="lowerLetter"/>
      <w:lvlText w:val="%2."/>
      <w:lvlJc w:val="left"/>
      <w:pPr>
        <w:ind w:left="1440" w:hanging="360"/>
      </w:pPr>
    </w:lvl>
    <w:lvl w:ilvl="2" w:tplc="68F4ECCC">
      <w:start w:val="1"/>
      <w:numFmt w:val="lowerRoman"/>
      <w:lvlText w:val="%3."/>
      <w:lvlJc w:val="right"/>
      <w:pPr>
        <w:ind w:left="2160" w:hanging="180"/>
      </w:pPr>
    </w:lvl>
    <w:lvl w:ilvl="3" w:tplc="EEF60296">
      <w:start w:val="1"/>
      <w:numFmt w:val="decimal"/>
      <w:lvlText w:val="%4."/>
      <w:lvlJc w:val="left"/>
      <w:pPr>
        <w:ind w:left="2880" w:hanging="360"/>
      </w:pPr>
    </w:lvl>
    <w:lvl w:ilvl="4" w:tplc="9B94E52C">
      <w:start w:val="1"/>
      <w:numFmt w:val="lowerLetter"/>
      <w:lvlText w:val="%5."/>
      <w:lvlJc w:val="left"/>
      <w:pPr>
        <w:ind w:left="3600" w:hanging="360"/>
      </w:pPr>
    </w:lvl>
    <w:lvl w:ilvl="5" w:tplc="5E405006">
      <w:start w:val="1"/>
      <w:numFmt w:val="lowerRoman"/>
      <w:lvlText w:val="%6."/>
      <w:lvlJc w:val="right"/>
      <w:pPr>
        <w:ind w:left="4320" w:hanging="180"/>
      </w:pPr>
    </w:lvl>
    <w:lvl w:ilvl="6" w:tplc="56CC24E6">
      <w:start w:val="1"/>
      <w:numFmt w:val="decimal"/>
      <w:lvlText w:val="%7."/>
      <w:lvlJc w:val="left"/>
      <w:pPr>
        <w:ind w:left="5040" w:hanging="360"/>
      </w:pPr>
    </w:lvl>
    <w:lvl w:ilvl="7" w:tplc="CF8A57BE">
      <w:start w:val="1"/>
      <w:numFmt w:val="lowerLetter"/>
      <w:lvlText w:val="%8."/>
      <w:lvlJc w:val="left"/>
      <w:pPr>
        <w:ind w:left="5760" w:hanging="360"/>
      </w:pPr>
    </w:lvl>
    <w:lvl w:ilvl="8" w:tplc="92765D9C">
      <w:start w:val="1"/>
      <w:numFmt w:val="lowerRoman"/>
      <w:lvlText w:val="%9."/>
      <w:lvlJc w:val="right"/>
      <w:pPr>
        <w:ind w:left="6480" w:hanging="180"/>
      </w:pPr>
    </w:lvl>
  </w:abstractNum>
  <w:abstractNum w:abstractNumId="2" w15:restartNumberingAfterBreak="0">
    <w:nsid w:val="7744343F"/>
    <w:multiLevelType w:val="hybridMultilevel"/>
    <w:tmpl w:val="21C87006"/>
    <w:lvl w:ilvl="0" w:tplc="299496E2">
      <w:start w:val="1"/>
      <w:numFmt w:val="decimal"/>
      <w:lvlText w:val="%1."/>
      <w:lvlJc w:val="left"/>
      <w:pPr>
        <w:ind w:left="720" w:hanging="360"/>
      </w:pPr>
    </w:lvl>
    <w:lvl w:ilvl="1" w:tplc="D6FE6646">
      <w:start w:val="1"/>
      <w:numFmt w:val="lowerLetter"/>
      <w:lvlText w:val="%2."/>
      <w:lvlJc w:val="left"/>
      <w:pPr>
        <w:ind w:left="1440" w:hanging="360"/>
      </w:pPr>
    </w:lvl>
    <w:lvl w:ilvl="2" w:tplc="F3246C40">
      <w:start w:val="1"/>
      <w:numFmt w:val="lowerRoman"/>
      <w:lvlText w:val="%3."/>
      <w:lvlJc w:val="right"/>
      <w:pPr>
        <w:ind w:left="2160" w:hanging="180"/>
      </w:pPr>
    </w:lvl>
    <w:lvl w:ilvl="3" w:tplc="3E06DEB4">
      <w:start w:val="1"/>
      <w:numFmt w:val="decimal"/>
      <w:lvlText w:val="%4."/>
      <w:lvlJc w:val="left"/>
      <w:pPr>
        <w:ind w:left="2880" w:hanging="360"/>
      </w:pPr>
    </w:lvl>
    <w:lvl w:ilvl="4" w:tplc="4FB6605E">
      <w:start w:val="1"/>
      <w:numFmt w:val="lowerLetter"/>
      <w:lvlText w:val="%5."/>
      <w:lvlJc w:val="left"/>
      <w:pPr>
        <w:ind w:left="3600" w:hanging="360"/>
      </w:pPr>
    </w:lvl>
    <w:lvl w:ilvl="5" w:tplc="689A735E">
      <w:start w:val="1"/>
      <w:numFmt w:val="lowerRoman"/>
      <w:lvlText w:val="%6."/>
      <w:lvlJc w:val="right"/>
      <w:pPr>
        <w:ind w:left="4320" w:hanging="180"/>
      </w:pPr>
    </w:lvl>
    <w:lvl w:ilvl="6" w:tplc="5ECAFCC2">
      <w:start w:val="1"/>
      <w:numFmt w:val="decimal"/>
      <w:lvlText w:val="%7."/>
      <w:lvlJc w:val="left"/>
      <w:pPr>
        <w:ind w:left="5040" w:hanging="360"/>
      </w:pPr>
    </w:lvl>
    <w:lvl w:ilvl="7" w:tplc="4A66A6E6">
      <w:start w:val="1"/>
      <w:numFmt w:val="lowerLetter"/>
      <w:lvlText w:val="%8."/>
      <w:lvlJc w:val="left"/>
      <w:pPr>
        <w:ind w:left="5760" w:hanging="360"/>
      </w:pPr>
    </w:lvl>
    <w:lvl w:ilvl="8" w:tplc="30188976">
      <w:start w:val="1"/>
      <w:numFmt w:val="lowerRoman"/>
      <w:lvlText w:val="%9."/>
      <w:lvlJc w:val="right"/>
      <w:pPr>
        <w:ind w:left="6480" w:hanging="180"/>
      </w:pPr>
    </w:lvl>
  </w:abstractNum>
  <w:abstractNum w:abstractNumId="3" w15:restartNumberingAfterBreak="0">
    <w:nsid w:val="7D113CA5"/>
    <w:multiLevelType w:val="hybridMultilevel"/>
    <w:tmpl w:val="5614CC02"/>
    <w:lvl w:ilvl="0" w:tplc="E2A448E6">
      <w:start w:val="1"/>
      <w:numFmt w:val="bullet"/>
      <w:lvlText w:val=""/>
      <w:lvlJc w:val="left"/>
      <w:pPr>
        <w:ind w:left="720" w:hanging="360"/>
      </w:pPr>
      <w:rPr>
        <w:rFonts w:ascii="Symbol" w:hAnsi="Symbol" w:hint="default"/>
      </w:rPr>
    </w:lvl>
    <w:lvl w:ilvl="1" w:tplc="31724C8C">
      <w:start w:val="1"/>
      <w:numFmt w:val="bullet"/>
      <w:lvlText w:val="o"/>
      <w:lvlJc w:val="left"/>
      <w:pPr>
        <w:ind w:left="1440" w:hanging="360"/>
      </w:pPr>
      <w:rPr>
        <w:rFonts w:ascii="Courier New" w:hAnsi="Courier New" w:hint="default"/>
      </w:rPr>
    </w:lvl>
    <w:lvl w:ilvl="2" w:tplc="04744E44">
      <w:start w:val="1"/>
      <w:numFmt w:val="bullet"/>
      <w:lvlText w:val=""/>
      <w:lvlJc w:val="left"/>
      <w:pPr>
        <w:ind w:left="2160" w:hanging="360"/>
      </w:pPr>
      <w:rPr>
        <w:rFonts w:ascii="Wingdings" w:hAnsi="Wingdings" w:hint="default"/>
      </w:rPr>
    </w:lvl>
    <w:lvl w:ilvl="3" w:tplc="13B694CE">
      <w:start w:val="1"/>
      <w:numFmt w:val="bullet"/>
      <w:lvlText w:val=""/>
      <w:lvlJc w:val="left"/>
      <w:pPr>
        <w:ind w:left="2880" w:hanging="360"/>
      </w:pPr>
      <w:rPr>
        <w:rFonts w:ascii="Symbol" w:hAnsi="Symbol" w:hint="default"/>
      </w:rPr>
    </w:lvl>
    <w:lvl w:ilvl="4" w:tplc="2E804478">
      <w:start w:val="1"/>
      <w:numFmt w:val="bullet"/>
      <w:lvlText w:val="o"/>
      <w:lvlJc w:val="left"/>
      <w:pPr>
        <w:ind w:left="3600" w:hanging="360"/>
      </w:pPr>
      <w:rPr>
        <w:rFonts w:ascii="Courier New" w:hAnsi="Courier New" w:hint="default"/>
      </w:rPr>
    </w:lvl>
    <w:lvl w:ilvl="5" w:tplc="2E3646AA">
      <w:start w:val="1"/>
      <w:numFmt w:val="bullet"/>
      <w:lvlText w:val=""/>
      <w:lvlJc w:val="left"/>
      <w:pPr>
        <w:ind w:left="4320" w:hanging="360"/>
      </w:pPr>
      <w:rPr>
        <w:rFonts w:ascii="Wingdings" w:hAnsi="Wingdings" w:hint="default"/>
      </w:rPr>
    </w:lvl>
    <w:lvl w:ilvl="6" w:tplc="478AF212">
      <w:start w:val="1"/>
      <w:numFmt w:val="bullet"/>
      <w:lvlText w:val=""/>
      <w:lvlJc w:val="left"/>
      <w:pPr>
        <w:ind w:left="5040" w:hanging="360"/>
      </w:pPr>
      <w:rPr>
        <w:rFonts w:ascii="Symbol" w:hAnsi="Symbol" w:hint="default"/>
      </w:rPr>
    </w:lvl>
    <w:lvl w:ilvl="7" w:tplc="5CAC97FA">
      <w:start w:val="1"/>
      <w:numFmt w:val="bullet"/>
      <w:lvlText w:val="o"/>
      <w:lvlJc w:val="left"/>
      <w:pPr>
        <w:ind w:left="5760" w:hanging="360"/>
      </w:pPr>
      <w:rPr>
        <w:rFonts w:ascii="Courier New" w:hAnsi="Courier New" w:hint="default"/>
      </w:rPr>
    </w:lvl>
    <w:lvl w:ilvl="8" w:tplc="EAA8B22A">
      <w:start w:val="1"/>
      <w:numFmt w:val="bullet"/>
      <w:lvlText w:val=""/>
      <w:lvlJc w:val="left"/>
      <w:pPr>
        <w:ind w:left="6480" w:hanging="360"/>
      </w:pPr>
      <w:rPr>
        <w:rFonts w:ascii="Wingdings" w:hAnsi="Wingdings" w:hint="default"/>
      </w:rPr>
    </w:lvl>
  </w:abstractNum>
  <w:num w:numId="1" w16cid:durableId="981496057">
    <w:abstractNumId w:val="1"/>
  </w:num>
  <w:num w:numId="2" w16cid:durableId="281620876">
    <w:abstractNumId w:val="2"/>
  </w:num>
  <w:num w:numId="3" w16cid:durableId="292491178">
    <w:abstractNumId w:val="0"/>
  </w:num>
  <w:num w:numId="4" w16cid:durableId="1280917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6E270A"/>
    <w:rsid w:val="002B99B1"/>
    <w:rsid w:val="00880E29"/>
    <w:rsid w:val="00ABDEE4"/>
    <w:rsid w:val="00ED52D7"/>
    <w:rsid w:val="00F91F9F"/>
    <w:rsid w:val="020F93DD"/>
    <w:rsid w:val="037412C4"/>
    <w:rsid w:val="0944B400"/>
    <w:rsid w:val="0A3CCB9F"/>
    <w:rsid w:val="14D15C07"/>
    <w:rsid w:val="1AA2FF3D"/>
    <w:rsid w:val="1B5E7253"/>
    <w:rsid w:val="1C6A1E26"/>
    <w:rsid w:val="231CA78C"/>
    <w:rsid w:val="2942017F"/>
    <w:rsid w:val="2D3ADCAE"/>
    <w:rsid w:val="301A13E4"/>
    <w:rsid w:val="321CD7A7"/>
    <w:rsid w:val="37AF8895"/>
    <w:rsid w:val="3A4E23A6"/>
    <w:rsid w:val="3BA99D7B"/>
    <w:rsid w:val="3EA2EA05"/>
    <w:rsid w:val="3FC4890B"/>
    <w:rsid w:val="43EAED56"/>
    <w:rsid w:val="44951F13"/>
    <w:rsid w:val="4BA89634"/>
    <w:rsid w:val="4D346534"/>
    <w:rsid w:val="51660C36"/>
    <w:rsid w:val="571479D4"/>
    <w:rsid w:val="58A28708"/>
    <w:rsid w:val="6C0DCFF6"/>
    <w:rsid w:val="6D55177A"/>
    <w:rsid w:val="6E6E270A"/>
    <w:rsid w:val="76227381"/>
    <w:rsid w:val="78432105"/>
    <w:rsid w:val="79F01135"/>
    <w:rsid w:val="7ED76EB1"/>
    <w:rsid w:val="7F343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E270A"/>
  <w15:chartTrackingRefBased/>
  <w15:docId w15:val="{07E3D4A0-1716-4A5B-828C-A72209E8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321CD7A7"/>
    <w:rPr>
      <w:color w:val="467886"/>
      <w:u w:val="single"/>
    </w:rPr>
  </w:style>
  <w:style w:type="paragraph" w:styleId="ListParagraph">
    <w:name w:val="List Paragraph"/>
    <w:basedOn w:val="Normal"/>
    <w:uiPriority w:val="34"/>
    <w:qFormat/>
    <w:rsid w:val="321CD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noptix.ai/platform/model-directory" TargetMode="External"/><Relationship Id="rId13" Type="http://schemas.openxmlformats.org/officeDocument/2006/relationships/hyperlink" Target="https://synoptix.ai/contact-u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ynoptix.ai/services/ai-consulting"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ynoptix.ai/platform/synoptix-ai-agent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intelligentcio.com/eu/2024/10/03/how-ai-is-creating-a-new-era-of-cloud-vendor-lock-in/" TargetMode="External"/><Relationship Id="rId4" Type="http://schemas.openxmlformats.org/officeDocument/2006/relationships/numbering" Target="numbering.xml"/><Relationship Id="rId9" Type="http://schemas.openxmlformats.org/officeDocument/2006/relationships/hyperlink" Target="https://openai.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58B71E-897B-42F2-AD58-22623C545E27}">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customXml/itemProps2.xml><?xml version="1.0" encoding="utf-8"?>
<ds:datastoreItem xmlns:ds="http://schemas.openxmlformats.org/officeDocument/2006/customXml" ds:itemID="{BA56A14E-73E0-4113-BFD4-A69971A45411}">
  <ds:schemaRefs>
    <ds:schemaRef ds:uri="http://schemas.microsoft.com/sharepoint/v3/contenttype/forms"/>
  </ds:schemaRefs>
</ds:datastoreItem>
</file>

<file path=customXml/itemProps3.xml><?xml version="1.0" encoding="utf-8"?>
<ds:datastoreItem xmlns:ds="http://schemas.openxmlformats.org/officeDocument/2006/customXml" ds:itemID="{9505BC96-BB31-42EA-9246-C9281D160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1100</Words>
  <Characters>6272</Characters>
  <Application>Microsoft Office Word</Application>
  <DocSecurity>0</DocSecurity>
  <Lines>52</Lines>
  <Paragraphs>14</Paragraphs>
  <ScaleCrop>false</ScaleCrop>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Noor</dc:creator>
  <cp:keywords/>
  <dc:description/>
  <cp:lastModifiedBy>Raheeb Gill</cp:lastModifiedBy>
  <cp:revision>2</cp:revision>
  <dcterms:created xsi:type="dcterms:W3CDTF">2025-07-11T05:49:00Z</dcterms:created>
  <dcterms:modified xsi:type="dcterms:W3CDTF">2025-07-23T10:52:00Z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