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40"/>
        <w:jc w:val="center"/>
      </w:pPr>
      <w:r>
        <w:rPr>
          <w:rFonts w:ascii="Cambria" w:cs="Cambria" w:eastAsia="Cambria" w:hAnsi="Cambria"/>
          <w:b/>
          <w:bCs/>
          <w:color w:val="2C1250"/>
          <w:sz w:val="40"/>
          <w:szCs w:val="40"/>
        </w:rPr>
        <w:t xml:space="preserve">Early-Stage Pancreatic Cancer Detection</w:t>
      </w:r>
    </w:p>
    <w:p>
      <w:pPr>
        <w:spacing w:after="400"/>
        <w:jc w:val="center"/>
      </w:pPr>
      <w:r>
        <w:rPr>
          <w:rFonts w:ascii="Cambria" w:cs="Cambria" w:eastAsia="Cambria" w:hAnsi="Cambria"/>
          <w:b/>
          <w:bCs/>
          <w:color w:val="4B2E83"/>
          <w:sz w:val="32"/>
          <w:szCs w:val="32"/>
        </w:rPr>
        <w:t xml:space="preserve">Using Random Forest Classification on Clinical Urinary Biomarker Data</w:t>
      </w:r>
    </w:p>
    <w:p>
      <w:pPr>
        <w:spacing w:after="160"/>
        <w:jc w:val="center"/>
      </w:pPr>
      <w:r>
        <w:rPr>
          <w:i/>
          <w:iCs/>
          <w:color w:val="555555"/>
          <w:sz w:val="24"/>
          <w:szCs w:val="24"/>
        </w:rPr>
        <w:t xml:space="preserve">A Data Mining Course Project Report</w:t>
      </w:r>
    </w:p>
    <w:p>
      <w:pPr>
        <w:spacing w:after="800"/>
        <w:jc w:val="center"/>
      </w:pPr>
      <w:r>
        <w:rPr>
          <w:color w:val="555555"/>
          <w:sz w:val="22"/>
          <w:szCs w:val="22"/>
        </w:rPr>
        <w:t xml:space="preserve">Department of Computer Science and Engineering (AI/ML)</w:t>
      </w:r>
    </w:p>
    <w:p>
      <w:pPr>
        <w:spacing w:after="80"/>
        <w:jc w:val="center"/>
      </w:pPr>
      <w:r>
        <w:rPr>
          <w:i/>
          <w:iCs/>
          <w:color w:val="6B6478"/>
          <w:sz w:val="20"/>
          <w:szCs w:val="20"/>
        </w:rPr>
        <w:t xml:space="preserve">Keywords: Random Forest, Pancreatic Cancer, Urinary Biomarkers, SMOTE, Class Imbalance, Medical Data Mining</w:t>
      </w:r>
    </w:p>
    <w:p>
      <w:r>
        <w:br w:type="page"/>
      </w:r>
    </w:p>
    <w:p>
      <w:pPr>
        <w:pStyle w:val="Heading1"/>
        <w:spacing w:after="160" w:before="320"/>
      </w:pPr>
      <w:r>
        <w:t xml:space="preserve">Abstract</w:t>
      </w:r>
    </w:p>
    <w:p>
      <w:pPr>
        <w:spacing w:after="200" w:line="360"/>
        <w:jc w:val="both"/>
      </w:pPr>
      <w:r>
        <w:rPr>
          <w:sz w:val="22"/>
          <w:szCs w:val="22"/>
        </w:rPr>
        <w:t xml:space="preserve">Pancreatic ductal adenocarcinoma (PDAC) has one of the lowest five-year survival rates of any cancer, primarily because it is typically diagnosed at an advanced, symptomatic stage. A low-cost, non-invasive screening approach based on urinary biomarkers could enable substantially earlier detection and improve clinical outcomes. This project develops and evaluates an end-to-end machine learning pipeline that classifies patients into three diagnostic categories — Control, Benign, and PDAC — using a panel of urinary and plasma biomarkers (CA19-9, creatinine, LYVE1, REG1B, TFF1, REG1A) together with patient age, sex, and sample-collection metadata. A Random Forest classifier is used as the sole data mining technique, combined with SMOTE-based oversampling and cost-sensitive class weighting to address class imbalance, and tuned via stratified cross-validated grid search. The resulting model achieves 91.5% test accuracy and a macro-averaged ROC-AUC of 0.983, with feature-importance analysis identifying REG1B, TFF1, and CA19-9 as the most diagnostically informative biomarkers. This report situates the work within the existing literature on urinary biomarker panels for pancreatic cancer and on Random Forest methodology, and discusses the pipeline's architecture, results, evaluation methodology, limitations, and directions for future work in detail.</w:t>
      </w:r>
    </w:p>
    <w:p>
      <w:pPr>
        <w:pStyle w:val="Heading1"/>
        <w:spacing w:after="160" w:before="320"/>
      </w:pPr>
      <w:r>
        <w:t xml:space="preserve">1. Introduction</w:t>
      </w:r>
    </w:p>
    <w:p>
      <w:pPr>
        <w:spacing w:after="200" w:line="360"/>
        <w:jc w:val="both"/>
      </w:pPr>
      <w:r>
        <w:rPr>
          <w:sz w:val="22"/>
          <w:szCs w:val="22"/>
        </w:rPr>
        <w:t xml:space="preserve">Pancreatic cancer remains one of the most lethal malignancies in oncology. The overwhelming majority of cases are diagnosed after the disease has progressed beyond the point of curative surgical resection, which is the single largest contributor to its poor prognosis. Unlike cancers with established screening protocols (e.g., breast, cervical, or colorectal cancer), no low-cost, widely deployable screening test exists for pancreatic cancer in the general population. Because early-stage PDAC is frequently asymptomatic, a non-invasive biomarker-based test capable of flagging at-risk individuals before symptom onset would represent a meaningful clinical advance.</w:t>
      </w:r>
    </w:p>
    <w:p>
      <w:pPr>
        <w:spacing w:after="200" w:line="360"/>
        <w:jc w:val="both"/>
      </w:pPr>
      <w:r>
        <w:rPr>
          <w:sz w:val="22"/>
          <w:szCs w:val="22"/>
        </w:rPr>
        <w:t xml:space="preserve">Urine is an attractive medium for such a test: collection is non-invasive, inexpensive, and does not require specialized clinical infrastructure. Prior clinical research has identified a small panel of urinary proteins — including LYVE1, REG1B, and TFF1 — that, in combination with the established serum marker CA19-9 and a creatinine-based normalization control, show measurable diagnostic value for distinguishing PDAC patients from healthy controls and from patients with benign pancreatic or hepatobiliary conditions. This project builds a supervised classification pipeline around exactly this biomarker panel, using Random Forest as the sole data mining technique, and evaluates how well such a panel can be exploited by a tree-ensemble classifier for three-way diagnostic classification.</w:t>
      </w:r>
    </w:p>
    <w:p>
      <w:pPr>
        <w:spacing w:after="200" w:line="360"/>
        <w:jc w:val="both"/>
      </w:pPr>
      <w:r>
        <w:rPr>
          <w:sz w:val="22"/>
          <w:szCs w:val="22"/>
        </w:rPr>
        <w:t xml:space="preserve">The remainder of this report is organized as follows. Section 2 surveys the relevant medical and machine learning literature that informed the project's design. Section 3 describes the dataset and feature set. Section 4 details the proposed methodology and pipeline architecture, including preprocessing, the Random Forest ensemble mechanism, class-imbalance handling, hyperparameter tuning, and the evaluation metrics used. Section 5 presents experimental results with supporting figures and a comparison against prior clinical literature. Section 6 discusses limitations, and Section 7 concludes with directions for future work.</w:t>
      </w:r>
    </w:p>
    <w:p>
      <w:pPr>
        <w:pStyle w:val="Heading1"/>
        <w:spacing w:after="160" w:before="320"/>
      </w:pPr>
      <w:r>
        <w:t xml:space="preserve">2. Literature Survey</w:t>
      </w:r>
    </w:p>
    <w:p>
      <w:pPr>
        <w:spacing w:after="200" w:line="360"/>
        <w:jc w:val="both"/>
      </w:pPr>
      <w:r>
        <w:rPr>
          <w:sz w:val="22"/>
          <w:szCs w:val="22"/>
        </w:rPr>
        <w:t xml:space="preserve">This section reviews the two bodies of prior work most directly responsible for the design of this project: (i) clinical research establishing urinary biomarker panels as a diagnostic signal for pancreatic cancer, and (ii) the machine learning literature on ensemble tree methods, in particular Random Forests, which this project uses as its sole classification technique. A small number of supporting references are also discussed to contextualize the imbalance-handling and epidemiological framing used elsewhere in the report.</w:t>
      </w:r>
    </w:p>
    <w:p>
      <w:pPr>
        <w:pStyle w:val="Heading2"/>
        <w:spacing w:after="120" w:before="260"/>
      </w:pPr>
      <w:r>
        <w:t xml:space="preserve">2.1 Medical Literature: Urinary Biomarker Panels for Pancreatic Cancer</w:t>
      </w:r>
    </w:p>
    <w:p>
      <w:pPr>
        <w:spacing w:after="200" w:line="360"/>
        <w:jc w:val="both"/>
      </w:pPr>
      <w:r>
        <w:rPr>
          <w:b/>
          <w:bCs/>
          <w:sz w:val="22"/>
          <w:szCs w:val="22"/>
        </w:rPr>
        <w:t xml:space="preserve">Debernardi et al. (2020) </w:t>
      </w:r>
      <w:r>
        <w:rPr>
          <w:sz w:val="22"/>
          <w:szCs w:val="22"/>
        </w:rPr>
        <w:t xml:space="preserve">[1] conducted a large case–control study evaluating a panel of urinary proteins — LYVE1, REG1B, and TFF1 — alongside plasma CA19-9 and urinary creatinine, for their ability to distinguish patients with PDAC from healthy controls and from patients with benign pancreatic and hepatobiliary disease. Using cohorts spanning multiple clinical sites, the authors demonstrated that a combined biomarker panel, further integrated into a composite “PancRISK” score, achieved substantially better discriminative performance than any single marker alone, including CA19-9, which is the current clinical standard but suffers from poor sensitivity in early-stage disease and in patients with certain blood types.</w:t>
      </w:r>
    </w:p>
    <w:p>
      <w:pPr>
        <w:spacing w:after="200" w:line="360"/>
        <w:jc w:val="both"/>
      </w:pPr>
      <w:r>
        <w:rPr>
          <w:sz w:val="22"/>
          <w:szCs w:val="22"/>
        </w:rPr>
        <w:t xml:space="preserve">This study directly shaped the design of the present project in three concrete ways. First, it defined the exact biomarker feature set used here: age, sex, sample origin/cohort metadata, plasma CA19-9, urinary creatinine, LYVE1, REG1B, and TFF1 (this project additionally includes REG1A, from the same biomarker family investigated in follow-up work by the same research group). Second, it established the three-class diagnostic framing adopted here — Control, Benign, and PDAC — rather than a simpler binary cancer/no-cancer split, since distinguishing PDAC from benign pancreatic and hepatobiliary conditions (not just from healthy controls) is the clinically harder and more relevant discrimination task. Third, the finding that a multi-marker panel outperforms any single biomarker directly motivated the use of a model capable of learning non-linear interactions across the full panel — exactly the setting Random Forest is well suited to — rather than a single-threshold rule on CA19-9 alone.</w:t>
      </w:r>
    </w:p>
    <w:p>
      <w:pPr>
        <w:pStyle w:val="Heading2"/>
        <w:spacing w:after="120" w:before="260"/>
      </w:pPr>
      <w:r>
        <w:t xml:space="preserve">2.2 Machine Learning Literature: Random Forest Classification</w:t>
      </w:r>
    </w:p>
    <w:p>
      <w:pPr>
        <w:spacing w:after="200" w:line="360"/>
        <w:jc w:val="both"/>
      </w:pPr>
      <w:r>
        <w:rPr>
          <w:b/>
          <w:bCs/>
          <w:sz w:val="22"/>
          <w:szCs w:val="22"/>
        </w:rPr>
        <w:t xml:space="preserve">Breiman (2001) </w:t>
      </w:r>
      <w:r>
        <w:rPr>
          <w:sz w:val="22"/>
          <w:szCs w:val="22"/>
        </w:rPr>
        <w:t xml:space="preserve">[2] introduced the Random Forest algorithm, which builds an ensemble of decision trees, each trained on a bootstrap-resampled subset of the training data (bagging), with each split additionally restricted to a random subset of features. Breiman showed that this combination of bagging and feature-level randomization decorrelates the individual trees, which reduces variance and improves generalization relative to a single decision tree, without the careful tuning that boosting methods typically require. The paper also formalized out-of-bag error estimation and Gini-based feature importance as a natural byproduct of the ensemble training process.</w:t>
      </w:r>
    </w:p>
    <w:p>
      <w:pPr>
        <w:spacing w:after="200" w:line="360"/>
        <w:jc w:val="both"/>
      </w:pPr>
      <w:r>
        <w:rPr>
          <w:sz w:val="22"/>
          <w:szCs w:val="22"/>
        </w:rPr>
        <w:t xml:space="preserve">This work is the direct algorithmic foundation of the present project and shaped its design in two ways that map onto explicit constraints of the assignment. First, the assignment specifies Random Forest as the sole permitted data mining technique (no ensembling with other model families, no deep learning); Breiman's formulation is exactly the algorithm implemented via scikit-learn's RandomForestClassifier in this project's training pipeline, with hyperparameters (n_estimators, max_depth, min_samples_leaf, max_features) tuned by grid search as recommended by the bias–variance trade-offs the paper describes. Second, the paper's treatment of feature importance as a direct output of the ensemble — rather than requiring a separate post-hoc explainability method — is what makes it possible to answer this project's central clinical question (“which biomarkers matter most?”) using the classifier itself, and is the basis for the feature-importance analysis reported in Section 5. Section 4.3 illustrates the ensemble mechanism this paper describes.</w:t>
      </w:r>
    </w:p>
    <w:p>
      <w:pPr>
        <w:pStyle w:val="Heading2"/>
        <w:spacing w:after="120" w:before="260"/>
      </w:pPr>
      <w:r>
        <w:t xml:space="preserve">2.3 Supporting Literature</w:t>
      </w:r>
    </w:p>
    <w:p>
      <w:pPr>
        <w:spacing w:after="200" w:line="360"/>
        <w:jc w:val="both"/>
      </w:pPr>
      <w:r>
        <w:rPr>
          <w:sz w:val="22"/>
          <w:szCs w:val="22"/>
        </w:rPr>
        <w:t xml:space="preserve">Two further references informed secondary design decisions. Chawla et al. (2002) [3] introduced the Synthetic Minority Over-sampling Technique (SMOTE), which generates synthetic examples of the minority class along line segments joining existing minority-class nearest neighbors, rather than simply duplicating them. SMOTE is used in this project's training pipeline, applied only within each cross-validation fold, to counteract the mild class imbalance across the Control, Benign, and PDAC groups. Siegel et al. (2023) [4] report updated cancer incidence and survival statistics, including the consistently poor five-year survival rate for pancreatic cancer relative to other major cancers; these figures motivate the clinical framing given in Section 1 and Section 6.</w:t>
      </w:r>
    </w:p>
    <w:p>
      <w:pPr>
        <w:pStyle w:val="Heading1"/>
        <w:spacing w:after="160" w:before="320"/>
      </w:pPr>
      <w:r>
        <w:t xml:space="preserve">3. Dataset and Feature Description</w:t>
      </w:r>
    </w:p>
    <w:p>
      <w:pPr>
        <w:spacing w:after="200" w:line="360"/>
        <w:jc w:val="both"/>
      </w:pPr>
      <w:r>
        <w:rPr>
          <w:sz w:val="22"/>
          <w:szCs w:val="22"/>
        </w:rPr>
        <w:t xml:space="preserve">The dataset used in this study follows the biomarker panel, feature schema, and three-class diagnostic structure established by Debernardi et al. [1], comprising 590 patient samples distributed across three diagnostic groups: Control (healthy, n = 186), Benign pancreatic/hepatobiliary disease (n = 207), and PDAC (n = 197). Each sample record includes the following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2C1250" w:val="clear"/>
            <w:tcMar>
              <w:top w:type="dxa" w:w="100"/>
              <w:left w:type="dxa" w:w="120"/>
              <w:bottom w:type="dxa" w:w="100"/>
              <w:right w:type="dxa" w:w="120"/>
            </w:tcMar>
          </w:tcPr>
          <w:p>
            <w:pPr>
              <w:jc w:val="left"/>
            </w:pPr>
            <w:r>
              <w:rPr>
                <w:b/>
                <w:bCs/>
                <w:color w:val="FFFFFF"/>
                <w:sz w:val="20"/>
                <w:szCs w:val="20"/>
              </w:rPr>
              <w:t xml:space="preserve">Feature</w:t>
            </w:r>
          </w:p>
        </w:tc>
        <w:tc>
          <w:tcPr>
            <w:tcW w:type="dxa" w:w="6960"/>
            <w:shd w:fill="2C1250" w:val="clear"/>
            <w:tcMar>
              <w:top w:type="dxa" w:w="100"/>
              <w:left w:type="dxa" w:w="120"/>
              <w:bottom w:type="dxa" w:w="100"/>
              <w:right w:type="dxa" w:w="120"/>
            </w:tcMar>
          </w:tcPr>
          <w:p>
            <w:pPr>
              <w:jc w:val="left"/>
            </w:pPr>
            <w:r>
              <w:rPr>
                <w:b/>
                <w:bCs/>
                <w:color w:val="FFFFFF"/>
                <w:sz w:val="20"/>
                <w:szCs w:val="20"/>
              </w:rPr>
              <w:t xml:space="preserve">Description</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age, sex</w:t>
            </w:r>
          </w:p>
        </w:tc>
        <w:tc>
          <w:tcPr>
            <w:tcW w:type="dxa" w:w="6960"/>
            <w:tcMar>
              <w:top w:type="dxa" w:w="100"/>
              <w:left w:type="dxa" w:w="120"/>
              <w:bottom w:type="dxa" w:w="100"/>
              <w:right w:type="dxa" w:w="120"/>
            </w:tcMar>
          </w:tcPr>
          <w:p>
            <w:pPr>
              <w:jc w:val="left"/>
            </w:pPr>
            <w:r>
              <w:rPr>
                <w:b w:val="false"/>
                <w:bCs w:val="false"/>
                <w:color w:val="000000"/>
                <w:sz w:val="20"/>
                <w:szCs w:val="20"/>
              </w:rPr>
              <w:t xml:space="preserve">Patient demographic covariates</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patient_cohort, sample_origin</w:t>
            </w:r>
          </w:p>
        </w:tc>
        <w:tc>
          <w:tcPr>
            <w:tcW w:type="dxa" w:w="6960"/>
            <w:tcMar>
              <w:top w:type="dxa" w:w="100"/>
              <w:left w:type="dxa" w:w="120"/>
              <w:bottom w:type="dxa" w:w="100"/>
              <w:right w:type="dxa" w:w="120"/>
            </w:tcMar>
          </w:tcPr>
          <w:p>
            <w:pPr>
              <w:jc w:val="left"/>
            </w:pPr>
            <w:r>
              <w:rPr>
                <w:b w:val="false"/>
                <w:bCs w:val="false"/>
                <w:color w:val="000000"/>
                <w:sz w:val="20"/>
                <w:szCs w:val="20"/>
              </w:rPr>
              <w:t xml:space="preserve">Collection batch and clinical site metadata</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plasma_CA19_9</w:t>
            </w:r>
          </w:p>
        </w:tc>
        <w:tc>
          <w:tcPr>
            <w:tcW w:type="dxa" w:w="6960"/>
            <w:tcMar>
              <w:top w:type="dxa" w:w="100"/>
              <w:left w:type="dxa" w:w="120"/>
              <w:bottom w:type="dxa" w:w="100"/>
              <w:right w:type="dxa" w:w="120"/>
            </w:tcMar>
          </w:tcPr>
          <w:p>
            <w:pPr>
              <w:jc w:val="left"/>
            </w:pPr>
            <w:r>
              <w:rPr>
                <w:b w:val="false"/>
                <w:bCs w:val="false"/>
                <w:color w:val="000000"/>
                <w:sz w:val="20"/>
                <w:szCs w:val="20"/>
              </w:rPr>
              <w:t xml:space="preserve">Standard clinical serum biomarker for pancreatic cancer</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creatinine</w:t>
            </w:r>
          </w:p>
        </w:tc>
        <w:tc>
          <w:tcPr>
            <w:tcW w:type="dxa" w:w="6960"/>
            <w:tcMar>
              <w:top w:type="dxa" w:w="100"/>
              <w:left w:type="dxa" w:w="120"/>
              <w:bottom w:type="dxa" w:w="100"/>
              <w:right w:type="dxa" w:w="120"/>
            </w:tcMar>
          </w:tcPr>
          <w:p>
            <w:pPr>
              <w:jc w:val="left"/>
            </w:pPr>
            <w:r>
              <w:rPr>
                <w:b w:val="false"/>
                <w:bCs w:val="false"/>
                <w:color w:val="000000"/>
                <w:sz w:val="20"/>
                <w:szCs w:val="20"/>
              </w:rPr>
              <w:t xml:space="preserve">Urinary concentration normalization control</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LYVE1</w:t>
            </w:r>
          </w:p>
        </w:tc>
        <w:tc>
          <w:tcPr>
            <w:tcW w:type="dxa" w:w="6960"/>
            <w:tcMar>
              <w:top w:type="dxa" w:w="100"/>
              <w:left w:type="dxa" w:w="120"/>
              <w:bottom w:type="dxa" w:w="100"/>
              <w:right w:type="dxa" w:w="120"/>
            </w:tcMar>
          </w:tcPr>
          <w:p>
            <w:pPr>
              <w:jc w:val="left"/>
            </w:pPr>
            <w:r>
              <w:rPr>
                <w:b w:val="false"/>
                <w:bCs w:val="false"/>
                <w:color w:val="000000"/>
                <w:sz w:val="20"/>
                <w:szCs w:val="20"/>
              </w:rPr>
              <w:t xml:space="preserve">Lymphatic vessel endothelial hyaluronan receptor 1</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REG1B, REG1A</w:t>
            </w:r>
          </w:p>
        </w:tc>
        <w:tc>
          <w:tcPr>
            <w:tcW w:type="dxa" w:w="6960"/>
            <w:tcMar>
              <w:top w:type="dxa" w:w="100"/>
              <w:left w:type="dxa" w:w="120"/>
              <w:bottom w:type="dxa" w:w="100"/>
              <w:right w:type="dxa" w:w="120"/>
            </w:tcMar>
          </w:tcPr>
          <w:p>
            <w:pPr>
              <w:jc w:val="left"/>
            </w:pPr>
            <w:r>
              <w:rPr>
                <w:b w:val="false"/>
                <w:bCs w:val="false"/>
                <w:color w:val="000000"/>
                <w:sz w:val="20"/>
                <w:szCs w:val="20"/>
              </w:rPr>
              <w:t xml:space="preserve">Regenerating family proteins, elevated in pancreatic pathology</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TFF1</w:t>
            </w:r>
          </w:p>
        </w:tc>
        <w:tc>
          <w:tcPr>
            <w:tcW w:type="dxa" w:w="6960"/>
            <w:tcMar>
              <w:top w:type="dxa" w:w="100"/>
              <w:left w:type="dxa" w:w="120"/>
              <w:bottom w:type="dxa" w:w="100"/>
              <w:right w:type="dxa" w:w="120"/>
            </w:tcMar>
          </w:tcPr>
          <w:p>
            <w:pPr>
              <w:jc w:val="left"/>
            </w:pPr>
            <w:r>
              <w:rPr>
                <w:b w:val="false"/>
                <w:bCs w:val="false"/>
                <w:color w:val="000000"/>
                <w:sz w:val="20"/>
                <w:szCs w:val="20"/>
              </w:rPr>
              <w:t xml:space="preserve">Trefoil factor, associated with mucosal tissue repair</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diagnosis</w:t>
            </w:r>
          </w:p>
        </w:tc>
        <w:tc>
          <w:tcPr>
            <w:tcW w:type="dxa" w:w="6960"/>
            <w:tcMar>
              <w:top w:type="dxa" w:w="100"/>
              <w:left w:type="dxa" w:w="120"/>
              <w:bottom w:type="dxa" w:w="100"/>
              <w:right w:type="dxa" w:w="120"/>
            </w:tcMar>
          </w:tcPr>
          <w:p>
            <w:pPr>
              <w:jc w:val="left"/>
            </w:pPr>
            <w:r>
              <w:rPr>
                <w:b w:val="false"/>
                <w:bCs w:val="false"/>
                <w:color w:val="000000"/>
                <w:sz w:val="20"/>
                <w:szCs w:val="20"/>
              </w:rPr>
              <w:t xml:space="preserve">Target label: Control / Benign / PDAC</w:t>
            </w:r>
          </w:p>
        </w:tc>
      </w:tr>
    </w:tbl>
    <w:p>
      <w:pPr>
        <w:spacing w:after="200"/>
      </w:pPr>
    </w:p>
    <w:p>
      <w:pPr>
        <w:spacing w:after="200" w:line="360"/>
        <w:jc w:val="both"/>
      </w:pPr>
      <w:r>
        <w:rPr>
          <w:sz w:val="22"/>
          <w:szCs w:val="22"/>
        </w:rPr>
        <w:t xml:space="preserve">Two fields present in the raw record — disease stage and benign-condition sub-type — are excluded from the feature set prior to modeling, since both are only recorded after a diagnosis has already been made and would therefore leak the target label into the model rather than reflect genuine predictive signal.</w:t>
      </w:r>
    </w:p>
    <w:p>
      <w:pPr>
        <w:pStyle w:val="Heading1"/>
        <w:spacing w:after="160" w:before="320"/>
      </w:pPr>
      <w:r>
        <w:t xml:space="preserve">4. Proposed Methodology and Pipeline Architecture</w:t>
      </w:r>
    </w:p>
    <w:p>
      <w:pPr>
        <w:spacing w:after="200" w:line="360"/>
        <w:jc w:val="both"/>
      </w:pPr>
      <w:r>
        <w:rPr>
          <w:sz w:val="22"/>
          <w:szCs w:val="22"/>
        </w:rPr>
        <w:t xml:space="preserve">The complete pipeline consists of five stages, illustrated in Figure 1: data loading, preprocessing, model training (with class-imbalance handling and hyperparameter tuning folded in), evaluation, and inference on new samples. Each stage is implemented as an independent, re-runnable script, and Random Forest is used as the sole data mining technique across the entire pipeline — no ensembling with other model families and no deep learning are used at any stage.</w:t>
      </w:r>
    </w:p>
    <w:p>
      <w:pPr>
        <w:spacing w:after="60" w:before="1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609725"/>
                    </a:xfrm>
                    <a:prstGeom prst="rect">
                      <a:avLst/>
                    </a:prstGeom>
                  </pic:spPr>
                </pic:pic>
              </a:graphicData>
            </a:graphic>
          </wp:inline>
        </w:drawing>
      </w:r>
    </w:p>
    <w:p>
      <w:pPr>
        <w:spacing w:after="220"/>
        <w:jc w:val="center"/>
      </w:pPr>
      <w:r>
        <w:rPr>
          <w:b/>
          <w:bCs/>
          <w:i/>
          <w:iCs/>
          <w:color w:val="555555"/>
          <w:sz w:val="18"/>
          <w:szCs w:val="18"/>
        </w:rPr>
        <w:t xml:space="preserve">Figure 1. </w:t>
      </w:r>
      <w:r>
        <w:rPr>
          <w:i/>
          <w:iCs/>
          <w:color w:val="555555"/>
          <w:sz w:val="18"/>
          <w:szCs w:val="18"/>
        </w:rPr>
        <w:t xml:space="preserve">End-to-end pipeline architecture. Random Forest (stage 3) is the only data mining technique used.</w:t>
      </w:r>
    </w:p>
    <w:p>
      <w:pPr>
        <w:pStyle w:val="Heading2"/>
        <w:spacing w:after="120" w:before="260"/>
      </w:pPr>
      <w:r>
        <w:t xml:space="preserve">4.1 Preprocessing</w:t>
      </w:r>
    </w:p>
    <w:p>
      <w:pPr>
        <w:pStyle w:val="ListParagraph"/>
        <w:numPr>
          <w:ilvl w:val="0"/>
          <w:numId w:val="1"/>
        </w:numPr>
        <w:spacing w:after="120" w:line="320"/>
      </w:pPr>
      <w:r>
        <w:rPr>
          <w:sz w:val="22"/>
          <w:szCs w:val="22"/>
        </w:rPr>
        <w:t xml:space="preserve">Target-leakage removal: disease-stage and benign-subtype fields dropped, as described in Section 3.</w:t>
      </w:r>
    </w:p>
    <w:p>
      <w:pPr>
        <w:pStyle w:val="ListParagraph"/>
        <w:numPr>
          <w:ilvl w:val="0"/>
          <w:numId w:val="1"/>
        </w:numPr>
        <w:spacing w:after="120" w:line="320"/>
      </w:pPr>
      <w:r>
        <w:rPr>
          <w:sz w:val="22"/>
          <w:szCs w:val="22"/>
        </w:rPr>
        <w:t xml:space="preserve">Missing-value imputation: CA19-9 and REG1A, which have real assay-driven missingness, are median-imputed using statistics computed on the training fold only.</w:t>
      </w:r>
    </w:p>
    <w:p>
      <w:pPr>
        <w:pStyle w:val="ListParagraph"/>
        <w:numPr>
          <w:ilvl w:val="0"/>
          <w:numId w:val="1"/>
        </w:numPr>
        <w:spacing w:after="120" w:line="320"/>
      </w:pPr>
      <w:r>
        <w:rPr>
          <w:sz w:val="22"/>
          <w:szCs w:val="22"/>
        </w:rPr>
        <w:t xml:space="preserve">Categorical encoding: sex, patient cohort, and sample origin are one-hot encoded.</w:t>
      </w:r>
    </w:p>
    <w:p>
      <w:pPr>
        <w:pStyle w:val="ListParagraph"/>
        <w:numPr>
          <w:ilvl w:val="0"/>
          <w:numId w:val="1"/>
        </w:numPr>
        <w:spacing w:after="120" w:line="320"/>
      </w:pPr>
      <w:r>
        <w:rPr>
          <w:sz w:val="22"/>
          <w:szCs w:val="22"/>
        </w:rPr>
        <w:t xml:space="preserve">Feature scaling: numeric features are standardized (zero mean, unit variance).</w:t>
      </w:r>
    </w:p>
    <w:p>
      <w:pPr>
        <w:pStyle w:val="ListParagraph"/>
        <w:numPr>
          <w:ilvl w:val="0"/>
          <w:numId w:val="1"/>
        </w:numPr>
        <w:spacing w:after="120" w:line="320"/>
      </w:pPr>
      <w:r>
        <w:rPr>
          <w:sz w:val="22"/>
          <w:szCs w:val="22"/>
        </w:rPr>
        <w:t xml:space="preserve">Stratified 80/20 train–test split, preserving class proportions in both partitions.</w:t>
      </w:r>
    </w:p>
    <w:p>
      <w:pPr>
        <w:pStyle w:val="Heading2"/>
        <w:spacing w:after="120" w:before="260"/>
      </w:pPr>
      <w:r>
        <w:t xml:space="preserve">4.2 Class Imbalance Handling</w:t>
      </w:r>
    </w:p>
    <w:p>
      <w:pPr>
        <w:spacing w:after="200" w:line="360"/>
        <w:jc w:val="both"/>
      </w:pPr>
      <w:r>
        <w:rPr>
          <w:sz w:val="22"/>
          <w:szCs w:val="22"/>
        </w:rPr>
        <w:t xml:space="preserve">Following Chawla et al. [3], SMOTE is applied to oversample the minority classes during training. Critically, SMOTE is embedded inside an imblearn pipeline so that resampling is refit independently on each cross-validation fold's training portion; this prevents synthetic samples generated from one fold from leaking into another fold's validation data, which would otherwise produce an optimistic bias in cross-validated performance estimates. Cost-sensitive class weighting (class_weight = 'balanced') is additionally applied within the Random Forest itself as a complementary, low-cost second layer of imbalance handling.</w:t>
      </w:r>
    </w:p>
    <w:p>
      <w:pPr>
        <w:pStyle w:val="Heading2"/>
        <w:spacing w:after="120" w:before="260"/>
      </w:pPr>
      <w:r>
        <w:t xml:space="preserve">4.3 Model: Random Forest Classification</w:t>
      </w:r>
    </w:p>
    <w:p>
      <w:pPr>
        <w:spacing w:after="200" w:line="360"/>
        <w:jc w:val="both"/>
      </w:pPr>
      <w:r>
        <w:rPr>
          <w:sz w:val="22"/>
          <w:szCs w:val="22"/>
        </w:rPr>
        <w:t xml:space="preserve">Following Breiman [2], a Random Forest classifier is trained as the sole data mining technique specified for this project. A Random Forest is an ensemble of decision trees: each tree is trained on an independent bootstrap sample drawn (with replacement) from the training data, and at every split each tree considers only a random subset of the available features rather than all of them. This double randomization — over both samples and features — decorrelates the individual trees, so that their errors are largely independent of one another. At prediction time, every tree casts a vote for a diagnostic class, and the forest's final prediction is the majority vote across all trees, as illustrated in Figure 2.</w:t>
      </w:r>
    </w:p>
    <w:p>
      <w:pPr>
        <w:spacing w:after="60" w:before="160"/>
        <w:jc w:val="center"/>
      </w:pPr>
      <w:r>
        <w:drawing>
          <wp:inline distT="0" distB="0" distL="0" distR="0">
            <wp:extent cx="4572000" cy="2619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619375"/>
                    </a:xfrm>
                    <a:prstGeom prst="rect">
                      <a:avLst/>
                    </a:prstGeom>
                  </pic:spPr>
                </pic:pic>
              </a:graphicData>
            </a:graphic>
          </wp:inline>
        </w:drawing>
      </w:r>
    </w:p>
    <w:p>
      <w:pPr>
        <w:spacing w:after="220"/>
        <w:jc w:val="center"/>
      </w:pPr>
      <w:r>
        <w:rPr>
          <w:b/>
          <w:bCs/>
          <w:i/>
          <w:iCs/>
          <w:color w:val="555555"/>
          <w:sz w:val="18"/>
          <w:szCs w:val="18"/>
        </w:rPr>
        <w:t xml:space="preserve">Figure 2. </w:t>
      </w:r>
      <w:r>
        <w:rPr>
          <w:i/>
          <w:iCs/>
          <w:color w:val="555555"/>
          <w:sz w:val="18"/>
          <w:szCs w:val="18"/>
        </w:rPr>
        <w:t xml:space="preserve">Random Forest ensemble mechanism: bootstrap-resampled training subsets, independently grown trees with randomized feature subsets, combined by majority vote.</w:t>
      </w:r>
    </w:p>
    <w:p>
      <w:pPr>
        <w:spacing w:after="200" w:line="360"/>
        <w:jc w:val="both"/>
      </w:pPr>
      <w:r>
        <w:rPr>
          <w:sz w:val="22"/>
          <w:szCs w:val="22"/>
        </w:rPr>
        <w:t xml:space="preserve">Hyperparameters are tuned via GridSearchCV over stratified 5-fold cross-validation, optimizing macro-averaged F1-score — which weights all three diagnostic classes equally, appropriate given that missing a minority PDAC case is clinically more costly than an error on the majority classes. The search space covers the number of trees (n_estimators ∈ {100, 200, 400}), maximum tree depth (max_depth ∈ {None, 5, 10}), minimum leaf size (min_samples_leaf ∈ {1, 2, 4}), and the number of features considered per split (max_features ∈ {sqrt, log2}) — 54 candidate combinations evaluated across 5 folds, for 270 total model fits. The best configuration (n_estimators = 200, max_depth = 10, min_samples_leaf = 1, max_features = 'sqrt') achieved a cross-validated macro-F1 of 0.939.</w:t>
      </w:r>
    </w:p>
    <w:p>
      <w:pPr>
        <w:pStyle w:val="Heading2"/>
        <w:spacing w:after="120" w:before="260"/>
      </w:pPr>
      <w:r>
        <w:t xml:space="preserve">4.4 Evaluation Metrics</w:t>
      </w:r>
    </w:p>
    <w:p>
      <w:pPr>
        <w:spacing w:after="200" w:line="360"/>
        <w:jc w:val="both"/>
      </w:pPr>
      <w:r>
        <w:rPr>
          <w:sz w:val="22"/>
          <w:szCs w:val="22"/>
        </w:rPr>
        <w:t xml:space="preserve">Model quality is quantified with five complementary metrics, each capturing a different aspect of classification performance:</w:t>
      </w:r>
    </w:p>
    <w:p>
      <w:pPr>
        <w:pStyle w:val="ListParagraph"/>
        <w:numPr>
          <w:ilvl w:val="0"/>
          <w:numId w:val="1"/>
        </w:numPr>
        <w:spacing w:after="120" w:line="320"/>
      </w:pPr>
      <w:r>
        <w:rPr>
          <w:sz w:val="22"/>
          <w:szCs w:val="22"/>
        </w:rPr>
        <w:t xml:space="preserve">Accuracy = (TP + TN) / Total — the overall fraction of correct predictions; can be misleading on its own under class imbalance.</w:t>
      </w:r>
    </w:p>
    <w:p>
      <w:pPr>
        <w:pStyle w:val="ListParagraph"/>
        <w:numPr>
          <w:ilvl w:val="0"/>
          <w:numId w:val="1"/>
        </w:numPr>
        <w:spacing w:after="120" w:line="320"/>
      </w:pPr>
      <w:r>
        <w:rPr>
          <w:sz w:val="22"/>
          <w:szCs w:val="22"/>
        </w:rPr>
        <w:t xml:space="preserve">Precision = TP / (TP + FP) — of samples predicted as a given class, the fraction that truly belong to it.</w:t>
      </w:r>
    </w:p>
    <w:p>
      <w:pPr>
        <w:pStyle w:val="ListParagraph"/>
        <w:numPr>
          <w:ilvl w:val="0"/>
          <w:numId w:val="1"/>
        </w:numPr>
        <w:spacing w:after="120" w:line="320"/>
      </w:pPr>
      <w:r>
        <w:rPr>
          <w:sz w:val="22"/>
          <w:szCs w:val="22"/>
        </w:rPr>
        <w:t xml:space="preserve">Recall (sensitivity) = TP / (TP + FN) — of samples that truly belong to a class, the fraction correctly identified; the critical metric for a screening tool, since a false negative (a missed PDAC case) is the costliest possible error.</w:t>
      </w:r>
    </w:p>
    <w:p>
      <w:pPr>
        <w:pStyle w:val="ListParagraph"/>
        <w:numPr>
          <w:ilvl w:val="0"/>
          <w:numId w:val="1"/>
        </w:numPr>
        <w:spacing w:after="120" w:line="320"/>
      </w:pPr>
      <w:r>
        <w:rPr>
          <w:sz w:val="22"/>
          <w:szCs w:val="22"/>
        </w:rPr>
        <w:t xml:space="preserve">F1-score = 2 · Precision · Recall / (Precision + Recall) — the harmonic mean of precision and recall; reported here as macro-F1, which averages the F1-score across all three classes with equal weight.</w:t>
      </w:r>
    </w:p>
    <w:p>
      <w:pPr>
        <w:pStyle w:val="ListParagraph"/>
        <w:numPr>
          <w:ilvl w:val="0"/>
          <w:numId w:val="1"/>
        </w:numPr>
        <w:spacing w:after="120" w:line="320"/>
      </w:pPr>
      <w:r>
        <w:rPr>
          <w:sz w:val="22"/>
          <w:szCs w:val="22"/>
        </w:rPr>
        <w:t xml:space="preserve">ROC-AUC (one-vs-rest) — sweeps every possible decision threshold and plots the True Positive Rate against the False Positive Rate for each class treated as positive-vs-rest; the Area Under the Curve (0–1) summarizes ranking quality independent of any single threshold, with 0.5 corresponding to random guessing and 1.0 to perfect separation.</w:t>
      </w:r>
    </w:p>
    <w:p>
      <w:pPr>
        <w:spacing w:after="200" w:line="360"/>
        <w:jc w:val="both"/>
      </w:pPr>
      <w:r>
        <w:rPr>
          <w:sz w:val="22"/>
          <w:szCs w:val="22"/>
        </w:rPr>
        <w:t xml:space="preserve">The held-out test partition is used exclusively for final evaluation and is never accessed during training or hyperparameter selection, so the metrics reported in Section 5 reflect genuine generalization performance rather than training fit. Feature importance is extracted directly from the trained ensemble's Gini-based mean decrease in impurity, per Breiman's original formulation [2].</w:t>
      </w:r>
    </w:p>
    <w:p>
      <w:pPr>
        <w:pStyle w:val="Heading1"/>
        <w:spacing w:after="160" w:before="320"/>
      </w:pPr>
      <w:r>
        <w:t xml:space="preserve">5. Results and Discussion</w:t>
      </w:r>
    </w:p>
    <w:p>
      <w:pPr>
        <w:spacing w:after="200" w:line="360"/>
        <w:jc w:val="both"/>
      </w:pPr>
      <w:r>
        <w:rPr>
          <w:sz w:val="22"/>
          <w:szCs w:val="22"/>
        </w:rPr>
        <w:t xml:space="preserve">The tuned Random Forest achieved a best cross-validated macro-F1 of 0.939 during grid search. On the held-out test partition (118 samples, never used in training or tuning), the model achieved the following per-class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40"/>
        <w:gridCol w:w="1840"/>
        <w:gridCol w:w="1840"/>
        <w:gridCol w:w="1840"/>
      </w:tblGrid>
      <w:tr>
        <w:tc>
          <w:tcPr>
            <w:tcW w:type="dxa" w:w="2000"/>
            <w:shd w:fill="2C1250" w:val="clear"/>
            <w:tcMar>
              <w:top w:type="dxa" w:w="100"/>
              <w:left w:type="dxa" w:w="120"/>
              <w:bottom w:type="dxa" w:w="100"/>
              <w:right w:type="dxa" w:w="120"/>
            </w:tcMar>
          </w:tcPr>
          <w:p>
            <w:pPr>
              <w:jc w:val="center"/>
            </w:pPr>
            <w:r>
              <w:rPr>
                <w:b/>
                <w:bCs/>
                <w:color w:val="FFFFFF"/>
                <w:sz w:val="20"/>
                <w:szCs w:val="20"/>
              </w:rPr>
              <w:t xml:space="preserve">Class</w:t>
            </w:r>
          </w:p>
        </w:tc>
        <w:tc>
          <w:tcPr>
            <w:tcW w:type="dxa" w:w="1840"/>
            <w:shd w:fill="2C1250" w:val="clear"/>
            <w:tcMar>
              <w:top w:type="dxa" w:w="100"/>
              <w:left w:type="dxa" w:w="120"/>
              <w:bottom w:type="dxa" w:w="100"/>
              <w:right w:type="dxa" w:w="120"/>
            </w:tcMar>
          </w:tcPr>
          <w:p>
            <w:pPr>
              <w:jc w:val="center"/>
            </w:pPr>
            <w:r>
              <w:rPr>
                <w:b/>
                <w:bCs/>
                <w:color w:val="FFFFFF"/>
                <w:sz w:val="20"/>
                <w:szCs w:val="20"/>
              </w:rPr>
              <w:t xml:space="preserve">Precision</w:t>
            </w:r>
          </w:p>
        </w:tc>
        <w:tc>
          <w:tcPr>
            <w:tcW w:type="dxa" w:w="1840"/>
            <w:shd w:fill="2C1250" w:val="clear"/>
            <w:tcMar>
              <w:top w:type="dxa" w:w="100"/>
              <w:left w:type="dxa" w:w="120"/>
              <w:bottom w:type="dxa" w:w="100"/>
              <w:right w:type="dxa" w:w="120"/>
            </w:tcMar>
          </w:tcPr>
          <w:p>
            <w:pPr>
              <w:jc w:val="center"/>
            </w:pPr>
            <w:r>
              <w:rPr>
                <w:b/>
                <w:bCs/>
                <w:color w:val="FFFFFF"/>
                <w:sz w:val="20"/>
                <w:szCs w:val="20"/>
              </w:rPr>
              <w:t xml:space="preserve">Recall</w:t>
            </w:r>
          </w:p>
        </w:tc>
        <w:tc>
          <w:tcPr>
            <w:tcW w:type="dxa" w:w="1840"/>
            <w:shd w:fill="2C1250" w:val="clear"/>
            <w:tcMar>
              <w:top w:type="dxa" w:w="100"/>
              <w:left w:type="dxa" w:w="120"/>
              <w:bottom w:type="dxa" w:w="100"/>
              <w:right w:type="dxa" w:w="120"/>
            </w:tcMar>
          </w:tcPr>
          <w:p>
            <w:pPr>
              <w:jc w:val="center"/>
            </w:pPr>
            <w:r>
              <w:rPr>
                <w:b/>
                <w:bCs/>
                <w:color w:val="FFFFFF"/>
                <w:sz w:val="20"/>
                <w:szCs w:val="20"/>
              </w:rPr>
              <w:t xml:space="preserve">F1-score</w:t>
            </w:r>
          </w:p>
        </w:tc>
        <w:tc>
          <w:tcPr>
            <w:tcW w:type="dxa" w:w="1840"/>
            <w:shd w:fill="2C1250" w:val="clear"/>
            <w:tcMar>
              <w:top w:type="dxa" w:w="100"/>
              <w:left w:type="dxa" w:w="120"/>
              <w:bottom w:type="dxa" w:w="100"/>
              <w:right w:type="dxa" w:w="120"/>
            </w:tcMar>
          </w:tcPr>
          <w:p>
            <w:pPr>
              <w:jc w:val="center"/>
            </w:pPr>
            <w:r>
              <w:rPr>
                <w:b/>
                <w:bCs/>
                <w:color w:val="FFFFFF"/>
                <w:sz w:val="20"/>
                <w:szCs w:val="20"/>
              </w:rPr>
              <w:t xml:space="preserve">Support</w:t>
            </w:r>
          </w:p>
        </w:tc>
      </w:tr>
      <w:tr>
        <w:tc>
          <w:tcPr>
            <w:tcW w:type="dxa" w:w="2000"/>
            <w:tcMar>
              <w:top w:type="dxa" w:w="100"/>
              <w:left w:type="dxa" w:w="120"/>
              <w:bottom w:type="dxa" w:w="100"/>
              <w:right w:type="dxa" w:w="120"/>
            </w:tcMar>
          </w:tcPr>
          <w:p>
            <w:pPr>
              <w:jc w:val="center"/>
            </w:pPr>
            <w:r>
              <w:rPr>
                <w:b w:val="false"/>
                <w:bCs w:val="false"/>
                <w:color w:val="000000"/>
                <w:sz w:val="20"/>
                <w:szCs w:val="20"/>
              </w:rPr>
              <w:t xml:space="preserve">Control</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1.000</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0.892</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0.943</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37</w:t>
            </w:r>
          </w:p>
        </w:tc>
      </w:tr>
      <w:tr>
        <w:tc>
          <w:tcPr>
            <w:tcW w:type="dxa" w:w="2000"/>
            <w:tcMar>
              <w:top w:type="dxa" w:w="100"/>
              <w:left w:type="dxa" w:w="120"/>
              <w:bottom w:type="dxa" w:w="100"/>
              <w:right w:type="dxa" w:w="120"/>
            </w:tcMar>
          </w:tcPr>
          <w:p>
            <w:pPr>
              <w:jc w:val="center"/>
            </w:pPr>
            <w:r>
              <w:rPr>
                <w:b w:val="false"/>
                <w:bCs w:val="false"/>
                <w:color w:val="000000"/>
                <w:sz w:val="20"/>
                <w:szCs w:val="20"/>
              </w:rPr>
              <w:t xml:space="preserve">Benign</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0.830</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0.951</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0.886</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41</w:t>
            </w:r>
          </w:p>
        </w:tc>
      </w:tr>
      <w:tr>
        <w:tc>
          <w:tcPr>
            <w:tcW w:type="dxa" w:w="2000"/>
            <w:tcMar>
              <w:top w:type="dxa" w:w="100"/>
              <w:left w:type="dxa" w:w="120"/>
              <w:bottom w:type="dxa" w:w="100"/>
              <w:right w:type="dxa" w:w="120"/>
            </w:tcMar>
          </w:tcPr>
          <w:p>
            <w:pPr>
              <w:jc w:val="center"/>
            </w:pPr>
            <w:r>
              <w:rPr>
                <w:b w:val="false"/>
                <w:bCs w:val="false"/>
                <w:color w:val="000000"/>
                <w:sz w:val="20"/>
                <w:szCs w:val="20"/>
              </w:rPr>
              <w:t xml:space="preserve">PDAC</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0.947</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0.900</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0.923</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40</w:t>
            </w:r>
          </w:p>
        </w:tc>
      </w:tr>
    </w:tbl>
    <w:p>
      <w:pPr>
        <w:spacing w:after="200"/>
      </w:pPr>
    </w:p>
    <w:p>
      <w:pPr>
        <w:spacing w:after="200" w:line="360"/>
        <w:jc w:val="both"/>
      </w:pPr>
      <w:r>
        <w:rPr>
          <w:sz w:val="22"/>
          <w:szCs w:val="22"/>
        </w:rPr>
        <w:t xml:space="preserve">Overall test accuracy was 91.5%, with a macro-averaged one-vs-rest ROC-AUC of 0.983 and a macro-F1 of 0.917.</w:t>
      </w:r>
    </w:p>
    <w:p>
      <w:pPr>
        <w:pStyle w:val="Heading2"/>
        <w:spacing w:after="120" w:before="260"/>
      </w:pPr>
      <w:r>
        <w:t xml:space="preserve">5.1 Confusion Matrix Analysis</w:t>
      </w:r>
    </w:p>
    <w:p>
      <w:pPr>
        <w:spacing w:after="60" w:before="160"/>
        <w:jc w:val="center"/>
      </w:pPr>
      <w:r>
        <w:drawing>
          <wp:inline distT="0" distB="0" distL="0" distR="0">
            <wp:extent cx="3619500" cy="30194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3019425"/>
                    </a:xfrm>
                    <a:prstGeom prst="rect">
                      <a:avLst/>
                    </a:prstGeom>
                  </pic:spPr>
                </pic:pic>
              </a:graphicData>
            </a:graphic>
          </wp:inline>
        </w:drawing>
      </w:r>
    </w:p>
    <w:p>
      <w:pPr>
        <w:spacing w:after="220"/>
        <w:jc w:val="center"/>
      </w:pPr>
      <w:r>
        <w:rPr>
          <w:b/>
          <w:bCs/>
          <w:i/>
          <w:iCs/>
          <w:color w:val="555555"/>
          <w:sz w:val="18"/>
          <w:szCs w:val="18"/>
        </w:rPr>
        <w:t xml:space="preserve">Figure 3. </w:t>
      </w:r>
      <w:r>
        <w:rPr>
          <w:i/>
          <w:iCs/>
          <w:color w:val="555555"/>
          <w:sz w:val="18"/>
          <w:szCs w:val="18"/>
        </w:rPr>
        <w:t xml:space="preserve">Confusion matrix on the held-out test set (rows = true label, columns = predicted label).</w:t>
      </w:r>
    </w:p>
    <w:p>
      <w:pPr>
        <w:spacing w:after="200" w:line="360"/>
        <w:jc w:val="both"/>
      </w:pPr>
      <w:r>
        <w:rPr>
          <w:sz w:val="22"/>
          <w:szCs w:val="22"/>
        </w:rPr>
        <w:t xml:space="preserve">The confusion matrix's diagonal represents correct predictions; off-diagonal cells represent misclassifications. Two properties stand out. First, PDAC is never confused with Control (0 of 40 PDAC samples predicted as Control) — the clinically critical distinction for an early-screening use case, since it means the model never mistakes a cancer patient for a fully healthy one. Second, the errors that do occur are asymmetric in clinical cost: 4 PDAC samples were predicted as Benign (false negatives), which is the costliest error type in a screening context because a missed PDAC case delays treatment; by contrast, 2 Benign samples were predicted as PDAC (false positives), a comparatively low-cost error since it triggers additional, safe clinical workup rather than a missed diagnosis. Most residual error sits between the Benign class and the other two classes, plausibly because certain benign hepatobiliary conditions produce biomarker elevations that partially overlap with malignant disease — an overlap also noted by Debernardi et al. [1].</w:t>
      </w:r>
    </w:p>
    <w:p>
      <w:pPr>
        <w:pStyle w:val="Heading2"/>
        <w:spacing w:after="120" w:before="260"/>
      </w:pPr>
      <w:r>
        <w:t xml:space="preserve">5.2 ROC Curve Analysis</w:t>
      </w:r>
    </w:p>
    <w:p>
      <w:pPr>
        <w:spacing w:after="60" w:before="160"/>
        <w:jc w:val="center"/>
      </w:pPr>
      <w:r>
        <w:drawing>
          <wp:inline distT="0" distB="0" distL="0" distR="0">
            <wp:extent cx="3619500" cy="3067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067050"/>
                    </a:xfrm>
                    <a:prstGeom prst="rect">
                      <a:avLst/>
                    </a:prstGeom>
                  </pic:spPr>
                </pic:pic>
              </a:graphicData>
            </a:graphic>
          </wp:inline>
        </w:drawing>
      </w:r>
    </w:p>
    <w:p>
      <w:pPr>
        <w:spacing w:after="220"/>
        <w:jc w:val="center"/>
      </w:pPr>
      <w:r>
        <w:rPr>
          <w:b/>
          <w:bCs/>
          <w:i/>
          <w:iCs/>
          <w:color w:val="555555"/>
          <w:sz w:val="18"/>
          <w:szCs w:val="18"/>
        </w:rPr>
        <w:t xml:space="preserve">Figure 4. </w:t>
      </w:r>
      <w:r>
        <w:rPr>
          <w:i/>
          <w:iCs/>
          <w:color w:val="555555"/>
          <w:sz w:val="18"/>
          <w:szCs w:val="18"/>
        </w:rPr>
        <w:t xml:space="preserve">One-vs-rest ROC curves for each diagnostic class on the held-out test set.</w:t>
      </w:r>
    </w:p>
    <w:p>
      <w:pPr>
        <w:spacing w:after="200" w:line="360"/>
        <w:jc w:val="both"/>
      </w:pPr>
      <w:r>
        <w:rPr>
          <w:sz w:val="22"/>
          <w:szCs w:val="22"/>
        </w:rPr>
        <w:t xml:space="preserve">Each curve treats one diagnostic class as positive against the other two combined, sweeping the decision threshold from 0 to 1. All three curves hug the top-left corner, indicating strong class separation at almost every threshold, not merely the conventional 0.5 cutoff. The Control class reaches a per-class AUC of 1.00, meaning the model perfectly ranks healthy patients above non-healthy ones by predicted probability across the test set. Benign has the lowest per-class AUC at 0.97, mirroring the confusion-matrix finding that Benign is the hardest class to isolate; PDAC sits at 0.98. The resulting macro-averaged AUC of 0.983 means that, averaged across the three classes, a randomly chosen true-positive sample is ranked above a randomly chosen true-negative sample 98.3% of the time — a strong result given the modest training-set size.</w:t>
      </w:r>
    </w:p>
    <w:p>
      <w:pPr>
        <w:pStyle w:val="Heading2"/>
        <w:spacing w:after="120" w:before="260"/>
      </w:pPr>
      <w:r>
        <w:t xml:space="preserve">5.3 Feature Importance Analysis</w:t>
      </w:r>
    </w:p>
    <w:p>
      <w:pPr>
        <w:spacing w:after="60" w:before="160"/>
        <w:jc w:val="center"/>
      </w:pPr>
      <w:r>
        <w:drawing>
          <wp:inline distT="0" distB="0" distL="0" distR="0">
            <wp:extent cx="4381500" cy="32861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286125"/>
                    </a:xfrm>
                    <a:prstGeom prst="rect">
                      <a:avLst/>
                    </a:prstGeom>
                  </pic:spPr>
                </pic:pic>
              </a:graphicData>
            </a:graphic>
          </wp:inline>
        </w:drawing>
      </w:r>
    </w:p>
    <w:p>
      <w:pPr>
        <w:spacing w:after="220"/>
        <w:jc w:val="center"/>
      </w:pPr>
      <w:r>
        <w:rPr>
          <w:b/>
          <w:bCs/>
          <w:i/>
          <w:iCs/>
          <w:color w:val="555555"/>
          <w:sz w:val="18"/>
          <w:szCs w:val="18"/>
        </w:rPr>
        <w:t xml:space="preserve">Figure 5. </w:t>
      </w:r>
      <w:r>
        <w:rPr>
          <w:i/>
          <w:iCs/>
          <w:color w:val="555555"/>
          <w:sz w:val="18"/>
          <w:szCs w:val="18"/>
        </w:rPr>
        <w:t xml:space="preserve">Random Forest Gini-based feature importance, ranking which biomarkers the trained model relies on most.</w:t>
      </w:r>
    </w:p>
    <w:p>
      <w:pPr>
        <w:spacing w:after="200" w:line="360"/>
        <w:jc w:val="both"/>
      </w:pPr>
      <w:r>
        <w:rPr>
          <w:sz w:val="22"/>
          <w:szCs w:val="22"/>
        </w:rPr>
        <w:t xml:space="preserve">Feature-importance analysis (Gini-based mean decrease in impurity, per Breiman [2]) ranked REG1B (0.261), TFF1 (0.244), and plasma CA19-9 (0.185) as the three most predictive features, followed by LYVE1 (0.124) and REG1A (0.077). Demographic and batch/site metadata (age, sex, cohort, sample origin) contributed comparatively little to model decisions — collectively under 4% of total importance — which is reassuring, since it indicates the model is relying on biomarker biology rather than on collection-site artifacts or demographic shortcuts.</w:t>
      </w:r>
    </w:p>
    <w:p>
      <w:pPr>
        <w:pStyle w:val="Heading2"/>
        <w:spacing w:after="120" w:before="260"/>
      </w:pPr>
      <w:r>
        <w:t xml:space="preserve">5.4 Comparison with Prior Literature</w:t>
      </w:r>
    </w:p>
    <w:p>
      <w:pPr>
        <w:spacing w:after="200" w:line="360"/>
        <w:jc w:val="both"/>
      </w:pPr>
      <w:r>
        <w:rPr>
          <w:sz w:val="22"/>
          <w:szCs w:val="22"/>
        </w:rPr>
        <w:t xml:space="preserve">Debernardi et al. [1] reported that REG1B and TFF1 were among the strongest individual discriminators in their urinary biomarker panel, and that CA19-9 alone under-performs a combined panel. The independently trained Random Forest in this project recovers the same ranking directly from its Gini-based feature importance, summarized in Table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shd w:fill="2C1250" w:val="clear"/>
            <w:tcMar>
              <w:top w:type="dxa" w:w="100"/>
              <w:left w:type="dxa" w:w="120"/>
              <w:bottom w:type="dxa" w:w="100"/>
              <w:right w:type="dxa" w:w="120"/>
            </w:tcMar>
          </w:tcPr>
          <w:p>
            <w:pPr>
              <w:jc w:val="left"/>
            </w:pPr>
            <w:r>
              <w:rPr>
                <w:b/>
                <w:bCs/>
                <w:color w:val="FFFFFF"/>
                <w:sz w:val="20"/>
                <w:szCs w:val="20"/>
              </w:rPr>
              <w:t xml:space="preserve">Biomarker</w:t>
            </w:r>
          </w:p>
        </w:tc>
        <w:tc>
          <w:tcPr>
            <w:tcW w:type="dxa" w:w="3480"/>
            <w:shd w:fill="2C1250" w:val="clear"/>
            <w:tcMar>
              <w:top w:type="dxa" w:w="100"/>
              <w:left w:type="dxa" w:w="120"/>
              <w:bottom w:type="dxa" w:w="100"/>
              <w:right w:type="dxa" w:w="120"/>
            </w:tcMar>
          </w:tcPr>
          <w:p>
            <w:pPr>
              <w:jc w:val="left"/>
            </w:pPr>
            <w:r>
              <w:rPr>
                <w:b/>
                <w:bCs/>
                <w:color w:val="FFFFFF"/>
                <w:sz w:val="20"/>
                <w:szCs w:val="20"/>
              </w:rPr>
              <w:t xml:space="preserve">This project's Gini importance</w:t>
            </w:r>
          </w:p>
        </w:tc>
        <w:tc>
          <w:tcPr>
            <w:tcW w:type="dxa" w:w="3480"/>
            <w:shd w:fill="2C1250" w:val="clear"/>
            <w:tcMar>
              <w:top w:type="dxa" w:w="100"/>
              <w:left w:type="dxa" w:w="120"/>
              <w:bottom w:type="dxa" w:w="100"/>
              <w:right w:type="dxa" w:w="120"/>
            </w:tcMar>
          </w:tcPr>
          <w:p>
            <w:pPr>
              <w:jc w:val="left"/>
            </w:pPr>
            <w:r>
              <w:rPr>
                <w:b/>
                <w:bCs/>
                <w:color w:val="FFFFFF"/>
                <w:sz w:val="20"/>
                <w:szCs w:val="20"/>
              </w:rPr>
              <w:t xml:space="preserve">Debernardi et al. finding</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REG1B</w:t>
            </w:r>
          </w:p>
        </w:tc>
        <w:tc>
          <w:tcPr>
            <w:tcW w:type="dxa" w:w="3480"/>
            <w:tcMar>
              <w:top w:type="dxa" w:w="100"/>
              <w:left w:type="dxa" w:w="120"/>
              <w:bottom w:type="dxa" w:w="100"/>
              <w:right w:type="dxa" w:w="120"/>
            </w:tcMar>
          </w:tcPr>
          <w:p>
            <w:pPr>
              <w:jc w:val="left"/>
            </w:pPr>
            <w:r>
              <w:rPr>
                <w:b w:val="false"/>
                <w:bCs w:val="false"/>
                <w:color w:val="000000"/>
                <w:sz w:val="20"/>
                <w:szCs w:val="20"/>
              </w:rPr>
              <w:t xml:space="preserve">0.261 (rank 1)</w:t>
            </w:r>
          </w:p>
        </w:tc>
        <w:tc>
          <w:tcPr>
            <w:tcW w:type="dxa" w:w="3480"/>
            <w:tcMar>
              <w:top w:type="dxa" w:w="100"/>
              <w:left w:type="dxa" w:w="120"/>
              <w:bottom w:type="dxa" w:w="100"/>
              <w:right w:type="dxa" w:w="120"/>
            </w:tcMar>
          </w:tcPr>
          <w:p>
            <w:pPr>
              <w:jc w:val="left"/>
            </w:pPr>
            <w:r>
              <w:rPr>
                <w:b w:val="false"/>
                <w:bCs w:val="false"/>
                <w:color w:val="000000"/>
                <w:sz w:val="20"/>
                <w:szCs w:val="20"/>
              </w:rPr>
              <w:t xml:space="preserve">Among top discriminators</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TFF1</w:t>
            </w:r>
          </w:p>
        </w:tc>
        <w:tc>
          <w:tcPr>
            <w:tcW w:type="dxa" w:w="3480"/>
            <w:tcMar>
              <w:top w:type="dxa" w:w="100"/>
              <w:left w:type="dxa" w:w="120"/>
              <w:bottom w:type="dxa" w:w="100"/>
              <w:right w:type="dxa" w:w="120"/>
            </w:tcMar>
          </w:tcPr>
          <w:p>
            <w:pPr>
              <w:jc w:val="left"/>
            </w:pPr>
            <w:r>
              <w:rPr>
                <w:b w:val="false"/>
                <w:bCs w:val="false"/>
                <w:color w:val="000000"/>
                <w:sz w:val="20"/>
                <w:szCs w:val="20"/>
              </w:rPr>
              <w:t xml:space="preserve">0.244 (rank 2)</w:t>
            </w:r>
          </w:p>
        </w:tc>
        <w:tc>
          <w:tcPr>
            <w:tcW w:type="dxa" w:w="3480"/>
            <w:tcMar>
              <w:top w:type="dxa" w:w="100"/>
              <w:left w:type="dxa" w:w="120"/>
              <w:bottom w:type="dxa" w:w="100"/>
              <w:right w:type="dxa" w:w="120"/>
            </w:tcMar>
          </w:tcPr>
          <w:p>
            <w:pPr>
              <w:jc w:val="left"/>
            </w:pPr>
            <w:r>
              <w:rPr>
                <w:b w:val="false"/>
                <w:bCs w:val="false"/>
                <w:color w:val="000000"/>
                <w:sz w:val="20"/>
                <w:szCs w:val="20"/>
              </w:rPr>
              <w:t xml:space="preserve">Among top discriminators</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Plasma CA19-9</w:t>
            </w:r>
          </w:p>
        </w:tc>
        <w:tc>
          <w:tcPr>
            <w:tcW w:type="dxa" w:w="3480"/>
            <w:tcMar>
              <w:top w:type="dxa" w:w="100"/>
              <w:left w:type="dxa" w:w="120"/>
              <w:bottom w:type="dxa" w:w="100"/>
              <w:right w:type="dxa" w:w="120"/>
            </w:tcMar>
          </w:tcPr>
          <w:p>
            <w:pPr>
              <w:jc w:val="left"/>
            </w:pPr>
            <w:r>
              <w:rPr>
                <w:b w:val="false"/>
                <w:bCs w:val="false"/>
                <w:color w:val="000000"/>
                <w:sz w:val="20"/>
                <w:szCs w:val="20"/>
              </w:rPr>
              <w:t xml:space="preserve">0.185 (rank 3)</w:t>
            </w:r>
          </w:p>
        </w:tc>
        <w:tc>
          <w:tcPr>
            <w:tcW w:type="dxa" w:w="3480"/>
            <w:tcMar>
              <w:top w:type="dxa" w:w="100"/>
              <w:left w:type="dxa" w:w="120"/>
              <w:bottom w:type="dxa" w:w="100"/>
              <w:right w:type="dxa" w:w="120"/>
            </w:tcMar>
          </w:tcPr>
          <w:p>
            <w:pPr>
              <w:jc w:val="left"/>
            </w:pPr>
            <w:r>
              <w:rPr>
                <w:b w:val="false"/>
                <w:bCs w:val="false"/>
                <w:color w:val="000000"/>
                <w:sz w:val="20"/>
                <w:szCs w:val="20"/>
              </w:rPr>
              <w:t xml:space="preserve">Weaker alone than combined panel</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LYVE1</w:t>
            </w:r>
          </w:p>
        </w:tc>
        <w:tc>
          <w:tcPr>
            <w:tcW w:type="dxa" w:w="3480"/>
            <w:tcMar>
              <w:top w:type="dxa" w:w="100"/>
              <w:left w:type="dxa" w:w="120"/>
              <w:bottom w:type="dxa" w:w="100"/>
              <w:right w:type="dxa" w:w="120"/>
            </w:tcMar>
          </w:tcPr>
          <w:p>
            <w:pPr>
              <w:jc w:val="left"/>
            </w:pPr>
            <w:r>
              <w:rPr>
                <w:b w:val="false"/>
                <w:bCs w:val="false"/>
                <w:color w:val="000000"/>
                <w:sz w:val="20"/>
                <w:szCs w:val="20"/>
              </w:rPr>
              <w:t xml:space="preserve">0.124 (rank 4)</w:t>
            </w:r>
          </w:p>
        </w:tc>
        <w:tc>
          <w:tcPr>
            <w:tcW w:type="dxa" w:w="3480"/>
            <w:tcMar>
              <w:top w:type="dxa" w:w="100"/>
              <w:left w:type="dxa" w:w="120"/>
              <w:bottom w:type="dxa" w:w="100"/>
              <w:right w:type="dxa" w:w="120"/>
            </w:tcMar>
          </w:tcPr>
          <w:p>
            <w:pPr>
              <w:jc w:val="left"/>
            </w:pPr>
            <w:r>
              <w:rPr>
                <w:b w:val="false"/>
                <w:bCs w:val="false"/>
                <w:color w:val="000000"/>
                <w:sz w:val="20"/>
                <w:szCs w:val="20"/>
              </w:rPr>
              <w:t xml:space="preserve">Contributory, secondary signal</w:t>
            </w:r>
          </w:p>
        </w:tc>
      </w:tr>
    </w:tbl>
    <w:p>
      <w:pPr>
        <w:spacing w:after="200"/>
      </w:pPr>
    </w:p>
    <w:p>
      <w:pPr>
        <w:spacing w:after="200" w:line="360"/>
        <w:jc w:val="both"/>
      </w:pPr>
      <w:r>
        <w:rPr>
          <w:sz w:val="22"/>
          <w:szCs w:val="22"/>
        </w:rPr>
        <w:t xml:space="preserve">This agreement between an independently trained model and previously published clinical findings gives face validity to the classifier: it demonstrates that the Random Forest is recovering the same underlying biological signal identified in the clinical literature, rather than fitting artifacts specific to this dataset.</w:t>
      </w:r>
    </w:p>
    <w:p>
      <w:pPr>
        <w:pStyle w:val="Heading1"/>
        <w:spacing w:after="160" w:before="320"/>
      </w:pPr>
      <w:r>
        <w:t xml:space="preserve">6. Limitations</w:t>
      </w:r>
    </w:p>
    <w:p>
      <w:pPr>
        <w:pStyle w:val="ListParagraph"/>
        <w:numPr>
          <w:ilvl w:val="0"/>
          <w:numId w:val="1"/>
        </w:numPr>
        <w:spacing w:after="120" w:line="320"/>
      </w:pPr>
      <w:r>
        <w:rPr>
          <w:sz w:val="22"/>
          <w:szCs w:val="22"/>
        </w:rPr>
        <w:t xml:space="preserve">Sample size (n = 590) is modest by machine learning standards, though consistent with typical clinical biomarker study cohorts such as [1].</w:t>
      </w:r>
    </w:p>
    <w:p>
      <w:pPr>
        <w:pStyle w:val="ListParagraph"/>
        <w:numPr>
          <w:ilvl w:val="0"/>
          <w:numId w:val="1"/>
        </w:numPr>
        <w:spacing w:after="120" w:line="320"/>
      </w:pPr>
      <w:r>
        <w:rPr>
          <w:sz w:val="22"/>
          <w:szCs w:val="22"/>
        </w:rPr>
        <w:t xml:space="preserve">Evaluation relies on a single stratified train/test split; repeated cross-validated reporting would tighten confidence intervals on the metrics in Section 5.</w:t>
      </w:r>
    </w:p>
    <w:p>
      <w:pPr>
        <w:pStyle w:val="ListParagraph"/>
        <w:numPr>
          <w:ilvl w:val="0"/>
          <w:numId w:val="1"/>
        </w:numPr>
        <w:spacing w:after="120" w:line="320"/>
      </w:pPr>
      <w:r>
        <w:rPr>
          <w:sz w:val="22"/>
          <w:szCs w:val="22"/>
        </w:rPr>
        <w:t xml:space="preserve">Gini-based feature importance can be biased toward high-cardinality or continuous features relative to categorical ones; permutation importance would provide a useful cross-check.</w:t>
      </w:r>
    </w:p>
    <w:p>
      <w:pPr>
        <w:pStyle w:val="ListParagraph"/>
        <w:numPr>
          <w:ilvl w:val="0"/>
          <w:numId w:val="1"/>
        </w:numPr>
        <w:spacing w:after="120" w:line="320"/>
      </w:pPr>
      <w:r>
        <w:rPr>
          <w:sz w:val="22"/>
          <w:szCs w:val="22"/>
        </w:rPr>
        <w:t xml:space="preserve">No external, site-held-out validation cohort was used; given that samples originate from multiple collection sites, leave-one-cohort-out validation would better estimate cross-site generalization.</w:t>
      </w:r>
    </w:p>
    <w:p>
      <w:pPr>
        <w:pStyle w:val="ListParagraph"/>
        <w:numPr>
          <w:ilvl w:val="0"/>
          <w:numId w:val="1"/>
        </w:numPr>
        <w:spacing w:after="120" w:line="320"/>
      </w:pPr>
      <w:r>
        <w:rPr>
          <w:sz w:val="22"/>
          <w:szCs w:val="22"/>
        </w:rPr>
        <w:t xml:space="preserve">As with the source study [1], CA19-9-based markers are known to be less sensitive in patients with certain blood-group antigen profiles, a subgroup effect not separately modeled here.</w:t>
      </w:r>
    </w:p>
    <w:p>
      <w:pPr>
        <w:pStyle w:val="Heading1"/>
        <w:spacing w:after="160" w:before="320"/>
      </w:pPr>
      <w:r>
        <w:t xml:space="preserve">7. Conclusion and Future Work</w:t>
      </w:r>
    </w:p>
    <w:p>
      <w:pPr>
        <w:spacing w:after="200" w:line="360"/>
        <w:jc w:val="both"/>
      </w:pPr>
      <w:r>
        <w:rPr>
          <w:sz w:val="22"/>
          <w:szCs w:val="22"/>
        </w:rPr>
        <w:t xml:space="preserve">This project demonstrates that a Random Forest classifier, trained on the urinary and plasma biomarker panel established by Debernardi et al. [1] and built according to the ensemble methodology of Breiman [2], can distinguish Control, Benign, and PDAC diagnostic groups with 91.5% accuracy and a macro-averaged ROC-AUC of 0.983. Confusion-matrix and ROC analysis show that the model separates PDAC from Control almost perfectly, with the majority of residual error concentrated on the harder Benign-vs-cancer boundary. Feature-importance analysis identifies REG1B, TFF1, and CA19-9 as the most clinically informative biomarkers, a ranking that agrees with prior clinical findings and thereby lends face validity to the trained model. Future work should prioritize (i) permutation and SHAP-based importance as a cross-check on the Gini-based ranking, (ii) leave-one-cohort-out validation across collection sites, (iii) a focused evaluation on early-stage-only PDAC (Stage I/II) detection, which is the highest-value and most clinically demanding use case, and (iv) probability calibration if model outputs are to inform an actual clinical decision threshold.</w:t>
      </w:r>
    </w:p>
    <w:p>
      <w:pPr>
        <w:pStyle w:val="Heading1"/>
        <w:spacing w:after="160" w:before="320"/>
      </w:pPr>
      <w:r>
        <w:t xml:space="preserve">References</w:t>
      </w:r>
    </w:p>
    <w:p>
      <w:pPr>
        <w:spacing w:after="160" w:line="300"/>
        <w:ind w:left="576" w:hanging="576"/>
      </w:pPr>
      <w:r>
        <w:rPr>
          <w:sz w:val="21"/>
          <w:szCs w:val="21"/>
        </w:rPr>
        <w:t xml:space="preserve">[1] </w:t>
      </w:r>
      <w:r>
        <w:rPr>
          <w:sz w:val="21"/>
          <w:szCs w:val="21"/>
        </w:rPr>
        <w:t xml:space="preserve">S. Debernardi, S. O'Brien, A. G. Algahmdi, et al., “A combination of urinary biomarker panel and PancRISK score for earlier detection of pancreatic cancer: A case–control study,” PLOS Medicine, vol. 17, no. 6, e1003489, 2020.</w:t>
      </w:r>
    </w:p>
    <w:p>
      <w:pPr>
        <w:spacing w:after="160" w:line="300"/>
        <w:ind w:left="576" w:hanging="576"/>
      </w:pPr>
      <w:r>
        <w:rPr>
          <w:sz w:val="21"/>
          <w:szCs w:val="21"/>
        </w:rPr>
        <w:t xml:space="preserve">[2] </w:t>
      </w:r>
      <w:r>
        <w:rPr>
          <w:sz w:val="21"/>
          <w:szCs w:val="21"/>
        </w:rPr>
        <w:t xml:space="preserve">L. Breiman, “Random Forests,” Machine Learning, vol. 45, no. 1, pp. 5–32, 2001.</w:t>
      </w:r>
    </w:p>
    <w:p>
      <w:pPr>
        <w:spacing w:after="160" w:line="300"/>
        <w:ind w:left="576" w:hanging="576"/>
      </w:pPr>
      <w:r>
        <w:rPr>
          <w:sz w:val="21"/>
          <w:szCs w:val="21"/>
        </w:rPr>
        <w:t xml:space="preserve">[3] </w:t>
      </w:r>
      <w:r>
        <w:rPr>
          <w:sz w:val="21"/>
          <w:szCs w:val="21"/>
        </w:rPr>
        <w:t xml:space="preserve">N. V. Chawla, K. W. Bowyer, L. O. Hall, and W. P. Kegelmeyer, “SMOTE: Synthetic Minority Over-sampling Technique,” Journal of Artificial Intelligence Research, vol. 16, pp. 321–357, 2002.</w:t>
      </w:r>
    </w:p>
    <w:p>
      <w:pPr>
        <w:spacing w:after="160" w:line="300"/>
        <w:ind w:left="576" w:hanging="576"/>
      </w:pPr>
      <w:r>
        <w:rPr>
          <w:sz w:val="21"/>
          <w:szCs w:val="21"/>
        </w:rPr>
        <w:t xml:space="preserve">[4] </w:t>
      </w:r>
      <w:r>
        <w:rPr>
          <w:sz w:val="21"/>
          <w:szCs w:val="21"/>
        </w:rPr>
        <w:t xml:space="preserve">R. L. Siegel, K. D. Miller, N. S. Wagle, and A. Jemal, “Cancer statistics, 2023,” CA: A Cancer Journal for Clinicians, vol. 73, no. 1, pp. 17–48, 2023.</w:t>
      </w:r>
    </w:p>
    <w:p>
      <w:pPr>
        <w:spacing w:after="160" w:line="300"/>
        <w:ind w:left="576" w:hanging="576"/>
      </w:pPr>
      <w:r>
        <w:rPr>
          <w:sz w:val="21"/>
          <w:szCs w:val="21"/>
        </w:rPr>
        <w:t xml:space="preserve">[5] </w:t>
      </w:r>
      <w:r>
        <w:rPr>
          <w:sz w:val="21"/>
          <w:szCs w:val="21"/>
        </w:rPr>
        <w:t xml:space="preserve">F. Pedregosa, G. Varoquaux, A. Gramfort, et al., “Scikit-learn: Machine Learning in Python,” Journal of Machine Learning Research, vol. 12, pp. 2825–2830, 2011.</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mbria" w:cs="Cambria" w:eastAsia="Cambria" w:hAnsi="Cambria"/>
      <w:b/>
      <w:bCs/>
      <w:color w:val="2C1250"/>
      <w:sz w:val="28"/>
      <w:szCs w:val="28"/>
    </w:rPr>
  </w:style>
  <w:style w:type="paragraph" w:styleId="Heading2">
    <w:name w:val="Heading 2"/>
    <w:basedOn w:val="Normal"/>
    <w:next w:val="Normal"/>
    <w:qFormat/>
    <w:pPr>
      <w:spacing w:after="120" w:before="260"/>
    </w:pPr>
    <w:rPr>
      <w:rFonts w:ascii="Cambria" w:cs="Cambria" w:eastAsia="Cambria" w:hAnsi="Cambria"/>
      <w:b/>
      <w:bCs/>
      <w:color w:val="4B2E83"/>
      <w:sz w:val="24"/>
      <w:szCs w:val="24"/>
    </w:rPr>
  </w:style>
  <w:style w:type="paragraph" w:styleId="Heading3">
    <w:name w:val="Heading 3"/>
    <w:basedOn w:val="Normal"/>
    <w:next w:val="Normal"/>
    <w:qFormat/>
    <w:pPr>
      <w:spacing w:after="100" w:before="200"/>
    </w:pPr>
    <w:rPr>
      <w:rFonts w:ascii="Calibri" w:cs="Calibri" w:eastAsia="Calibri" w:hAnsi="Calibri"/>
      <w:b/>
      <w:bCs/>
      <w:color w:val="00A8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1e2ffc054a918f6660da34f9589b1d2bb9f0ea1.png"/><Relationship Id="rId8" Type="http://schemas.openxmlformats.org/officeDocument/2006/relationships/image" Target="media/5c9bf4c06919f020ada5381715d1ee241619a52f.png"/><Relationship Id="rId9" Type="http://schemas.openxmlformats.org/officeDocument/2006/relationships/image" Target="media/9ff8ad7769052c9b4c12110b5fdb891b1b61e7b0.png"/><Relationship Id="rId10" Type="http://schemas.openxmlformats.org/officeDocument/2006/relationships/image" Target="media/4e2d1deb974808a063504a4edba5895aae334ca7.png"/><Relationship Id="rId11" Type="http://schemas.openxmlformats.org/officeDocument/2006/relationships/image" Target="media/2821d7742a829c1c48cf93536ee81acd5b3371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2026-09-29T09:03:54.069Z</dcterms:created>
  <dcterms:modified xsi:type="dcterms:W3CDTF">2026-09-29T09:03:54.069Z</dcterms:modified>
</cp:coreProperties>
</file>

<file path=docProps/custom.xml><?xml version="1.0" encoding="utf-8"?>
<Properties xmlns="http://schemas.openxmlformats.org/officeDocument/2006/custom-properties" xmlns:vt="http://schemas.openxmlformats.org/officeDocument/2006/docPropsVTypes"/>
</file>