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44"/>
          <w:sz w:val="44"/>
          <w:szCs w:val="44"/>
        </w:rPr>
        <w:t xml:space="preserve">Freight Rate Prediction</w:t>
      </w:r>
    </w:p>
    <w:p>
      <w:pPr>
        <w:pBdr>
          <w:bottom w:val="single" w:color="2A78D6" w:sz="8" w:space="6"/>
        </w:pBdr>
        <w:spacing w:after="240"/>
      </w:pPr>
      <w:r>
        <w:rPr>
          <w:color w:val="5B6B72"/>
          <w:sz w:val="24"/>
          <w:szCs w:val="24"/>
        </w:rPr>
        <w:t xml:space="preserve">Machine Learning Engineer assessment: approach, validation and results</w:t>
      </w:r>
    </w:p>
    <w:p>
      <w:pPr>
        <w:spacing w:after="240"/>
      </w:pPr>
      <w:r>
        <w:rPr>
          <w:b/>
          <w:bCs/>
          <w:color w:val="1F3A44"/>
          <w:sz w:val="24"/>
          <w:szCs w:val="24"/>
        </w:rPr>
        <w:t xml:space="preserve">Karim Mamdouh</w:t>
      </w:r>
    </w:p>
    <w:p>
      <w:pPr>
        <w:pStyle w:val="Heading1"/>
        <w:spacing w:after="120" w:before="280"/>
      </w:pPr>
      <w:r>
        <w:t xml:space="preserve">1.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Task:</w:t>
      </w:r>
      <w:r>
        <w:t xml:space="preserve"> predict posted_rate for 12,000 loads dated Nov–Dec 2025, using 48,000 labelled loads from Jan–Oct 2025. This is a forecasting problem, so every evaluation trains on the past and tests on later 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Model:</w:t>
      </w:r>
      <w:r>
        <w:t xml:space="preserve"> a hybrid of LightGBM, which captures the load-level structure, and a small linear "market level" component (market index, time trend, quarter-end ramp) that can extrapolate in time. A shrunken lane effect is added on top. The target is log(rate).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 on the Sep–Oct hold-out (trained on Jan–Aug):</w:t>
      </w:r>
      <w:r>
        <w:t xml:space="preserve"> MAPE 1.74%, MAE $39.5, compared with 2.43% for a plain LightGBM and 3.74% for a $/mile baseline. Across 3 rolling time folds the mean MAPE is 1.71%.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quality:</w:t>
      </w:r>
      <w:r>
        <w:t xml:space="preserve"> 677 corrupted rates (1.4%), negative and capped weights, missing weight/market_index, clamped coordinates, and 8 cities in validation that never appear in training. Each is handled explicitly (Section 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quote_signal is excluded.</w:t>
      </w:r>
      <w:r>
        <w:t xml:space="preserve"> It behaves differently in validation than in training, and adding it made 2 of the 3 time folds worse.</w:t>
      </w:r>
    </w:p>
    <w:p>
      <w:pPr>
        <w:pStyle w:val="Heading1"/>
        <w:spacing w:after="120" w:before="280"/>
      </w:pPr>
      <w:r>
        <w:t xml:space="preserve">2. Key findings from the data</w:t>
      </w:r>
    </w:p>
    <w:p>
      <w:pPr>
        <w:spacing w:after="120"/>
      </w:pPr>
      <w:r>
        <w:t xml:space="preserve">Distance explains most of the price (correlation 0.91 with rate), but not linearly: short hauls cost much more per mile. At equal distance, Reefer costs more than Flatbed, which costs more than Dry Van. Weight has a small positive effect.</w:t>
      </w:r>
    </w:p>
    <w:p>
      <w:pPr>
        <w:spacing w:after="40" w:before="80"/>
        <w:jc w:val="center"/>
      </w:pPr>
      <w:r>
        <w:drawing>
          <wp:inline distT="0" distB="0" distL="0" distR="0">
            <wp:extent cx="512064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2"/>
          <w:sz w:val="18"/>
          <w:szCs w:val="18"/>
        </w:rPr>
        <w:t xml:space="preserve">Figure 1. Rate per mile by distance and equipment (sample of loads; lines are binned medians).</w:t>
      </w:r>
    </w:p>
    <w:p>
      <w:pPr>
        <w:spacing w:after="120"/>
      </w:pPr>
      <w:r>
        <w:t xml:space="preserve">After removing distance and equipment, the daily price level moves over time in three ways (Figure 2):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market_index</w:t>
      </w:r>
      <w:r>
        <w:t xml:space="preserve"> is a daily market level. Within a day its std is 0.025, against 0.17 overall. It also has a strong weekly cycle that the price level follows.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 upward drift of about 6–7% per year at the same market_index.</w:t>
      </w:r>
      <w:r>
        <w:t xml:space="preserve"> For example, January and September have similar market_index values, but September prices are about 5% higher.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quarter-end ramp:</w:t>
      </w:r>
      <w:r>
        <w:t xml:space="preserve"> prices climb through March, June and September and reset at the start of the next quarter.</w:t>
      </w:r>
    </w:p>
    <w:p>
      <w:pPr>
        <w:spacing w:after="40" w:before="80"/>
        <w:jc w:val="center"/>
      </w:pPr>
      <w:r>
        <w:drawing>
          <wp:inline distT="0" distB="0" distL="0" distR="0">
            <wp:extent cx="5486400" cy="425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2"/>
          <w:sz w:val="18"/>
          <w:szCs w:val="18"/>
        </w:rPr>
        <w:t xml:space="preserve">Figure 2. Daily price level (top), market_index (middle) and quote_signal (bottom). Shaded = quarter-end months.</w:t>
      </w:r>
    </w:p>
    <w:p>
      <w:pPr>
        <w:pStyle w:val="Heading1"/>
        <w:spacing w:after="120" w:before="280"/>
      </w:pPr>
      <w:r>
        <w:t xml:space="preserve">3. Data-quality issues and how they were handled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4760"/>
      </w:tblGrid>
      <w:tr>
        <w:trPr>
          <w:tblHeader/>
        </w:trPr>
        <w:tc>
          <w:tcPr>
            <w:tcW w:type="dxa" w:w="2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1F3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17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1F3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Extent</w:t>
            </w:r>
          </w:p>
        </w:tc>
        <w:tc>
          <w:tcPr>
            <w:tcW w:type="dxa" w:w="47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1F3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Handling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Corrupted posted_rate (0.2–0.5× or 2–7× the normal rate for that distance/equipment)</w:t>
            </w:r>
          </w:p>
        </w:tc>
        <w:tc>
          <w:tcPr>
            <w:tcW w:type="dxa" w:w="17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677 rows (1.4%)</w:t>
            </w:r>
          </w:p>
        </w:tc>
        <w:tc>
          <w:tcPr>
            <w:tcW w:type="dxa" w:w="47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Flagged with a robust per-equipment curve; removed from training only. There is an empty gap between |log residual| 0.25 and 0.6 (Figure 3), so the 0.40 threshold is not sensitive.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Negative weight (e.g. −23,937 lb)</w:t>
            </w:r>
          </w:p>
        </w:tc>
        <w:tc>
          <w:tcPr>
            <w:tcW w:type="dxa" w:w="17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292 train / 145 val</w:t>
            </w:r>
          </w:p>
        </w:tc>
        <w:tc>
          <w:tcPr>
            <w:tcW w:type="dxa" w:w="47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 error: these rows price exactly like the positive weight, so abs() is used.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Weight capped at 47,500 lb</w:t>
            </w:r>
          </w:p>
        </w:tc>
        <w:tc>
          <w:tcPr>
            <w:tcW w:type="dxa" w:w="17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1,204 train / 301 val</w:t>
            </w:r>
          </w:p>
        </w:tc>
        <w:tc>
          <w:tcPr>
            <w:tcW w:type="dxa" w:w="47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Kept, plus a weight_capped flag.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Missing weight</w:t>
            </w:r>
          </w:p>
        </w:tc>
        <w:tc>
          <w:tcPr>
            <w:tcW w:type="dxa" w:w="17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 / 165</w:t>
            </w:r>
          </w:p>
        </w:tc>
        <w:tc>
          <w:tcPr>
            <w:tcW w:type="dxa" w:w="47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Per-equipment median from training, plus a weight_missing flag.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Missing market_index</w:t>
            </w:r>
          </w:p>
        </w:tc>
        <w:tc>
          <w:tcPr>
            <w:tcW w:type="dxa" w:w="17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374 / 249</w:t>
            </w:r>
          </w:p>
        </w:tc>
        <w:tc>
          <w:tcPr>
            <w:tcW w:type="dxa" w:w="47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Mean market_index of all loads on the same date (it is a daily variable).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Clamped coordinates (lat 25.5 / lon −69.5)</w:t>
            </w:r>
          </w:p>
        </w:tc>
        <w:tc>
          <w:tcPr>
            <w:tcW w:type="dxa" w:w="17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2,052 / 669 rows</w:t>
            </w:r>
          </w:p>
        </w:tc>
        <w:tc>
          <w:tcPr>
            <w:tcW w:type="dxa" w:w="47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Coordinates are constant per city, so they still identify the city; geometry comes from distance, which is clean.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 cities in validation never seen in training</w:t>
            </w:r>
          </w:p>
        </w:tc>
        <w:tc>
          <w:tcPr>
            <w:tcW w:type="dxa" w:w="17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1,447 val rows (12%)</w:t>
            </w:r>
          </w:p>
        </w:tc>
        <w:tc>
          <w:tcPr>
            <w:tcW w:type="dxa" w:w="47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city-ID features; coordinates generalise, and the lane effect defaults to 0. Tested explicitly (Section 4).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quote_signal distribution shift</w:t>
            </w:r>
          </w:p>
        </w:tc>
        <w:tc>
          <w:tcPr>
            <w:tcW w:type="dxa" w:w="17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rows</w:t>
            </w:r>
          </w:p>
        </w:tc>
        <w:tc>
          <w:tcPr>
            <w:tcW w:type="dxa" w:w="47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Excluded from the model (Section 5).</w:t>
            </w:r>
          </w:p>
        </w:tc>
      </w:tr>
    </w:tbl>
    <w:p>
      <w:pPr>
        <w:spacing w:after="120"/>
      </w:pPr>
    </w:p>
    <w:p>
      <w:pPr>
        <w:spacing w:after="40" w:before="80"/>
        <w:jc w:val="center"/>
      </w:pPr>
      <w:r>
        <w:drawing>
          <wp:inline distT="0" distB="0" distL="0" distR="0">
            <wp:extent cx="493776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2"/>
          <w:sz w:val="18"/>
          <w:szCs w:val="18"/>
        </w:rPr>
        <w:t xml:space="preserve">Figure 3. Log residual of each rate against a robust distance/equipment curve. Corrupted labels form two separate clusters.</w:t>
      </w:r>
    </w:p>
    <w:p>
      <w:pPr>
        <w:pStyle w:val="Heading1"/>
        <w:spacing w:after="120" w:before="280"/>
      </w:pPr>
      <w:r>
        <w:t xml:space="preserve">4. Validation approach and data split</w:t>
      </w:r>
    </w:p>
    <w:p>
      <w:pPr>
        <w:spacing w:after="120"/>
      </w:pPr>
      <w:r>
        <w:t xml:space="preserve">validation.csv covers </w:t>
      </w:r>
      <w:r>
        <w:rPr>
          <w:b/>
          <w:bCs/>
        </w:rPr>
        <w:t xml:space="preserve">Nov–Dec 2025</w:t>
      </w:r>
      <w:r>
        <w:t xml:space="preserve">, and the labelled data ends on </w:t>
      </w:r>
      <w:r>
        <w:rPr>
          <w:b/>
          <w:bCs/>
        </w:rPr>
        <w:t xml:space="preserve">31 Oct 2025</w:t>
      </w:r>
      <w:r>
        <w:t xml:space="preserve">. The real job is therefore to predict the two months after the training data. A random split would put October loads in training and test on January, which hides any failure to follow the market forward in time. All model choices were made on time-based splits: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Main hold-out:</w:t>
      </w:r>
      <w:r>
        <w:t xml:space="preserve"> train Jan–Aug, test Sep–Oct. These are two unseen months, the same horizon as Nov–Dec.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Rolling-origin folds (expanding window):</w:t>
      </w:r>
      <w:r>
        <w:t xml:space="preserve"> test Jul–Aug, Aug–Sep and Sep–Oct, each trained only on earlier data. This checks the result is stable across windows, including the sharp market drop in late July.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Unseen-city stress test:</w:t>
      </w:r>
      <w:r>
        <w:t xml:space="preserve"> 8 random cities are removed from training entirely, and the model is scored on Sep–Oct loads that touch them. This mimics the 8 new cities in validation.csv.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Cleaning without leakage:</w:t>
      </w:r>
      <w:r>
        <w:t xml:space="preserve"> imputation statistics are fitted on the training fold only. Corrupted labels are removed from training folds, and test metrics are reported both on clean rows and on all rows.</w:t>
      </w:r>
    </w:p>
    <w:p>
      <w:pPr>
        <w:spacing w:after="120"/>
      </w:pPr>
      <w:r>
        <w:t xml:space="preserve">For contrast, a random 80/20 split was also run. It makes the plain LightGBM look almost as good as the final model (1.61% against 1.53% MAPE). On the time split the gap is 2.43% against 1.74%. The split choice decides which model wins, which is why the random split was not used for selection.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tblHeader/>
        </w:trPr>
        <w:tc>
          <w:tcPr>
            <w:tcW w:type="dxa" w:w="45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1F3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Split</w:t>
            </w:r>
          </w:p>
        </w:tc>
        <w:tc>
          <w:tcPr>
            <w:tcW w:type="dxa" w:w="2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1F3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Plain LightGBM MAPE</w:t>
            </w:r>
          </w:p>
        </w:tc>
        <w:tc>
          <w:tcPr>
            <w:tcW w:type="dxa" w:w="2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1F3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Final model MAPE</w:t>
            </w:r>
          </w:p>
        </w:tc>
      </w:tr>
      <w:tr>
        <w:trPr>
          <w:tblHeader w:val="false"/>
        </w:trPr>
        <w:tc>
          <w:tcPr>
            <w:tcW w:type="dxa" w:w="45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Random 80/20 (optimistic, not used)</w:t>
            </w:r>
          </w:p>
        </w:tc>
        <w:tc>
          <w:tcPr>
            <w:tcW w:type="dxa" w:w="2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1.61%</w:t>
            </w:r>
          </w:p>
        </w:tc>
        <w:tc>
          <w:tcPr>
            <w:tcW w:type="dxa" w:w="2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1.53%</w:t>
            </w:r>
          </w:p>
        </w:tc>
      </w:tr>
      <w:tr>
        <w:trPr>
          <w:tblHeader w:val="false"/>
        </w:trPr>
        <w:tc>
          <w:tcPr>
            <w:tcW w:type="dxa" w:w="45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Time: train Jan–Aug, test Sep–Oct</w:t>
            </w:r>
          </w:p>
        </w:tc>
        <w:tc>
          <w:tcPr>
            <w:tcW w:type="dxa" w:w="2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2.43%</w:t>
            </w:r>
          </w:p>
        </w:tc>
        <w:tc>
          <w:tcPr>
            <w:tcW w:type="dxa" w:w="2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1.74%</w:t>
            </w:r>
          </w:p>
        </w:tc>
      </w:tr>
      <w:tr>
        <w:trPr>
          <w:tblHeader w:val="false"/>
        </w:trPr>
        <w:tc>
          <w:tcPr>
            <w:tcW w:type="dxa" w:w="45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Time: mean of 3 rolling folds</w:t>
            </w:r>
          </w:p>
        </w:tc>
        <w:tc>
          <w:tcPr>
            <w:tcW w:type="dxa" w:w="2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2.87%</w:t>
            </w:r>
          </w:p>
        </w:tc>
        <w:tc>
          <w:tcPr>
            <w:tcW w:type="dxa" w:w="2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1.71%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Unseen cities:</w:t>
      </w:r>
      <w:r>
        <w:t xml:space="preserve"> MAPE 2.25% on 2,477 loads touching held-out cities, against 1.77% between seen cities. Accuracy degrades only modestly for new cities.</w:t>
      </w:r>
    </w:p>
    <w:p>
      <w:pPr>
        <w:pStyle w:val="Heading1"/>
        <w:spacing w:after="120" w:before="280"/>
      </w:pPr>
      <w:r>
        <w:t xml:space="preserve">5. Model</w:t>
      </w:r>
    </w:p>
    <w:p>
      <w:pPr>
        <w:pStyle w:val="Heading2"/>
        <w:spacing w:after="80" w:before="200"/>
      </w:pPr>
      <w:r>
        <w:t xml:space="preserve">Structure</w:t>
      </w:r>
    </w:p>
    <w:p>
      <w:pPr>
        <w:spacing w:after="120"/>
      </w:pPr>
      <w:r>
        <w:t xml:space="preserve">log(rate) = LightGBM(load features) + [b0 + b1·log(market_index) + b2·trend + b3·quarter_end_ramp] + lane_effect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 target:</w:t>
      </w:r>
      <w:r>
        <w:t xml:space="preserve"> errors in freight scale with the size of the load, so this treats a 3% miss equally on short and long hauls, and predictions are always positive.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LightGBM</w:t>
      </w:r>
      <w:r>
        <w:t xml:space="preserve"> learns the non-linear load-level structure: distance curve, equipment × distance, weight, city effects via coordinates, market_index, day of week.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Linear market-level part:</w:t>
      </w:r>
      <w:r>
        <w:t xml:space="preserve"> trees predict a flat value beyond the last date they have seen, so they cannot follow the upward trend into Nov–Dec. A linear trend term and a quarter-end ramp (0 outside Mar/Jun/Sep/Dec, rising from 0 to 1 through those months) can.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Lane effect:</w:t>
      </w:r>
      <w:r>
        <w:t xml:space="preserve"> each lane's mean residual is shrunk towards 0 with a pseudo-count of 10. Unseen lanes get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three parts are fitted by backfitting (3 rounds): trees on the remainder of the other parts, then the linear part, then the lane effects.</w:t>
      </w:r>
    </w:p>
    <w:p>
      <w:pPr>
        <w:spacing w:after="120"/>
      </w:pPr>
      <w:r>
        <w:t xml:space="preserve">Coefficients when trained on Jan–Aug: trend +6.3% per year, quarter-end ramp +4.1% by the last day of the quarter. (The market-index effect is shared between the trees and the linear term.)</w:t>
      </w:r>
    </w:p>
    <w:p>
      <w:pPr>
        <w:pStyle w:val="Heading2"/>
        <w:spacing w:after="80" w:before="200"/>
      </w:pPr>
      <w:r>
        <w:t xml:space="preserve">Why quote_signal is excluded</w:t>
      </w:r>
    </w:p>
    <w:p>
      <w:pPr>
        <w:spacing w:after="120"/>
      </w:pPr>
      <w:r>
        <w:t xml:space="preserve">In training, quote_signal is higher on short hauls and for Reefer/Flatbed, and it jumps during quarter-end months, which suggests it is partly derived from the price. In validation it is flat across distance, equipment and dates, with a narrower spread (std 0.22 vs 0.29). A model relying on it would be using a relationship that is absent when predictions are made. Adding it made the Jul–Aug and Aug–Sep folds much worse (Table 2).</w:t>
      </w:r>
    </w:p>
    <w:p>
      <w:pPr>
        <w:spacing w:after="40" w:before="80"/>
        <w:jc w:val="center"/>
      </w:pPr>
      <w:r>
        <w:drawing>
          <wp:inline distT="0" distB="0" distL="0" distR="0">
            <wp:extent cx="4572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2"/>
          <w:sz w:val="18"/>
          <w:szCs w:val="18"/>
        </w:rPr>
        <w:t xml:space="preserve">Figure 4. Mean quote_signal by distance: a clear pattern in training, none in validation.</w:t>
      </w:r>
    </w:p>
    <w:p>
      <w:pPr>
        <w:pStyle w:val="Heading1"/>
        <w:spacing w:after="120" w:before="280"/>
      </w:pPr>
      <w:r>
        <w:t xml:space="preserve">6. Results</w:t>
      </w:r>
    </w:p>
    <w:p>
      <w:pPr>
        <w:spacing w:after="120"/>
      </w:pPr>
      <w:r>
        <w:t xml:space="preserve">Table 1: Sep–Oct hold-out, trained on Jan–Aug. Metrics on clean rows; the last column includes the corrupted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000"/>
        <w:gridCol w:w="1000"/>
        <w:gridCol w:w="1100"/>
        <w:gridCol w:w="1000"/>
        <w:gridCol w:w="1700"/>
      </w:tblGrid>
      <w:tr>
        <w:trPr>
          <w:tblHeader/>
        </w:trPr>
        <w:tc>
          <w:tcPr>
            <w:tcW w:type="dxa" w:w="35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1F3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1F3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MAE ($)</w:t>
            </w:r>
          </w:p>
        </w:tc>
        <w:tc>
          <w:tcPr>
            <w:tcW w:type="dxa" w:w="1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1F3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MAPE</w:t>
            </w:r>
          </w:p>
        </w:tc>
        <w:tc>
          <w:tcPr>
            <w:tcW w:type="dxa" w:w="11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1F3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RMSE ($)</w:t>
            </w:r>
          </w:p>
        </w:tc>
        <w:tc>
          <w:tcPr>
            <w:tcW w:type="dxa" w:w="1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1F3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Bias</w:t>
            </w:r>
          </w:p>
        </w:tc>
        <w:tc>
          <w:tcPr>
            <w:tcW w:type="dxa" w:w="17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1F3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MAPE incl. outliers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8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Hybrid (final)</w:t>
            </w:r>
          </w:p>
        </w:tc>
        <w:tc>
          <w:tcPr>
            <w:tcW w:type="dxa" w:w="1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8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39.5</w:t>
            </w:r>
          </w:p>
        </w:tc>
        <w:tc>
          <w:tcPr>
            <w:tcW w:type="dxa" w:w="1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8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1.74%</w:t>
            </w:r>
          </w:p>
        </w:tc>
        <w:tc>
          <w:tcPr>
            <w:tcW w:type="dxa" w:w="11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8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57.1</w:t>
            </w:r>
          </w:p>
        </w:tc>
        <w:tc>
          <w:tcPr>
            <w:tcW w:type="dxa" w:w="1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8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-0.51%</w:t>
            </w:r>
          </w:p>
        </w:tc>
        <w:tc>
          <w:tcPr>
            <w:tcW w:type="dxa" w:w="17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8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4.26%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Hybrid + quote_signal</w:t>
            </w:r>
          </w:p>
        </w:tc>
        <w:tc>
          <w:tcPr>
            <w:tcW w:type="dxa" w:w="1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40.1</w:t>
            </w:r>
          </w:p>
        </w:tc>
        <w:tc>
          <w:tcPr>
            <w:tcW w:type="dxa" w:w="1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1.78%</w:t>
            </w:r>
          </w:p>
        </w:tc>
        <w:tc>
          <w:tcPr>
            <w:tcW w:type="dxa" w:w="11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58.0</w:t>
            </w:r>
          </w:p>
        </w:tc>
        <w:tc>
          <w:tcPr>
            <w:tcW w:type="dxa" w:w="1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-0.66%</w:t>
            </w:r>
          </w:p>
        </w:tc>
        <w:tc>
          <w:tcPr>
            <w:tcW w:type="dxa" w:w="17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4.29%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Hybrid, no lane effect</w:t>
            </w:r>
          </w:p>
        </w:tc>
        <w:tc>
          <w:tcPr>
            <w:tcW w:type="dxa" w:w="1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41.5</w:t>
            </w:r>
          </w:p>
        </w:tc>
        <w:tc>
          <w:tcPr>
            <w:tcW w:type="dxa" w:w="1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1.82%</w:t>
            </w:r>
          </w:p>
        </w:tc>
        <w:tc>
          <w:tcPr>
            <w:tcW w:type="dxa" w:w="11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59.9</w:t>
            </w:r>
          </w:p>
        </w:tc>
        <w:tc>
          <w:tcPr>
            <w:tcW w:type="dxa" w:w="1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-0.49%</w:t>
            </w:r>
          </w:p>
        </w:tc>
        <w:tc>
          <w:tcPr>
            <w:tcW w:type="dxa" w:w="17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4.35%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Hybrid, no quarter-end ramp</w:t>
            </w:r>
          </w:p>
        </w:tc>
        <w:tc>
          <w:tcPr>
            <w:tcW w:type="dxa" w:w="1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50.2</w:t>
            </w:r>
          </w:p>
        </w:tc>
        <w:tc>
          <w:tcPr>
            <w:tcW w:type="dxa" w:w="1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2.13%</w:t>
            </w:r>
          </w:p>
        </w:tc>
        <w:tc>
          <w:tcPr>
            <w:tcW w:type="dxa" w:w="11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76.0</w:t>
            </w:r>
          </w:p>
        </w:tc>
        <w:tc>
          <w:tcPr>
            <w:tcW w:type="dxa" w:w="1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-1.55%</w:t>
            </w:r>
          </w:p>
        </w:tc>
        <w:tc>
          <w:tcPr>
            <w:tcW w:type="dxa" w:w="17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4.63%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Plain LightGBM (all raw features)</w:t>
            </w:r>
          </w:p>
        </w:tc>
        <w:tc>
          <w:tcPr>
            <w:tcW w:type="dxa" w:w="1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57.9</w:t>
            </w:r>
          </w:p>
        </w:tc>
        <w:tc>
          <w:tcPr>
            <w:tcW w:type="dxa" w:w="1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2.43%</w:t>
            </w:r>
          </w:p>
        </w:tc>
        <w:tc>
          <w:tcPr>
            <w:tcW w:type="dxa" w:w="11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86.1</w:t>
            </w:r>
          </w:p>
        </w:tc>
        <w:tc>
          <w:tcPr>
            <w:tcW w:type="dxa" w:w="1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-1.73%</w:t>
            </w:r>
          </w:p>
        </w:tc>
        <w:tc>
          <w:tcPr>
            <w:tcW w:type="dxa" w:w="17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4.92%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Baseline: $/mile by equipment x distance</w:t>
            </w:r>
          </w:p>
        </w:tc>
        <w:tc>
          <w:tcPr>
            <w:tcW w:type="dxa" w:w="1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83.4</w:t>
            </w:r>
          </w:p>
        </w:tc>
        <w:tc>
          <w:tcPr>
            <w:tcW w:type="dxa" w:w="1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3.74%</w:t>
            </w:r>
          </w:p>
        </w:tc>
        <w:tc>
          <w:tcPr>
            <w:tcW w:type="dxa" w:w="11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115.8</w:t>
            </w:r>
          </w:p>
        </w:tc>
        <w:tc>
          <w:tcPr>
            <w:tcW w:type="dxa" w:w="1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-0.72%</w:t>
            </w:r>
          </w:p>
        </w:tc>
        <w:tc>
          <w:tcPr>
            <w:tcW w:type="dxa" w:w="17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6.26%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Table 2: MAPE on rolling-origin folds (each trained only on earlier months).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450"/>
        <w:gridCol w:w="1450"/>
        <w:gridCol w:w="1450"/>
        <w:gridCol w:w="1450"/>
      </w:tblGrid>
      <w:tr>
        <w:trPr>
          <w:tblHeader/>
        </w:trPr>
        <w:tc>
          <w:tcPr>
            <w:tcW w:type="dxa" w:w="35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1F3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1F3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 2025-07–2025-08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1F3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 2025-08–2025-09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1F3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 2025-09–2025-10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1F3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8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Hybrid (final)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8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1.77%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8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1.60%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8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1.74%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8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1.71%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Hybrid + quote_signal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2.71%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2.32%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1.78%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2.27%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Hybrid, no lane effect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1.81%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1.69%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1.82%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1.77%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Hybrid, no quarter-end ramp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3.58%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1.97%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2.13%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2.56%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Plain LightGBM (all raw features)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3.38%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2.81%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2.43%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2.87%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Baseline: $/mile by equipment x distance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3.85%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3.72%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3.75%</w:t>
            </w:r>
          </w:p>
        </w:tc>
        <w:tc>
          <w:tcPr>
            <w:tcW w:type="dxa" w:w="145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3.77%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Every ingredient earns its place: removing the quarter-end ramp or the lane effect, or adding quote_signal, makes results worse. Figure 6 shows the main remaining weakness. The model trained on Jan–Aug underpredicts October by about 1%, because prices did not fall back after the September quarter-end as much as after June. The final model is retrained on all data including October, so it learns this level.</w:t>
      </w:r>
    </w:p>
    <w:p>
      <w:pPr>
        <w:spacing w:after="40" w:before="80"/>
        <w:jc w:val="center"/>
      </w:pPr>
      <w:r>
        <w:drawing>
          <wp:inline distT="0" distB="0" distL="0" distR="0">
            <wp:extent cx="512064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2"/>
          <w:sz w:val="18"/>
          <w:szCs w:val="18"/>
        </w:rPr>
        <w:t xml:space="preserve">Figure 5. Hold-out MAPE by model.</w:t>
      </w:r>
    </w:p>
    <w:p>
      <w:pPr>
        <w:spacing w:after="40" w:before="80"/>
        <w:jc w:val="center"/>
      </w:pPr>
      <w:r>
        <w:drawing>
          <wp:inline distT="0" distB="0" distL="0" distR="0">
            <wp:extent cx="512064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2"/>
          <w:sz w:val="18"/>
          <w:szCs w:val="18"/>
        </w:rPr>
        <w:t xml:space="preserve">Figure 6. Mean daily % error on the hold-out.</w:t>
      </w:r>
    </w:p>
    <w:p>
      <w:pPr>
        <w:pStyle w:val="Heading1"/>
        <w:spacing w:after="120" w:before="280"/>
      </w:pPr>
      <w:r>
        <w:t xml:space="preserve">7. Final model and predictions</w:t>
      </w:r>
    </w:p>
    <w:p>
      <w:pPr>
        <w:spacing w:after="120"/>
      </w:pPr>
      <w:r>
        <w:t xml:space="preserve">The final model is trained on all 47,323 clean labelled rows (Jan–Oct) and predicts the 12,000 loads in validation.csv. validation_predictions.csv keeps the template's load_id order and contains exactly load_id,predicted_rate (all positive, no gaps). Missing market_index values in validation are filled from the same-day mean of validation rows. The 8 new cities are handled through their coordinates.</w:t>
      </w:r>
    </w:p>
    <w:p>
      <w:pPr>
        <w:pStyle w:val="Heading1"/>
        <w:spacing w:after="120" w:before="280"/>
      </w:pPr>
      <w:r>
        <w:t xml:space="preserve">8. December prediction chart</w:t>
      </w:r>
    </w:p>
    <w:p>
      <w:pPr>
        <w:spacing w:after="120"/>
      </w:pPr>
      <w:r>
        <w:t xml:space="preserve">Fixed inputs: Lexington → Fort Wayne, 360 miles, Dry Van, 32,000 lb; only the date changes. The chart inputs file has no market_index, quote_signal or coordinates, and score.py requires the original 7 columns. So the pipeline looks up the city coordinates from the data and uses the </w:t>
      </w:r>
      <w:r>
        <w:rPr>
          <w:b/>
          <w:bCs/>
        </w:rPr>
        <w:t xml:space="preserve">mean market_index of the validation loads on each December date</w:t>
      </w:r>
      <w:r>
        <w:t xml:space="preserve">. The predicted path therefore reflects: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weekly market_index cycle, which gives the weekly waves;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quarter-end ramp through December, which gives the upward slope (+3–4% by month end);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long-run trend.</w:t>
      </w:r>
    </w:p>
    <w:p>
      <w:pPr>
        <w:spacing w:after="120"/>
      </w:pPr>
      <w:r>
        <w:t xml:space="preserve">Predictions range from about $834 to $888 (≈$2.32–2.47 per mile). That is consistent with recent loads on this lane, $778–865 for Dry Van in Sep–Oct.</w:t>
      </w:r>
    </w:p>
    <w:p>
      <w:pPr>
        <w:spacing w:after="40" w:before="80"/>
        <w:jc w:val="center"/>
      </w:pPr>
      <w:r>
        <w:drawing>
          <wp:inline distT="0" distB="0" distL="0" distR="0">
            <wp:extent cx="576072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2"/>
          <w:sz w:val="18"/>
          <w:szCs w:val="18"/>
        </w:rPr>
        <w:t xml:space="preserve">Figure 7. Produced by the provided score.py.</w:t>
      </w:r>
    </w:p>
    <w:p>
      <w:pPr>
        <w:pStyle w:val="Heading1"/>
        <w:spacing w:after="120" w:before="280"/>
      </w:pPr>
      <w:r>
        <w:t xml:space="preserve">9. Limitations and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December quarter-end ramp is assumed to behave like March, June and September.</w:t>
      </w:r>
      <w:r>
        <w:t xml:space="preserve"> The data contains no December, and real December freight markets have holiday effects. With more history, a month-specific seasonal term would replace this assumption.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trend is extrapolated linearly two months ahead</w:t>
      </w:r>
      <w:r>
        <w:t xml:space="preserve">; it should be refreshed as new months are labelled (monthly retraining).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Prediction intervals:</w:t>
      </w:r>
      <w:r>
        <w:t xml:space="preserve"> quantile LightGBM, or conformal intervals calibrated on the rolling folds, would give a price range rather than a single price.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quote_signal:</w:t>
      </w:r>
      <w:r>
        <w:t xml:space="preserve"> worth revisiting if its definition is documented and confirmed to be available, unchanged, at quoting time.</w:t>
      </w:r>
    </w:p>
    <w:p>
      <w:pPr>
        <w:pStyle w:val="Heading1"/>
        <w:spacing w:after="120" w:before="280"/>
      </w:pPr>
      <w:r>
        <w:t xml:space="preserve">10. Reproducing</w:t>
      </w:r>
    </w:p>
    <w:p>
      <w:pPr>
        <w:spacing w:after="120"/>
      </w:pPr>
      <w:r>
        <w:t xml:space="preserve">pip install -r requirements.txt; python run_pipeline.py all; python score.py --predictions validation_predictions.csv --december-predictions data/december_chart_inputs.csv. See README.md for details. The full pipeline runs in about 3 minutes on a laptop.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9AA1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A78D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6d1457710ef2950f43dce998f2dcc543dbca79b.png"/><Relationship Id="rId9" Type="http://schemas.openxmlformats.org/officeDocument/2006/relationships/image" Target="media/cb5c4a2b4097dd39cca4e691b8212975bcd4dc41.png"/><Relationship Id="rId10" Type="http://schemas.openxmlformats.org/officeDocument/2006/relationships/image" Target="media/6c8eb38fe4f6aa5e058bb0aa3d2f5e1842e2aede.png"/><Relationship Id="rId11" Type="http://schemas.openxmlformats.org/officeDocument/2006/relationships/image" Target="media/34cb99f34f0d8e9488e5adf2d6e1b42616371a43.png"/><Relationship Id="rId12" Type="http://schemas.openxmlformats.org/officeDocument/2006/relationships/image" Target="media/2cf8f2dbe8bd296e8f9aa6e5631082457e1aad47.png"/><Relationship Id="rId13" Type="http://schemas.openxmlformats.org/officeDocument/2006/relationships/image" Target="media/c47808add29a6b397d6095c4ef3b7f44fa689fb1.png"/><Relationship Id="rId14" Type="http://schemas.openxmlformats.org/officeDocument/2006/relationships/image" Target="media/6ddb7703affb15a0983f27fd3078e34c9ec585b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Freight Rate Prediction – Report</dc:title>
  <dc:creator>Karim Mamdouh</dc:creator>
  <cp:lastModifiedBy>Un-named</cp:lastModifiedBy>
  <cp:revision>1</cp:revision>
  <dcterms:created xsi:type="dcterms:W3CDTF">2026-10-15T09:57:00.300Z</dcterms:created>
  <dcterms:modified xsi:type="dcterms:W3CDTF">2026-10-15T09:57:00.305Z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