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8"/>
          <w:szCs w:val="28"/>
        </w:rPr>
        <w:t xml:space="preserve">TECHMASTER ACADEMY</w:t>
      </w:r>
    </w:p>
    <w:p>
      <w:pPr>
        <w:spacing w:after="600"/>
        <w:jc w:val="center"/>
      </w:pPr>
      <w:r>
        <w:rPr>
          <w:color w:val="595959"/>
          <w:sz w:val="24"/>
          <w:szCs w:val="24"/>
        </w:rPr>
        <w:t xml:space="preserve">Phase 03  ·  Project 03</w:t>
      </w:r>
    </w:p>
    <w:p>
      <w:pPr>
        <w:spacing w:after="200" w:before="400"/>
        <w:jc w:val="center"/>
      </w:pPr>
      <w:r>
        <w:rPr>
          <w:b/>
          <w:bCs/>
          <w:color w:val="1F3864"/>
          <w:sz w:val="44"/>
          <w:szCs w:val="44"/>
        </w:rPr>
        <w:t xml:space="preserve">Optimized Spam Detection System</w:t>
      </w:r>
    </w:p>
    <w:p>
      <w:pPr>
        <w:spacing w:after="800"/>
        <w:jc w:val="center"/>
      </w:pPr>
      <w:r>
        <w:rPr>
          <w:color w:val="2E74B5"/>
          <w:sz w:val="32"/>
          <w:szCs w:val="32"/>
        </w:rPr>
        <w:t xml:space="preserve">Model Evaluation Report</w:t>
      </w:r>
    </w:p>
    <w:p>
      <w:pPr>
        <w:spacing w:before="1200"/>
        <w:jc w:val="center"/>
      </w:pPr>
      <w:r>
        <w:rPr>
          <w:color w:val="000000"/>
          <w:sz w:val="22"/>
          <w:szCs w:val="22"/>
        </w:rPr>
        <w:t xml:space="preserve">Client: Email Service Provider</w:t>
      </w:r>
    </w:p>
    <w:p>
      <w:pPr>
        <w:spacing w:after="100"/>
        <w:jc w:val="center"/>
      </w:pPr>
      <w:r>
        <w:rPr>
          <w:color w:val="000000"/>
          <w:sz w:val="22"/>
          <w:szCs w:val="22"/>
        </w:rPr>
        <w:t xml:space="preserve">Dataset: SMS Spam Collection (UCI / Kaggle)</w:t>
      </w:r>
    </w:p>
    <w:p>
      <w:pPr>
        <w:spacing w:after="100"/>
        <w:jc w:val="center"/>
      </w:pPr>
      <w:r>
        <w:rPr>
          <w:b/>
          <w:bCs/>
          <w:color w:val="1E7B34"/>
          <w:sz w:val="22"/>
          <w:szCs w:val="22"/>
        </w:rPr>
        <w:t xml:space="preserve">Best Model: Optimized SVM — 97.87% Test Accuracy</w:t>
      </w:r>
    </w:p>
    <w:p>
      <w:pPr>
        <w:spacing w:before="1600"/>
        <w:jc w:val="center"/>
      </w:pPr>
      <w:r>
        <w:rPr>
          <w:color w:val="595959"/>
          <w:sz w:val="20"/>
          <w:szCs w:val="20"/>
        </w:rPr>
        <w:t xml:space="preserve">August 2026</w:t>
      </w:r>
    </w:p>
    <w:p>
      <w:r>
        <w:br w:type="page"/>
      </w:r>
    </w:p>
    <w:p>
      <w:pPr>
        <w:pStyle w:val="Heading1"/>
        <w:spacing w:after="200" w:before="400"/>
      </w:pPr>
      <w:r>
        <w:t xml:space="preserve">Table of Contents</w:t>
      </w:r>
    </w:p>
    <w:p>
      <w:pPr>
        <w:pStyle w:val="ListParagraph"/>
        <w:numPr>
          <w:ilvl w:val="0"/>
          <w:numId w:val="1"/>
        </w:numPr>
        <w:spacing w:after="80"/>
      </w:pPr>
      <w:r>
        <w:t xml:space="preserve">1. Executive Summary</w:t>
      </w:r>
    </w:p>
    <w:p>
      <w:pPr>
        <w:pStyle w:val="ListParagraph"/>
        <w:numPr>
          <w:ilvl w:val="0"/>
          <w:numId w:val="1"/>
        </w:numPr>
        <w:spacing w:after="80"/>
      </w:pPr>
      <w:r>
        <w:t xml:space="preserve">2. Project Overview</w:t>
      </w:r>
    </w:p>
    <w:p>
      <w:pPr>
        <w:pStyle w:val="ListParagraph"/>
        <w:numPr>
          <w:ilvl w:val="0"/>
          <w:numId w:val="1"/>
        </w:numPr>
        <w:spacing w:after="80"/>
      </w:pPr>
      <w:r>
        <w:t xml:space="preserve">3. Dataset</w:t>
      </w:r>
    </w:p>
    <w:p>
      <w:pPr>
        <w:pStyle w:val="ListParagraph"/>
        <w:numPr>
          <w:ilvl w:val="0"/>
          <w:numId w:val="1"/>
        </w:numPr>
        <w:spacing w:after="80"/>
      </w:pPr>
      <w:r>
        <w:t xml:space="preserve">4. Methodology</w:t>
      </w:r>
    </w:p>
    <w:p>
      <w:pPr>
        <w:pStyle w:val="ListParagraph"/>
        <w:numPr>
          <w:ilvl w:val="0"/>
          <w:numId w:val="1"/>
        </w:numPr>
        <w:spacing w:after="80"/>
      </w:pPr>
      <w:r>
        <w:t xml:space="preserve">5. Model Training &amp; Evaluation</w:t>
      </w:r>
    </w:p>
    <w:p>
      <w:pPr>
        <w:pStyle w:val="ListParagraph"/>
        <w:numPr>
          <w:ilvl w:val="0"/>
          <w:numId w:val="1"/>
        </w:numPr>
        <w:spacing w:after="80"/>
      </w:pPr>
      <w:r>
        <w:t xml:space="preserve">6. Final Model Comparison</w:t>
      </w:r>
    </w:p>
    <w:p>
      <w:pPr>
        <w:pStyle w:val="ListParagraph"/>
        <w:numPr>
          <w:ilvl w:val="0"/>
          <w:numId w:val="1"/>
        </w:numPr>
        <w:spacing w:after="80"/>
      </w:pPr>
      <w:r>
        <w:t xml:space="preserve">7. Recommended Model</w:t>
      </w:r>
    </w:p>
    <w:p>
      <w:pPr>
        <w:pStyle w:val="ListParagraph"/>
        <w:numPr>
          <w:ilvl w:val="0"/>
          <w:numId w:val="1"/>
        </w:numPr>
        <w:spacing w:after="80"/>
      </w:pPr>
      <w:r>
        <w:t xml:space="preserve">8. Limitations &amp; Recommendations</w:t>
      </w:r>
    </w:p>
    <w:p>
      <w:pPr>
        <w:pStyle w:val="ListParagraph"/>
        <w:numPr>
          <w:ilvl w:val="0"/>
          <w:numId w:val="1"/>
        </w:numPr>
        <w:spacing w:after="80"/>
      </w:pPr>
      <w:r>
        <w:t xml:space="preserve">9. Conclusion</w:t>
      </w:r>
    </w:p>
    <w:p>
      <w:r>
        <w:br w:type="page"/>
      </w:r>
    </w:p>
    <w:p>
      <w:pPr>
        <w:pStyle w:val="Heading1"/>
        <w:spacing w:after="200" w:before="400"/>
      </w:pPr>
      <w:r>
        <w:t xml:space="preserve">1. Executive Summary</w:t>
      </w:r>
    </w:p>
    <w:p>
      <w:pPr>
        <w:spacing w:after="150"/>
      </w:pPr>
      <w:r>
        <w:t xml:space="preserve">This report presents the results of the Optimized Spam Detection System project developed as part of TechMaster Academy — Phase 03. The objective was to build a machine learning model capable of automatically classifying SMS/email messages as Spam or Ham (legitimate) for an Email Service Provider client, in order to improve user experience and reduce exposure to unwanted or malicious content.</w:t>
      </w:r>
    </w:p>
    <w:p>
      <w:pPr>
        <w:spacing w:after="150"/>
      </w:pPr>
      <w:r>
        <w:t xml:space="preserve">Five models were trained and compared on the SMS Spam Collection dataset (5,572 messages): Naive Bayes, Logistic Regression, Support Vector Machine (default), a hyperparameter-optimized SVM (via GridSearchCV), and Random Forest. The optimized SVM achieved the best overall performance, with 97.87% test accuracy and the highest spam-detection F1-score (0.91), and was selected as the final recommended model.</w:t>
      </w:r>
    </w:p>
    <w:p>
      <w:pPr>
        <w:pStyle w:val="Heading1"/>
        <w:spacing w:after="200" w:before="400"/>
      </w:pPr>
      <w:r>
        <w:t xml:space="preserve">2. Project Overview</w:t>
      </w:r>
    </w:p>
    <w:p>
      <w:pPr>
        <w:pStyle w:val="Heading2"/>
        <w:spacing w:after="150" w:before="300"/>
      </w:pPr>
      <w:r>
        <w:t xml:space="preserve">2.1 Goal</w:t>
      </w:r>
    </w:p>
    <w:p>
      <w:pPr>
        <w:spacing w:after="150"/>
      </w:pPr>
      <w:r>
        <w:t xml:space="preserve">Build an optimized machine learning model that automatically classifies incoming messages as Spam or Ham with high accuracy, reducing manual review effort and protecting users from unwanted or malicious content.</w:t>
      </w:r>
    </w:p>
    <w:p>
      <w:pPr>
        <w:pStyle w:val="Heading2"/>
        <w:spacing w:after="150" w:before="300"/>
      </w:pPr>
      <w:r>
        <w:t xml:space="preserve">2.2 Client Brief</w:t>
      </w:r>
    </w:p>
    <w:p>
      <w:pPr>
        <w:spacing w:after="150"/>
      </w:pPr>
      <w:r>
        <w:t xml:space="preserve">Client: Email Service Provider. Goal: automatically classify incoming emails as Spam or Ham with high accuracy to improve the end-user experience.</w:t>
      </w:r>
    </w:p>
    <w:p>
      <w:pPr>
        <w:pStyle w:val="Heading2"/>
        <w:spacing w:after="150" w:before="300"/>
      </w:pPr>
      <w:r>
        <w:t xml:space="preserve">2.3 Technology Stack</w:t>
      </w:r>
    </w:p>
    <w:p>
      <w:pPr>
        <w:pStyle w:val="ListParagraph"/>
        <w:numPr>
          <w:ilvl w:val="0"/>
          <w:numId w:val="1"/>
        </w:numPr>
        <w:spacing w:after="80"/>
      </w:pPr>
      <w:r>
        <w:t xml:space="preserve">Language: Python</w:t>
      </w:r>
    </w:p>
    <w:p>
      <w:pPr>
        <w:pStyle w:val="ListParagraph"/>
        <w:numPr>
          <w:ilvl w:val="0"/>
          <w:numId w:val="1"/>
        </w:numPr>
        <w:spacing w:after="80"/>
      </w:pPr>
      <w:r>
        <w:t xml:space="preserve">Libraries: Pandas, NumPy, Scikit-learn, Matplotlib</w:t>
      </w:r>
    </w:p>
    <w:p>
      <w:pPr>
        <w:pStyle w:val="ListParagraph"/>
        <w:numPr>
          <w:ilvl w:val="0"/>
          <w:numId w:val="1"/>
        </w:numPr>
        <w:spacing w:after="80"/>
      </w:pPr>
      <w:r>
        <w:t xml:space="preserve">Dataset format: CSV</w:t>
      </w:r>
    </w:p>
    <w:p>
      <w:pPr>
        <w:pStyle w:val="Heading1"/>
        <w:spacing w:after="200" w:before="400"/>
      </w:pPr>
      <w:r>
        <w:t xml:space="preserve">3. Dataset</w:t>
      </w:r>
    </w:p>
    <w:p>
      <w:pPr>
        <w:spacing w:after="150"/>
      </w:pPr>
      <w:r>
        <w:t xml:space="preserve">The project uses the SMS Spam Collection Dataset, sourced from the UCI Machine Learning Repository (Kaggle mirror). The raw file contains 5,572 rows and 5 columns:</w:t>
      </w:r>
    </w:p>
    <w:p>
      <w:pPr>
        <w:pStyle w:val="ListParagraph"/>
        <w:numPr>
          <w:ilvl w:val="0"/>
          <w:numId w:val="1"/>
        </w:numPr>
        <w:spacing w:after="80"/>
      </w:pPr>
      <w:r>
        <w:t xml:space="preserve">v1 — message label ("ham" or "spam")</w:t>
      </w:r>
    </w:p>
    <w:p>
      <w:pPr>
        <w:pStyle w:val="ListParagraph"/>
        <w:numPr>
          <w:ilvl w:val="0"/>
          <w:numId w:val="1"/>
        </w:numPr>
        <w:spacing w:after="80"/>
      </w:pPr>
      <w:r>
        <w:t xml:space="preserve">v2 — the raw message text</w:t>
      </w:r>
    </w:p>
    <w:p>
      <w:pPr>
        <w:pStyle w:val="ListParagraph"/>
        <w:numPr>
          <w:ilvl w:val="0"/>
          <w:numId w:val="1"/>
        </w:numPr>
        <w:spacing w:after="80"/>
      </w:pPr>
      <w:r>
        <w:t xml:space="preserve">3 unnamed columns — almost entirely empty, dropped during cleaning</w:t>
      </w:r>
    </w:p>
    <w:p>
      <w:pPr>
        <w:spacing w:after="150"/>
      </w:pPr>
      <w:r>
        <w:t xml:space="preserve">Class distribution in the raw data: Ham 4,825 messages (86.59%), Spam 747 messages (13.41%) — a moderately imbalanced dataset, typical for spam-filtering problems.</w:t>
      </w:r>
    </w:p>
    <w:p>
      <w:pPr>
        <w:spacing w:after="150" w:before="150"/>
        <w:jc w:val="center"/>
      </w:pPr>
      <w:r>
        <w:drawing>
          <wp:inline distT="0" distB="0" distL="0" distR="0">
            <wp:extent cx="4095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857500"/>
                    </a:xfrm>
                    <a:prstGeom prst="rect">
                      <a:avLst/>
                    </a:prstGeom>
                  </pic:spPr>
                </pic:pic>
              </a:graphicData>
            </a:graphic>
          </wp:inline>
        </w:drawing>
      </w:r>
    </w:p>
    <w:p>
      <w:pPr>
        <w:spacing w:after="250"/>
        <w:jc w:val="center"/>
      </w:pPr>
      <w:r>
        <w:rPr>
          <w:i/>
          <w:iCs/>
          <w:color w:val="595959"/>
          <w:sz w:val="20"/>
          <w:szCs w:val="20"/>
        </w:rPr>
        <w:t xml:space="preserve">Figure 1 — Spam vs. Ham distribution (raw dataset)</w:t>
      </w:r>
    </w:p>
    <w:p>
      <w:pPr>
        <w:pStyle w:val="Heading1"/>
        <w:spacing w:after="200" w:before="400"/>
      </w:pPr>
      <w:r>
        <w:t xml:space="preserve">4. Methodology</w:t>
      </w:r>
    </w:p>
    <w:p>
      <w:pPr>
        <w:pStyle w:val="Heading2"/>
        <w:spacing w:after="150" w:before="300"/>
      </w:pPr>
      <w:r>
        <w:t xml:space="preserve">4.1 Data Cleaning</w:t>
      </w:r>
    </w:p>
    <w:p>
      <w:pPr>
        <w:pStyle w:val="ListParagraph"/>
        <w:numPr>
          <w:ilvl w:val="0"/>
          <w:numId w:val="1"/>
        </w:numPr>
        <w:spacing w:after="80"/>
      </w:pPr>
      <w:r>
        <w:t xml:space="preserve">Dropped the 3 unnamed, largely empty columns.</w:t>
      </w:r>
    </w:p>
    <w:p>
      <w:pPr>
        <w:pStyle w:val="ListParagraph"/>
        <w:numPr>
          <w:ilvl w:val="0"/>
          <w:numId w:val="1"/>
        </w:numPr>
        <w:spacing w:after="80"/>
      </w:pPr>
      <w:r>
        <w:t xml:space="preserve">Renamed columns: v1 → Label, v2 → Message.</w:t>
      </w:r>
    </w:p>
    <w:p>
      <w:pPr>
        <w:pStyle w:val="ListParagraph"/>
        <w:numPr>
          <w:ilvl w:val="0"/>
          <w:numId w:val="1"/>
        </w:numPr>
        <w:spacing w:after="80"/>
      </w:pPr>
      <w:r>
        <w:t xml:space="preserve">Removed 403 duplicate rows, reducing the dataset from 5,572 to 5,169 rows.</w:t>
      </w:r>
    </w:p>
    <w:p>
      <w:pPr>
        <w:pStyle w:val="ListParagraph"/>
        <w:numPr>
          <w:ilvl w:val="0"/>
          <w:numId w:val="1"/>
        </w:numPr>
        <w:spacing w:after="80"/>
      </w:pPr>
      <w:r>
        <w:t xml:space="preserve">Encoded labels numerically: ham = 0, spam = 1.</w:t>
      </w:r>
    </w:p>
    <w:p>
      <w:pPr>
        <w:pStyle w:val="ListParagraph"/>
        <w:numPr>
          <w:ilvl w:val="0"/>
          <w:numId w:val="1"/>
        </w:numPr>
        <w:spacing w:after="80"/>
      </w:pPr>
      <w:r>
        <w:t xml:space="preserve">Post-cleaning class distribution: Ham 4,516 (87.4%), Spam 653 (12.6%).</w:t>
      </w:r>
    </w:p>
    <w:p>
      <w:pPr>
        <w:pStyle w:val="Heading2"/>
        <w:spacing w:after="150" w:before="300"/>
      </w:pPr>
      <w:r>
        <w:t xml:space="preserve">4.2 Text Preprocessing</w:t>
      </w:r>
    </w:p>
    <w:p>
      <w:pPr>
        <w:spacing w:after="150"/>
      </w:pPr>
      <w:r>
        <w:t xml:space="preserve">A cleaning function was applied to every message to standardize the text before feature extraction:</w:t>
      </w:r>
    </w:p>
    <w:p>
      <w:pPr>
        <w:pStyle w:val="ListParagraph"/>
        <w:numPr>
          <w:ilvl w:val="0"/>
          <w:numId w:val="1"/>
        </w:numPr>
        <w:spacing w:after="80"/>
      </w:pPr>
      <w:r>
        <w:t xml:space="preserve">Converted all text to lowercase.</w:t>
      </w:r>
    </w:p>
    <w:p>
      <w:pPr>
        <w:pStyle w:val="ListParagraph"/>
        <w:numPr>
          <w:ilvl w:val="0"/>
          <w:numId w:val="1"/>
        </w:numPr>
        <w:spacing w:after="80"/>
      </w:pPr>
      <w:r>
        <w:t xml:space="preserve">Removed URLs (http/https/www patterns).</w:t>
      </w:r>
    </w:p>
    <w:p>
      <w:pPr>
        <w:pStyle w:val="ListParagraph"/>
        <w:numPr>
          <w:ilvl w:val="0"/>
          <w:numId w:val="1"/>
        </w:numPr>
        <w:spacing w:after="80"/>
      </w:pPr>
      <w:r>
        <w:t xml:space="preserve">Removed non-alphabetic characters and digits.</w:t>
      </w:r>
    </w:p>
    <w:p>
      <w:pPr>
        <w:pStyle w:val="ListParagraph"/>
        <w:numPr>
          <w:ilvl w:val="0"/>
          <w:numId w:val="1"/>
        </w:numPr>
        <w:spacing w:after="80"/>
      </w:pPr>
      <w:r>
        <w:t xml:space="preserve">Collapsed repeated whitespace and trimmed the result.</w:t>
      </w:r>
    </w:p>
    <w:p>
      <w:pPr>
        <w:pStyle w:val="Heading2"/>
        <w:spacing w:after="150" w:before="300"/>
      </w:pPr>
      <w:r>
        <w:t xml:space="preserve">4.3 Feature Extraction</w:t>
      </w:r>
    </w:p>
    <w:p>
      <w:pPr>
        <w:spacing w:after="150"/>
      </w:pPr>
      <w:r>
        <w:t xml:space="preserve">Cleaned messages were converted into numerical features using TF-IDF (Term Frequency–Inverse Document Frequency) vectorization, producing 8,450 features across 5,169 messages.</w:t>
      </w:r>
    </w:p>
    <w:p>
      <w:pPr>
        <w:pStyle w:val="Heading2"/>
        <w:spacing w:after="150" w:before="300"/>
      </w:pPr>
      <w:r>
        <w:t xml:space="preserve">4.4 Train/Test Split</w:t>
      </w:r>
    </w:p>
    <w:p>
      <w:pPr>
        <w:spacing w:after="150"/>
      </w:pPr>
      <w:r>
        <w:t xml:space="preserve">The data was split 80% / 20% into training and test sets using stratified sampling to preserve class balance, resulting in 4,135 training messages and 1,034 test messages.</w:t>
      </w:r>
    </w:p>
    <w:p>
      <w:pPr>
        <w:pStyle w:val="Heading1"/>
        <w:spacing w:after="200" w:before="400"/>
      </w:pPr>
      <w:r>
        <w:t xml:space="preserve">5. Model Training &amp; Evaluation</w:t>
      </w:r>
    </w:p>
    <w:p>
      <w:pPr>
        <w:spacing w:after="150"/>
      </w:pPr>
      <w:r>
        <w:t xml:space="preserve">Five classification models were trained on the TF-IDF features and evaluated on the same held-out test set (1,034 messages: 903 Ham, 131 Spam). The table below summarizes accuracy and spam-class performance for each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600"/>
        <w:gridCol w:w="1800"/>
      </w:tblGrid>
      <w:tr>
        <w:tc>
          <w:tcPr>
            <w:tcW w:type="dxa" w:w="2800"/>
            <w:shd w:fill="1F3864" w:val="clear"/>
            <w:tcMar>
              <w:top w:type="dxa" w:w="80"/>
              <w:left w:type="dxa" w:w="120"/>
              <w:bottom w:type="dxa" w:w="80"/>
              <w:right w:type="dxa" w:w="120"/>
            </w:tcMar>
            <w:vAlign w:val="center"/>
          </w:tcPr>
          <w:p>
            <w:pPr>
              <w:jc w:val="left"/>
            </w:pPr>
            <w:r>
              <w:rPr>
                <w:b/>
                <w:bCs/>
                <w:color w:val="FFFFFF"/>
              </w:rPr>
              <w:t xml:space="preserve">Model</w:t>
            </w:r>
          </w:p>
        </w:tc>
        <w:tc>
          <w:tcPr>
            <w:tcW w:type="dxa" w:w="1600"/>
            <w:shd w:fill="1F3864" w:val="clear"/>
            <w:tcMar>
              <w:top w:type="dxa" w:w="80"/>
              <w:left w:type="dxa" w:w="120"/>
              <w:bottom w:type="dxa" w:w="80"/>
              <w:right w:type="dxa" w:w="120"/>
            </w:tcMar>
            <w:vAlign w:val="center"/>
          </w:tcPr>
          <w:p>
            <w:pPr>
              <w:jc w:val="center"/>
            </w:pPr>
            <w:r>
              <w:rPr>
                <w:b/>
                <w:bCs/>
                <w:color w:val="FFFFFF"/>
              </w:rPr>
              <w:t xml:space="preserve">Accuracy</w:t>
            </w:r>
          </w:p>
        </w:tc>
        <w:tc>
          <w:tcPr>
            <w:tcW w:type="dxa" w:w="1800"/>
            <w:shd w:fill="1F3864" w:val="clear"/>
            <w:tcMar>
              <w:top w:type="dxa" w:w="80"/>
              <w:left w:type="dxa" w:w="120"/>
              <w:bottom w:type="dxa" w:w="80"/>
              <w:right w:type="dxa" w:w="120"/>
            </w:tcMar>
            <w:vAlign w:val="center"/>
          </w:tcPr>
          <w:p>
            <w:pPr>
              <w:jc w:val="center"/>
            </w:pPr>
            <w:r>
              <w:rPr>
                <w:b/>
                <w:bCs/>
                <w:color w:val="FFFFFF"/>
              </w:rPr>
              <w:t xml:space="preserve">Spam Precision</w:t>
            </w:r>
          </w:p>
        </w:tc>
        <w:tc>
          <w:tcPr>
            <w:tcW w:type="dxa" w:w="1600"/>
            <w:shd w:fill="1F3864" w:val="clear"/>
            <w:tcMar>
              <w:top w:type="dxa" w:w="80"/>
              <w:left w:type="dxa" w:w="120"/>
              <w:bottom w:type="dxa" w:w="80"/>
              <w:right w:type="dxa" w:w="120"/>
            </w:tcMar>
            <w:vAlign w:val="center"/>
          </w:tcPr>
          <w:p>
            <w:pPr>
              <w:jc w:val="center"/>
            </w:pPr>
            <w:r>
              <w:rPr>
                <w:b/>
                <w:bCs/>
                <w:color w:val="FFFFFF"/>
              </w:rPr>
              <w:t xml:space="preserve">Spam Recall</w:t>
            </w:r>
          </w:p>
        </w:tc>
        <w:tc>
          <w:tcPr>
            <w:tcW w:type="dxa" w:w="1800"/>
            <w:shd w:fill="1F3864" w:val="clear"/>
            <w:tcMar>
              <w:top w:type="dxa" w:w="80"/>
              <w:left w:type="dxa" w:w="120"/>
              <w:bottom w:type="dxa" w:w="80"/>
              <w:right w:type="dxa" w:w="120"/>
            </w:tcMar>
            <w:vAlign w:val="center"/>
          </w:tcPr>
          <w:p>
            <w:pPr>
              <w:jc w:val="center"/>
            </w:pPr>
            <w:r>
              <w:rPr>
                <w:b/>
                <w:bCs/>
                <w:color w:val="FFFFFF"/>
              </w:rPr>
              <w:t xml:space="preserve">Spam F1-score</w:t>
            </w:r>
          </w:p>
        </w:tc>
      </w:tr>
      <w:tr>
        <w:tc>
          <w:tcPr>
            <w:tcW w:type="dxa" w:w="2800"/>
            <w:shd w:fill="FFFFFF" w:val="clear"/>
            <w:tcMar>
              <w:top w:type="dxa" w:w="80"/>
              <w:left w:type="dxa" w:w="120"/>
              <w:bottom w:type="dxa" w:w="80"/>
              <w:right w:type="dxa" w:w="120"/>
            </w:tcMar>
            <w:vAlign w:val="center"/>
          </w:tcPr>
          <w:p>
            <w:pPr>
              <w:jc w:val="left"/>
            </w:pPr>
            <w:r>
              <w:rPr>
                <w:b w:val="false"/>
                <w:bCs w:val="false"/>
                <w:color w:val="000000"/>
              </w:rPr>
              <w:t xml:space="preserve">Naive Bayes</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94.78%</w:t>
            </w:r>
          </w:p>
        </w:tc>
        <w:tc>
          <w:tcPr>
            <w:tcW w:type="dxa" w:w="1800"/>
            <w:shd w:fill="FFFFFF" w:val="clear"/>
            <w:tcMar>
              <w:top w:type="dxa" w:w="80"/>
              <w:left w:type="dxa" w:w="120"/>
              <w:bottom w:type="dxa" w:w="80"/>
              <w:right w:type="dxa" w:w="120"/>
            </w:tcMar>
            <w:vAlign w:val="center"/>
          </w:tcPr>
          <w:p>
            <w:pPr>
              <w:jc w:val="center"/>
            </w:pPr>
            <w:r>
              <w:rPr>
                <w:b w:val="false"/>
                <w:bCs w:val="false"/>
                <w:color w:val="000000"/>
              </w:rPr>
              <w:t xml:space="preserve">1.00</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0.59</w:t>
            </w:r>
          </w:p>
        </w:tc>
        <w:tc>
          <w:tcPr>
            <w:tcW w:type="dxa" w:w="1800"/>
            <w:shd w:fill="FFFFFF" w:val="clear"/>
            <w:tcMar>
              <w:top w:type="dxa" w:w="80"/>
              <w:left w:type="dxa" w:w="120"/>
              <w:bottom w:type="dxa" w:w="80"/>
              <w:right w:type="dxa" w:w="120"/>
            </w:tcMar>
            <w:vAlign w:val="center"/>
          </w:tcPr>
          <w:p>
            <w:pPr>
              <w:jc w:val="center"/>
            </w:pPr>
            <w:r>
              <w:rPr>
                <w:b w:val="false"/>
                <w:bCs w:val="false"/>
                <w:color w:val="000000"/>
              </w:rPr>
              <w:t xml:space="preserve">0.74</w:t>
            </w:r>
          </w:p>
        </w:tc>
      </w:tr>
      <w:tr>
        <w:tc>
          <w:tcPr>
            <w:tcW w:type="dxa" w:w="2800"/>
            <w:shd w:fill="F2F2F2" w:val="clear"/>
            <w:tcMar>
              <w:top w:type="dxa" w:w="80"/>
              <w:left w:type="dxa" w:w="120"/>
              <w:bottom w:type="dxa" w:w="80"/>
              <w:right w:type="dxa" w:w="120"/>
            </w:tcMar>
            <w:vAlign w:val="center"/>
          </w:tcPr>
          <w:p>
            <w:pPr>
              <w:jc w:val="left"/>
            </w:pPr>
            <w:r>
              <w:rPr>
                <w:b w:val="false"/>
                <w:bCs w:val="false"/>
                <w:color w:val="000000"/>
              </w:rPr>
              <w:t xml:space="preserve">Logistic Regression</w:t>
            </w:r>
          </w:p>
        </w:tc>
        <w:tc>
          <w:tcPr>
            <w:tcW w:type="dxa" w:w="1600"/>
            <w:shd w:fill="F2F2F2" w:val="clear"/>
            <w:tcMar>
              <w:top w:type="dxa" w:w="80"/>
              <w:left w:type="dxa" w:w="120"/>
              <w:bottom w:type="dxa" w:w="80"/>
              <w:right w:type="dxa" w:w="120"/>
            </w:tcMar>
            <w:vAlign w:val="center"/>
          </w:tcPr>
          <w:p>
            <w:pPr>
              <w:jc w:val="center"/>
            </w:pPr>
            <w:r>
              <w:rPr>
                <w:b w:val="false"/>
                <w:bCs w:val="false"/>
                <w:color w:val="000000"/>
              </w:rPr>
              <w:t xml:space="preserve">95.45%</w:t>
            </w:r>
          </w:p>
        </w:tc>
        <w:tc>
          <w:tcPr>
            <w:tcW w:type="dxa" w:w="1800"/>
            <w:shd w:fill="F2F2F2" w:val="clear"/>
            <w:tcMar>
              <w:top w:type="dxa" w:w="80"/>
              <w:left w:type="dxa" w:w="120"/>
              <w:bottom w:type="dxa" w:w="80"/>
              <w:right w:type="dxa" w:w="120"/>
            </w:tcMar>
            <w:vAlign w:val="center"/>
          </w:tcPr>
          <w:p>
            <w:pPr>
              <w:jc w:val="center"/>
            </w:pPr>
            <w:r>
              <w:rPr>
                <w:b w:val="false"/>
                <w:bCs w:val="false"/>
                <w:color w:val="000000"/>
              </w:rPr>
              <w:t xml:space="preserve">0.99</w:t>
            </w:r>
          </w:p>
        </w:tc>
        <w:tc>
          <w:tcPr>
            <w:tcW w:type="dxa" w:w="1600"/>
            <w:shd w:fill="F2F2F2" w:val="clear"/>
            <w:tcMar>
              <w:top w:type="dxa" w:w="80"/>
              <w:left w:type="dxa" w:w="120"/>
              <w:bottom w:type="dxa" w:w="80"/>
              <w:right w:type="dxa" w:w="120"/>
            </w:tcMar>
            <w:vAlign w:val="center"/>
          </w:tcPr>
          <w:p>
            <w:pPr>
              <w:jc w:val="center"/>
            </w:pPr>
            <w:r>
              <w:rPr>
                <w:b w:val="false"/>
                <w:bCs w:val="false"/>
                <w:color w:val="000000"/>
              </w:rPr>
              <w:t xml:space="preserve">0.65</w:t>
            </w:r>
          </w:p>
        </w:tc>
        <w:tc>
          <w:tcPr>
            <w:tcW w:type="dxa" w:w="1800"/>
            <w:shd w:fill="F2F2F2" w:val="clear"/>
            <w:tcMar>
              <w:top w:type="dxa" w:w="80"/>
              <w:left w:type="dxa" w:w="120"/>
              <w:bottom w:type="dxa" w:w="80"/>
              <w:right w:type="dxa" w:w="120"/>
            </w:tcMar>
            <w:vAlign w:val="center"/>
          </w:tcPr>
          <w:p>
            <w:pPr>
              <w:jc w:val="center"/>
            </w:pPr>
            <w:r>
              <w:rPr>
                <w:b w:val="false"/>
                <w:bCs w:val="false"/>
                <w:color w:val="000000"/>
              </w:rPr>
              <w:t xml:space="preserve">0.78</w:t>
            </w:r>
          </w:p>
        </w:tc>
      </w:tr>
      <w:tr>
        <w:tc>
          <w:tcPr>
            <w:tcW w:type="dxa" w:w="2800"/>
            <w:shd w:fill="FFFFFF" w:val="clear"/>
            <w:tcMar>
              <w:top w:type="dxa" w:w="80"/>
              <w:left w:type="dxa" w:w="120"/>
              <w:bottom w:type="dxa" w:w="80"/>
              <w:right w:type="dxa" w:w="120"/>
            </w:tcMar>
            <w:vAlign w:val="center"/>
          </w:tcPr>
          <w:p>
            <w:pPr>
              <w:jc w:val="left"/>
            </w:pPr>
            <w:r>
              <w:rPr>
                <w:b w:val="false"/>
                <w:bCs w:val="false"/>
                <w:color w:val="000000"/>
              </w:rPr>
              <w:t xml:space="preserve">SVM (default, RBF)</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97.20%</w:t>
            </w:r>
          </w:p>
        </w:tc>
        <w:tc>
          <w:tcPr>
            <w:tcW w:type="dxa" w:w="1800"/>
            <w:shd w:fill="FFFFFF" w:val="clear"/>
            <w:tcMar>
              <w:top w:type="dxa" w:w="80"/>
              <w:left w:type="dxa" w:w="120"/>
              <w:bottom w:type="dxa" w:w="80"/>
              <w:right w:type="dxa" w:w="120"/>
            </w:tcMar>
            <w:vAlign w:val="center"/>
          </w:tcPr>
          <w:p>
            <w:pPr>
              <w:jc w:val="center"/>
            </w:pPr>
            <w:r>
              <w:rPr>
                <w:b w:val="false"/>
                <w:bCs w:val="false"/>
                <w:color w:val="000000"/>
              </w:rPr>
              <w:t xml:space="preserve">0.99</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0.79</w:t>
            </w:r>
          </w:p>
        </w:tc>
        <w:tc>
          <w:tcPr>
            <w:tcW w:type="dxa" w:w="1800"/>
            <w:shd w:fill="FFFFFF" w:val="clear"/>
            <w:tcMar>
              <w:top w:type="dxa" w:w="80"/>
              <w:left w:type="dxa" w:w="120"/>
              <w:bottom w:type="dxa" w:w="80"/>
              <w:right w:type="dxa" w:w="120"/>
            </w:tcMar>
            <w:vAlign w:val="center"/>
          </w:tcPr>
          <w:p>
            <w:pPr>
              <w:jc w:val="center"/>
            </w:pPr>
            <w:r>
              <w:rPr>
                <w:b w:val="false"/>
                <w:bCs w:val="false"/>
                <w:color w:val="000000"/>
              </w:rPr>
              <w:t xml:space="preserve">0.88</w:t>
            </w:r>
          </w:p>
        </w:tc>
      </w:tr>
      <w:tr>
        <w:tc>
          <w:tcPr>
            <w:tcW w:type="dxa" w:w="2800"/>
            <w:shd w:fill="F2F2F2" w:val="clear"/>
            <w:tcMar>
              <w:top w:type="dxa" w:w="80"/>
              <w:left w:type="dxa" w:w="120"/>
              <w:bottom w:type="dxa" w:w="80"/>
              <w:right w:type="dxa" w:w="120"/>
            </w:tcMar>
            <w:vAlign w:val="center"/>
          </w:tcPr>
          <w:p>
            <w:pPr>
              <w:jc w:val="left"/>
            </w:pPr>
            <w:r>
              <w:rPr>
                <w:b w:val="false"/>
                <w:bCs w:val="false"/>
                <w:color w:val="000000"/>
              </w:rPr>
              <w:t xml:space="preserve">Random Forest</w:t>
            </w:r>
          </w:p>
        </w:tc>
        <w:tc>
          <w:tcPr>
            <w:tcW w:type="dxa" w:w="1600"/>
            <w:shd w:fill="F2F2F2" w:val="clear"/>
            <w:tcMar>
              <w:top w:type="dxa" w:w="80"/>
              <w:left w:type="dxa" w:w="120"/>
              <w:bottom w:type="dxa" w:w="80"/>
              <w:right w:type="dxa" w:w="120"/>
            </w:tcMar>
            <w:vAlign w:val="center"/>
          </w:tcPr>
          <w:p>
            <w:pPr>
              <w:jc w:val="center"/>
            </w:pPr>
            <w:r>
              <w:rPr>
                <w:b w:val="false"/>
                <w:bCs w:val="false"/>
                <w:color w:val="000000"/>
              </w:rPr>
              <w:t xml:space="preserve">96.71%</w:t>
            </w:r>
          </w:p>
        </w:tc>
        <w:tc>
          <w:tcPr>
            <w:tcW w:type="dxa" w:w="1800"/>
            <w:shd w:fill="F2F2F2" w:val="clear"/>
            <w:tcMar>
              <w:top w:type="dxa" w:w="80"/>
              <w:left w:type="dxa" w:w="120"/>
              <w:bottom w:type="dxa" w:w="80"/>
              <w:right w:type="dxa" w:w="120"/>
            </w:tcMar>
            <w:vAlign w:val="center"/>
          </w:tcPr>
          <w:p>
            <w:pPr>
              <w:jc w:val="center"/>
            </w:pPr>
            <w:r>
              <w:rPr>
                <w:b w:val="false"/>
                <w:bCs w:val="false"/>
                <w:color w:val="000000"/>
              </w:rPr>
              <w:t xml:space="preserve">1.00</w:t>
            </w:r>
          </w:p>
        </w:tc>
        <w:tc>
          <w:tcPr>
            <w:tcW w:type="dxa" w:w="1600"/>
            <w:shd w:fill="F2F2F2" w:val="clear"/>
            <w:tcMar>
              <w:top w:type="dxa" w:w="80"/>
              <w:left w:type="dxa" w:w="120"/>
              <w:bottom w:type="dxa" w:w="80"/>
              <w:right w:type="dxa" w:w="120"/>
            </w:tcMar>
            <w:vAlign w:val="center"/>
          </w:tcPr>
          <w:p>
            <w:pPr>
              <w:jc w:val="center"/>
            </w:pPr>
            <w:r>
              <w:rPr>
                <w:b w:val="false"/>
                <w:bCs w:val="false"/>
                <w:color w:val="000000"/>
              </w:rPr>
              <w:t xml:space="preserve">0.74</w:t>
            </w:r>
          </w:p>
        </w:tc>
        <w:tc>
          <w:tcPr>
            <w:tcW w:type="dxa" w:w="1800"/>
            <w:shd w:fill="F2F2F2" w:val="clear"/>
            <w:tcMar>
              <w:top w:type="dxa" w:w="80"/>
              <w:left w:type="dxa" w:w="120"/>
              <w:bottom w:type="dxa" w:w="80"/>
              <w:right w:type="dxa" w:w="120"/>
            </w:tcMar>
            <w:vAlign w:val="center"/>
          </w:tcPr>
          <w:p>
            <w:pPr>
              <w:jc w:val="center"/>
            </w:pPr>
            <w:r>
              <w:rPr>
                <w:b w:val="false"/>
                <w:bCs w:val="false"/>
                <w:color w:val="000000"/>
              </w:rPr>
              <w:t xml:space="preserve">0.85</w:t>
            </w:r>
          </w:p>
        </w:tc>
      </w:tr>
      <w:tr>
        <w:tc>
          <w:tcPr>
            <w:tcW w:type="dxa" w:w="2800"/>
            <w:shd w:fill="FFFFFF" w:val="clear"/>
            <w:tcMar>
              <w:top w:type="dxa" w:w="80"/>
              <w:left w:type="dxa" w:w="120"/>
              <w:bottom w:type="dxa" w:w="80"/>
              <w:right w:type="dxa" w:w="120"/>
            </w:tcMar>
            <w:vAlign w:val="center"/>
          </w:tcPr>
          <w:p>
            <w:pPr>
              <w:jc w:val="left"/>
            </w:pPr>
            <w:r>
              <w:rPr>
                <w:b w:val="false"/>
                <w:bCs w:val="false"/>
                <w:color w:val="000000"/>
              </w:rPr>
              <w:t xml:space="preserve">Optimized SVM (GridSearchCV)</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97.87%</w:t>
            </w:r>
          </w:p>
        </w:tc>
        <w:tc>
          <w:tcPr>
            <w:tcW w:type="dxa" w:w="1800"/>
            <w:shd w:fill="FFFFFF" w:val="clear"/>
            <w:tcMar>
              <w:top w:type="dxa" w:w="80"/>
              <w:left w:type="dxa" w:w="120"/>
              <w:bottom w:type="dxa" w:w="80"/>
              <w:right w:type="dxa" w:w="120"/>
            </w:tcMar>
            <w:vAlign w:val="center"/>
          </w:tcPr>
          <w:p>
            <w:pPr>
              <w:jc w:val="center"/>
            </w:pPr>
            <w:r>
              <w:rPr>
                <w:b w:val="false"/>
                <w:bCs w:val="false"/>
                <w:color w:val="000000"/>
              </w:rPr>
              <w:t xml:space="preserve">0.98</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0.85</w:t>
            </w:r>
          </w:p>
        </w:tc>
        <w:tc>
          <w:tcPr>
            <w:tcW w:type="dxa" w:w="1800"/>
            <w:shd w:fill="FFFFFF" w:val="clear"/>
            <w:tcMar>
              <w:top w:type="dxa" w:w="80"/>
              <w:left w:type="dxa" w:w="120"/>
              <w:bottom w:type="dxa" w:w="80"/>
              <w:right w:type="dxa" w:w="120"/>
            </w:tcMar>
            <w:vAlign w:val="center"/>
          </w:tcPr>
          <w:p>
            <w:pPr>
              <w:jc w:val="center"/>
            </w:pPr>
            <w:r>
              <w:rPr>
                <w:b w:val="false"/>
                <w:bCs w:val="false"/>
                <w:color w:val="000000"/>
              </w:rPr>
              <w:t xml:space="preserve">0.91</w:t>
            </w:r>
          </w:p>
        </w:tc>
      </w:tr>
    </w:tbl>
    <w:p>
      <w:pPr>
        <w:spacing w:before="300"/>
      </w:pPr>
    </w:p>
    <w:p>
      <w:pPr>
        <w:pStyle w:val="Heading2"/>
        <w:spacing w:after="150" w:before="300"/>
      </w:pPr>
      <w:r>
        <w:t xml:space="preserve">5.1 Naive Bayes</w:t>
      </w:r>
    </w:p>
    <w:p>
      <w:pPr>
        <w:spacing w:after="150"/>
      </w:pPr>
      <w:r>
        <w:t xml:space="preserve">Naive Bayes reached 94.78% accuracy with perfect spam precision (1.00, no legitimate messages misclassified as spam) but the weakest spam recall (0.59) — meaning a large share of actual spam messages were missed.</w:t>
      </w:r>
    </w:p>
    <w:p>
      <w:pPr>
        <w:pStyle w:val="Heading2"/>
        <w:spacing w:after="150" w:before="300"/>
      </w:pPr>
      <w:r>
        <w:t xml:space="preserve">5.2 Logistic Regression</w:t>
      </w:r>
    </w:p>
    <w:p>
      <w:pPr>
        <w:spacing w:after="150"/>
      </w:pPr>
      <w:r>
        <w:t xml:space="preserve">Logistic Regression improved slightly on Naive Bayes (95.45% accuracy, spam recall 0.65), but still missed a significant portion of spam messages.</w:t>
      </w:r>
    </w:p>
    <w:p>
      <w:pPr>
        <w:pStyle w:val="Heading2"/>
        <w:spacing w:after="150" w:before="300"/>
      </w:pPr>
      <w:r>
        <w:t xml:space="preserve">5.3 Support Vector Machine (default)</w:t>
      </w:r>
    </w:p>
    <w:p>
      <w:pPr>
        <w:spacing w:after="150"/>
      </w:pPr>
      <w:r>
        <w:t xml:space="preserve">The default SVM (RBF kernel) reached 97.20% accuracy with a strong balance between spam precision (0.99) and recall (0.79).</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DCE6F1" w:val="clear"/>
            <w:tcMar>
              <w:top w:type="dxa" w:w="80"/>
              <w:left w:type="dxa" w:w="120"/>
              <w:bottom w:type="dxa" w:w="80"/>
              <w:right w:type="dxa" w:w="120"/>
            </w:tcMar>
            <w:vAlign w:val="center"/>
          </w:tcPr>
          <w:p>
            <w:pPr>
              <w:jc w:val="center"/>
            </w:pPr>
            <w:r>
              <w:rPr>
                <w:b/>
                <w:bCs/>
                <w:color w:val="000000"/>
              </w:rPr>
              <w:t xml:space="preserve"/>
            </w:r>
          </w:p>
        </w:tc>
        <w:tc>
          <w:tcPr>
            <w:tcW w:type="dxa" w:w="2400"/>
            <w:shd w:fill="DCE6F1" w:val="clear"/>
            <w:tcMar>
              <w:top w:type="dxa" w:w="80"/>
              <w:left w:type="dxa" w:w="120"/>
              <w:bottom w:type="dxa" w:w="80"/>
              <w:right w:type="dxa" w:w="120"/>
            </w:tcMar>
            <w:vAlign w:val="center"/>
          </w:tcPr>
          <w:p>
            <w:pPr>
              <w:jc w:val="center"/>
            </w:pPr>
            <w:r>
              <w:rPr>
                <w:b/>
                <w:bCs/>
                <w:color w:val="000000"/>
              </w:rPr>
              <w:t xml:space="preserve">Predicted Ham</w:t>
            </w:r>
          </w:p>
        </w:tc>
        <w:tc>
          <w:tcPr>
            <w:tcW w:type="dxa" w:w="2400"/>
            <w:shd w:fill="DCE6F1" w:val="clear"/>
            <w:tcMar>
              <w:top w:type="dxa" w:w="80"/>
              <w:left w:type="dxa" w:w="120"/>
              <w:bottom w:type="dxa" w:w="80"/>
              <w:right w:type="dxa" w:w="120"/>
            </w:tcMar>
            <w:vAlign w:val="center"/>
          </w:tcPr>
          <w:p>
            <w:pPr>
              <w:jc w:val="center"/>
            </w:pPr>
            <w:r>
              <w:rPr>
                <w:b/>
                <w:bCs/>
                <w:color w:val="000000"/>
              </w:rPr>
              <w:t xml:space="preserve">Predicted Spam</w:t>
            </w:r>
          </w:p>
        </w:tc>
      </w:tr>
      <w:tr>
        <w:tc>
          <w:tcPr>
            <w:tcW w:type="dxa" w:w="2400"/>
            <w:shd w:fill="DCE6F1" w:val="clear"/>
            <w:tcMar>
              <w:top w:type="dxa" w:w="80"/>
              <w:left w:type="dxa" w:w="120"/>
              <w:bottom w:type="dxa" w:w="80"/>
              <w:right w:type="dxa" w:w="120"/>
            </w:tcMar>
            <w:vAlign w:val="center"/>
          </w:tcPr>
          <w:p>
            <w:pPr>
              <w:jc w:val="center"/>
            </w:pPr>
            <w:r>
              <w:rPr>
                <w:b/>
                <w:bCs/>
                <w:color w:val="000000"/>
              </w:rPr>
              <w:t xml:space="preserve">Actual Ham</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902</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1</w:t>
            </w:r>
          </w:p>
        </w:tc>
      </w:tr>
      <w:tr>
        <w:tc>
          <w:tcPr>
            <w:tcW w:type="dxa" w:w="2400"/>
            <w:shd w:fill="DCE6F1" w:val="clear"/>
            <w:tcMar>
              <w:top w:type="dxa" w:w="80"/>
              <w:left w:type="dxa" w:w="120"/>
              <w:bottom w:type="dxa" w:w="80"/>
              <w:right w:type="dxa" w:w="120"/>
            </w:tcMar>
            <w:vAlign w:val="center"/>
          </w:tcPr>
          <w:p>
            <w:pPr>
              <w:jc w:val="center"/>
            </w:pPr>
            <w:r>
              <w:rPr>
                <w:b/>
                <w:bCs/>
                <w:color w:val="000000"/>
              </w:rPr>
              <w:t xml:space="preserve">Actual Spam</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28</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103</w:t>
            </w:r>
          </w:p>
        </w:tc>
      </w:tr>
    </w:tbl>
    <w:p>
      <w:pPr>
        <w:spacing w:after="250"/>
        <w:jc w:val="center"/>
      </w:pPr>
      <w:r>
        <w:rPr>
          <w:i/>
          <w:iCs/>
          <w:color w:val="595959"/>
          <w:sz w:val="20"/>
          <w:szCs w:val="20"/>
        </w:rPr>
        <w:t xml:space="preserve">Figure 2 — Confusion Matrix: SVM (default)</w:t>
      </w:r>
    </w:p>
    <w:p>
      <w:pPr>
        <w:pStyle w:val="Heading2"/>
        <w:spacing w:after="150" w:before="300"/>
      </w:pPr>
      <w:r>
        <w:t xml:space="preserve">5.4 Optimized SVM (GridSearchCV)</w:t>
      </w:r>
    </w:p>
    <w:p>
      <w:pPr>
        <w:spacing w:after="150"/>
      </w:pPr>
      <w:r>
        <w:t xml:space="preserve">Hyperparameters were tuned via 5-fold GridSearchCV over C, kernel, and gamma, optimizing for F1-score. The best configuration found was C=10, kernel=linear, gamma=scale (best cross-validation F1 = 0.896). On the test set, this model achieved 97.87% accuracy — the best of all five models — while lifting spam recall to 0.85 and spam F1-score to 0.91.</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DCE6F1" w:val="clear"/>
            <w:tcMar>
              <w:top w:type="dxa" w:w="80"/>
              <w:left w:type="dxa" w:w="120"/>
              <w:bottom w:type="dxa" w:w="80"/>
              <w:right w:type="dxa" w:w="120"/>
            </w:tcMar>
            <w:vAlign w:val="center"/>
          </w:tcPr>
          <w:p>
            <w:pPr>
              <w:jc w:val="center"/>
            </w:pPr>
            <w:r>
              <w:rPr>
                <w:b/>
                <w:bCs/>
                <w:color w:val="000000"/>
              </w:rPr>
              <w:t xml:space="preserve"/>
            </w:r>
          </w:p>
        </w:tc>
        <w:tc>
          <w:tcPr>
            <w:tcW w:type="dxa" w:w="2400"/>
            <w:shd w:fill="DCE6F1" w:val="clear"/>
            <w:tcMar>
              <w:top w:type="dxa" w:w="80"/>
              <w:left w:type="dxa" w:w="120"/>
              <w:bottom w:type="dxa" w:w="80"/>
              <w:right w:type="dxa" w:w="120"/>
            </w:tcMar>
            <w:vAlign w:val="center"/>
          </w:tcPr>
          <w:p>
            <w:pPr>
              <w:jc w:val="center"/>
            </w:pPr>
            <w:r>
              <w:rPr>
                <w:b/>
                <w:bCs/>
                <w:color w:val="000000"/>
              </w:rPr>
              <w:t xml:space="preserve">Predicted Ham</w:t>
            </w:r>
          </w:p>
        </w:tc>
        <w:tc>
          <w:tcPr>
            <w:tcW w:type="dxa" w:w="2400"/>
            <w:shd w:fill="DCE6F1" w:val="clear"/>
            <w:tcMar>
              <w:top w:type="dxa" w:w="80"/>
              <w:left w:type="dxa" w:w="120"/>
              <w:bottom w:type="dxa" w:w="80"/>
              <w:right w:type="dxa" w:w="120"/>
            </w:tcMar>
            <w:vAlign w:val="center"/>
          </w:tcPr>
          <w:p>
            <w:pPr>
              <w:jc w:val="center"/>
            </w:pPr>
            <w:r>
              <w:rPr>
                <w:b/>
                <w:bCs/>
                <w:color w:val="000000"/>
              </w:rPr>
              <w:t xml:space="preserve">Predicted Spam</w:t>
            </w:r>
          </w:p>
        </w:tc>
      </w:tr>
      <w:tr>
        <w:tc>
          <w:tcPr>
            <w:tcW w:type="dxa" w:w="2400"/>
            <w:shd w:fill="DCE6F1" w:val="clear"/>
            <w:tcMar>
              <w:top w:type="dxa" w:w="80"/>
              <w:left w:type="dxa" w:w="120"/>
              <w:bottom w:type="dxa" w:w="80"/>
              <w:right w:type="dxa" w:w="120"/>
            </w:tcMar>
            <w:vAlign w:val="center"/>
          </w:tcPr>
          <w:p>
            <w:pPr>
              <w:jc w:val="center"/>
            </w:pPr>
            <w:r>
              <w:rPr>
                <w:b/>
                <w:bCs/>
                <w:color w:val="000000"/>
              </w:rPr>
              <w:t xml:space="preserve">Actual Ham</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901</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2</w:t>
            </w:r>
          </w:p>
        </w:tc>
      </w:tr>
      <w:tr>
        <w:tc>
          <w:tcPr>
            <w:tcW w:type="dxa" w:w="2400"/>
            <w:shd w:fill="DCE6F1" w:val="clear"/>
            <w:tcMar>
              <w:top w:type="dxa" w:w="80"/>
              <w:left w:type="dxa" w:w="120"/>
              <w:bottom w:type="dxa" w:w="80"/>
              <w:right w:type="dxa" w:w="120"/>
            </w:tcMar>
            <w:vAlign w:val="center"/>
          </w:tcPr>
          <w:p>
            <w:pPr>
              <w:jc w:val="center"/>
            </w:pPr>
            <w:r>
              <w:rPr>
                <w:b/>
                <w:bCs/>
                <w:color w:val="000000"/>
              </w:rPr>
              <w:t xml:space="preserve">Actual Spam</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20</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111</w:t>
            </w:r>
          </w:p>
        </w:tc>
      </w:tr>
    </w:tbl>
    <w:p>
      <w:pPr>
        <w:spacing w:after="250"/>
        <w:jc w:val="center"/>
      </w:pPr>
      <w:r>
        <w:rPr>
          <w:i/>
          <w:iCs/>
          <w:color w:val="595959"/>
          <w:sz w:val="20"/>
          <w:szCs w:val="20"/>
        </w:rPr>
        <w:t xml:space="preserve">Figure 3 — Confusion Matrix: Optimized SVM</w:t>
      </w:r>
    </w:p>
    <w:p>
      <w:pPr>
        <w:spacing w:after="150"/>
      </w:pPr>
      <w:r>
        <w:t xml:space="preserve">Compared to the default SVM, the optimized SVM caught 8 additional spam messages (111 vs. 103 true positives, cutting missed spam from 28 to 20 — a ~29% reduction) at the cost of just 1 extra legitimate message misclassified as spam (2 vs. 1).</w:t>
      </w:r>
    </w:p>
    <w:p>
      <w:pPr>
        <w:pStyle w:val="Heading2"/>
        <w:spacing w:after="150" w:before="300"/>
      </w:pPr>
      <w:r>
        <w:t xml:space="preserve">5.5 Random Forest</w:t>
      </w:r>
    </w:p>
    <w:p>
      <w:pPr>
        <w:spacing w:after="150"/>
      </w:pPr>
      <w:r>
        <w:t xml:space="preserve">Random Forest reached 96.71% accuracy with perfect spam precision (1.00, zero false positives) but a lower spam recall (0.74) than the SVM variants.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DCE6F1" w:val="clear"/>
            <w:tcMar>
              <w:top w:type="dxa" w:w="80"/>
              <w:left w:type="dxa" w:w="120"/>
              <w:bottom w:type="dxa" w:w="80"/>
              <w:right w:type="dxa" w:w="120"/>
            </w:tcMar>
            <w:vAlign w:val="center"/>
          </w:tcPr>
          <w:p>
            <w:pPr>
              <w:jc w:val="center"/>
            </w:pPr>
            <w:r>
              <w:rPr>
                <w:b/>
                <w:bCs/>
                <w:color w:val="000000"/>
              </w:rPr>
              <w:t xml:space="preserve"/>
            </w:r>
          </w:p>
        </w:tc>
        <w:tc>
          <w:tcPr>
            <w:tcW w:type="dxa" w:w="2400"/>
            <w:shd w:fill="DCE6F1" w:val="clear"/>
            <w:tcMar>
              <w:top w:type="dxa" w:w="80"/>
              <w:left w:type="dxa" w:w="120"/>
              <w:bottom w:type="dxa" w:w="80"/>
              <w:right w:type="dxa" w:w="120"/>
            </w:tcMar>
            <w:vAlign w:val="center"/>
          </w:tcPr>
          <w:p>
            <w:pPr>
              <w:jc w:val="center"/>
            </w:pPr>
            <w:r>
              <w:rPr>
                <w:b/>
                <w:bCs/>
                <w:color w:val="000000"/>
              </w:rPr>
              <w:t xml:space="preserve">Predicted Ham</w:t>
            </w:r>
          </w:p>
        </w:tc>
        <w:tc>
          <w:tcPr>
            <w:tcW w:type="dxa" w:w="2400"/>
            <w:shd w:fill="DCE6F1" w:val="clear"/>
            <w:tcMar>
              <w:top w:type="dxa" w:w="80"/>
              <w:left w:type="dxa" w:w="120"/>
              <w:bottom w:type="dxa" w:w="80"/>
              <w:right w:type="dxa" w:w="120"/>
            </w:tcMar>
            <w:vAlign w:val="center"/>
          </w:tcPr>
          <w:p>
            <w:pPr>
              <w:jc w:val="center"/>
            </w:pPr>
            <w:r>
              <w:rPr>
                <w:b/>
                <w:bCs/>
                <w:color w:val="000000"/>
              </w:rPr>
              <w:t xml:space="preserve">Predicted Spam</w:t>
            </w:r>
          </w:p>
        </w:tc>
      </w:tr>
      <w:tr>
        <w:tc>
          <w:tcPr>
            <w:tcW w:type="dxa" w:w="2400"/>
            <w:shd w:fill="DCE6F1" w:val="clear"/>
            <w:tcMar>
              <w:top w:type="dxa" w:w="80"/>
              <w:left w:type="dxa" w:w="120"/>
              <w:bottom w:type="dxa" w:w="80"/>
              <w:right w:type="dxa" w:w="120"/>
            </w:tcMar>
            <w:vAlign w:val="center"/>
          </w:tcPr>
          <w:p>
            <w:pPr>
              <w:jc w:val="center"/>
            </w:pPr>
            <w:r>
              <w:rPr>
                <w:b/>
                <w:bCs/>
                <w:color w:val="000000"/>
              </w:rPr>
              <w:t xml:space="preserve">Actual Ham</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903</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0</w:t>
            </w:r>
          </w:p>
        </w:tc>
      </w:tr>
      <w:tr>
        <w:tc>
          <w:tcPr>
            <w:tcW w:type="dxa" w:w="2400"/>
            <w:shd w:fill="DCE6F1" w:val="clear"/>
            <w:tcMar>
              <w:top w:type="dxa" w:w="80"/>
              <w:left w:type="dxa" w:w="120"/>
              <w:bottom w:type="dxa" w:w="80"/>
              <w:right w:type="dxa" w:w="120"/>
            </w:tcMar>
            <w:vAlign w:val="center"/>
          </w:tcPr>
          <w:p>
            <w:pPr>
              <w:jc w:val="center"/>
            </w:pPr>
            <w:r>
              <w:rPr>
                <w:b/>
                <w:bCs/>
                <w:color w:val="000000"/>
              </w:rPr>
              <w:t xml:space="preserve">Actual Spam</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34</w:t>
            </w:r>
          </w:p>
        </w:tc>
        <w:tc>
          <w:tcPr>
            <w:tcW w:type="dxa" w:w="2400"/>
            <w:shd w:fill="FFFFFF" w:val="clear"/>
            <w:tcMar>
              <w:top w:type="dxa" w:w="80"/>
              <w:left w:type="dxa" w:w="120"/>
              <w:bottom w:type="dxa" w:w="80"/>
              <w:right w:type="dxa" w:w="120"/>
            </w:tcMar>
            <w:vAlign w:val="center"/>
          </w:tcPr>
          <w:p>
            <w:pPr>
              <w:jc w:val="center"/>
            </w:pPr>
            <w:r>
              <w:rPr>
                <w:b w:val="false"/>
                <w:bCs w:val="false"/>
                <w:color w:val="000000"/>
              </w:rPr>
              <w:t xml:space="preserve">97</w:t>
            </w:r>
          </w:p>
        </w:tc>
      </w:tr>
    </w:tbl>
    <w:p>
      <w:pPr>
        <w:spacing w:after="250"/>
        <w:jc w:val="center"/>
      </w:pPr>
      <w:r>
        <w:rPr>
          <w:i/>
          <w:iCs/>
          <w:color w:val="595959"/>
          <w:sz w:val="20"/>
          <w:szCs w:val="20"/>
        </w:rPr>
        <w:t xml:space="preserve">Figure 4 — Confusion Matrix: Random Forest</w:t>
      </w:r>
    </w:p>
    <w:p>
      <w:pPr>
        <w:pStyle w:val="Heading1"/>
        <w:spacing w:after="200" w:before="400"/>
      </w:pPr>
      <w:r>
        <w:t xml:space="preserve">6. Final Model Comparison</w:t>
      </w:r>
    </w:p>
    <w:p>
      <w:pPr>
        <w:spacing w:after="150"/>
      </w:pPr>
      <w:r>
        <w:t xml:space="preserve">Ranking all five models by test accuracy confirms the Optimized SVM as the top performer: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600"/>
      </w:tblGrid>
      <w:tr>
        <w:tc>
          <w:tcPr>
            <w:tcW w:type="dxa" w:w="1200"/>
            <w:shd w:fill="1F3864" w:val="clear"/>
            <w:tcMar>
              <w:top w:type="dxa" w:w="80"/>
              <w:left w:type="dxa" w:w="120"/>
              <w:bottom w:type="dxa" w:w="80"/>
              <w:right w:type="dxa" w:w="120"/>
            </w:tcMar>
            <w:vAlign w:val="center"/>
          </w:tcPr>
          <w:p>
            <w:pPr>
              <w:jc w:val="center"/>
            </w:pPr>
            <w:r>
              <w:rPr>
                <w:b/>
                <w:bCs/>
                <w:color w:val="FFFFFF"/>
              </w:rPr>
              <w:t xml:space="preserve">Rank</w:t>
            </w:r>
          </w:p>
        </w:tc>
        <w:tc>
          <w:tcPr>
            <w:tcW w:type="dxa" w:w="4400"/>
            <w:shd w:fill="1F3864" w:val="clear"/>
            <w:tcMar>
              <w:top w:type="dxa" w:w="80"/>
              <w:left w:type="dxa" w:w="120"/>
              <w:bottom w:type="dxa" w:w="80"/>
              <w:right w:type="dxa" w:w="120"/>
            </w:tcMar>
            <w:vAlign w:val="center"/>
          </w:tcPr>
          <w:p>
            <w:pPr>
              <w:jc w:val="left"/>
            </w:pPr>
            <w:r>
              <w:rPr>
                <w:b/>
                <w:bCs/>
                <w:color w:val="FFFFFF"/>
              </w:rPr>
              <w:t xml:space="preserve">Model</w:t>
            </w:r>
          </w:p>
        </w:tc>
        <w:tc>
          <w:tcPr>
            <w:tcW w:type="dxa" w:w="1600"/>
            <w:shd w:fill="1F3864" w:val="clear"/>
            <w:tcMar>
              <w:top w:type="dxa" w:w="80"/>
              <w:left w:type="dxa" w:w="120"/>
              <w:bottom w:type="dxa" w:w="80"/>
              <w:right w:type="dxa" w:w="120"/>
            </w:tcMar>
            <w:vAlign w:val="center"/>
          </w:tcPr>
          <w:p>
            <w:pPr>
              <w:jc w:val="center"/>
            </w:pPr>
            <w:r>
              <w:rPr>
                <w:b/>
                <w:bCs/>
                <w:color w:val="FFFFFF"/>
              </w:rPr>
              <w:t xml:space="preserve">Accuracy</w:t>
            </w:r>
          </w:p>
        </w:tc>
      </w:tr>
      <w:tr>
        <w:tc>
          <w:tcPr>
            <w:tcW w:type="dxa" w:w="1200"/>
            <w:shd w:fill="DCE6F1" w:val="clear"/>
            <w:tcMar>
              <w:top w:type="dxa" w:w="80"/>
              <w:left w:type="dxa" w:w="120"/>
              <w:bottom w:type="dxa" w:w="80"/>
              <w:right w:type="dxa" w:w="120"/>
            </w:tcMar>
            <w:vAlign w:val="center"/>
          </w:tcPr>
          <w:p>
            <w:pPr>
              <w:jc w:val="center"/>
            </w:pPr>
            <w:r>
              <w:rPr>
                <w:b/>
                <w:bCs/>
                <w:color w:val="000000"/>
              </w:rPr>
              <w:t xml:space="preserve">1</w:t>
            </w:r>
          </w:p>
        </w:tc>
        <w:tc>
          <w:tcPr>
            <w:tcW w:type="dxa" w:w="4400"/>
            <w:shd w:fill="DCE6F1" w:val="clear"/>
            <w:tcMar>
              <w:top w:type="dxa" w:w="80"/>
              <w:left w:type="dxa" w:w="120"/>
              <w:bottom w:type="dxa" w:w="80"/>
              <w:right w:type="dxa" w:w="120"/>
            </w:tcMar>
            <w:vAlign w:val="center"/>
          </w:tcPr>
          <w:p>
            <w:pPr>
              <w:jc w:val="left"/>
            </w:pPr>
            <w:r>
              <w:rPr>
                <w:b/>
                <w:bCs/>
                <w:color w:val="000000"/>
              </w:rPr>
              <w:t xml:space="preserve">Optimized SVM</w:t>
            </w:r>
          </w:p>
        </w:tc>
        <w:tc>
          <w:tcPr>
            <w:tcW w:type="dxa" w:w="1600"/>
            <w:shd w:fill="DCE6F1" w:val="clear"/>
            <w:tcMar>
              <w:top w:type="dxa" w:w="80"/>
              <w:left w:type="dxa" w:w="120"/>
              <w:bottom w:type="dxa" w:w="80"/>
              <w:right w:type="dxa" w:w="120"/>
            </w:tcMar>
            <w:vAlign w:val="center"/>
          </w:tcPr>
          <w:p>
            <w:pPr>
              <w:jc w:val="center"/>
            </w:pPr>
            <w:r>
              <w:rPr>
                <w:b/>
                <w:bCs/>
                <w:color w:val="000000"/>
              </w:rPr>
              <w:t xml:space="preserve">97.87%</w:t>
            </w:r>
          </w:p>
        </w:tc>
      </w:tr>
      <w:tr>
        <w:tc>
          <w:tcPr>
            <w:tcW w:type="dxa" w:w="1200"/>
            <w:shd w:fill="F2F2F2" w:val="clear"/>
            <w:tcMar>
              <w:top w:type="dxa" w:w="80"/>
              <w:left w:type="dxa" w:w="120"/>
              <w:bottom w:type="dxa" w:w="80"/>
              <w:right w:type="dxa" w:w="120"/>
            </w:tcMar>
            <w:vAlign w:val="center"/>
          </w:tcPr>
          <w:p>
            <w:pPr>
              <w:jc w:val="center"/>
            </w:pPr>
            <w:r>
              <w:rPr>
                <w:b w:val="false"/>
                <w:bCs w:val="false"/>
                <w:color w:val="000000"/>
              </w:rPr>
              <w:t xml:space="preserve">2</w:t>
            </w:r>
          </w:p>
        </w:tc>
        <w:tc>
          <w:tcPr>
            <w:tcW w:type="dxa" w:w="4400"/>
            <w:shd w:fill="F2F2F2" w:val="clear"/>
            <w:tcMar>
              <w:top w:type="dxa" w:w="80"/>
              <w:left w:type="dxa" w:w="120"/>
              <w:bottom w:type="dxa" w:w="80"/>
              <w:right w:type="dxa" w:w="120"/>
            </w:tcMar>
            <w:vAlign w:val="center"/>
          </w:tcPr>
          <w:p>
            <w:pPr>
              <w:jc w:val="left"/>
            </w:pPr>
            <w:r>
              <w:rPr>
                <w:b w:val="false"/>
                <w:bCs w:val="false"/>
                <w:color w:val="000000"/>
              </w:rPr>
              <w:t xml:space="preserve">SVM (default)</w:t>
            </w:r>
          </w:p>
        </w:tc>
        <w:tc>
          <w:tcPr>
            <w:tcW w:type="dxa" w:w="1600"/>
            <w:shd w:fill="F2F2F2" w:val="clear"/>
            <w:tcMar>
              <w:top w:type="dxa" w:w="80"/>
              <w:left w:type="dxa" w:w="120"/>
              <w:bottom w:type="dxa" w:w="80"/>
              <w:right w:type="dxa" w:w="120"/>
            </w:tcMar>
            <w:vAlign w:val="center"/>
          </w:tcPr>
          <w:p>
            <w:pPr>
              <w:jc w:val="center"/>
            </w:pPr>
            <w:r>
              <w:rPr>
                <w:b w:val="false"/>
                <w:bCs w:val="false"/>
                <w:color w:val="000000"/>
              </w:rPr>
              <w:t xml:space="preserve">97.20%</w:t>
            </w:r>
          </w:p>
        </w:tc>
      </w:tr>
      <w:tr>
        <w:tc>
          <w:tcPr>
            <w:tcW w:type="dxa" w:w="1200"/>
            <w:shd w:fill="FFFFFF" w:val="clear"/>
            <w:tcMar>
              <w:top w:type="dxa" w:w="80"/>
              <w:left w:type="dxa" w:w="120"/>
              <w:bottom w:type="dxa" w:w="80"/>
              <w:right w:type="dxa" w:w="120"/>
            </w:tcMar>
            <w:vAlign w:val="center"/>
          </w:tcPr>
          <w:p>
            <w:pPr>
              <w:jc w:val="center"/>
            </w:pPr>
            <w:r>
              <w:rPr>
                <w:b w:val="false"/>
                <w:bCs w:val="false"/>
                <w:color w:val="000000"/>
              </w:rPr>
              <w:t xml:space="preserve">3</w:t>
            </w:r>
          </w:p>
        </w:tc>
        <w:tc>
          <w:tcPr>
            <w:tcW w:type="dxa" w:w="4400"/>
            <w:shd w:fill="FFFFFF" w:val="clear"/>
            <w:tcMar>
              <w:top w:type="dxa" w:w="80"/>
              <w:left w:type="dxa" w:w="120"/>
              <w:bottom w:type="dxa" w:w="80"/>
              <w:right w:type="dxa" w:w="120"/>
            </w:tcMar>
            <w:vAlign w:val="center"/>
          </w:tcPr>
          <w:p>
            <w:pPr>
              <w:jc w:val="left"/>
            </w:pPr>
            <w:r>
              <w:rPr>
                <w:b w:val="false"/>
                <w:bCs w:val="false"/>
                <w:color w:val="000000"/>
              </w:rPr>
              <w:t xml:space="preserve">Random Forest</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96.71%</w:t>
            </w:r>
          </w:p>
        </w:tc>
      </w:tr>
      <w:tr>
        <w:tc>
          <w:tcPr>
            <w:tcW w:type="dxa" w:w="1200"/>
            <w:shd w:fill="F2F2F2" w:val="clear"/>
            <w:tcMar>
              <w:top w:type="dxa" w:w="80"/>
              <w:left w:type="dxa" w:w="120"/>
              <w:bottom w:type="dxa" w:w="80"/>
              <w:right w:type="dxa" w:w="120"/>
            </w:tcMar>
            <w:vAlign w:val="center"/>
          </w:tcPr>
          <w:p>
            <w:pPr>
              <w:jc w:val="center"/>
            </w:pPr>
            <w:r>
              <w:rPr>
                <w:b w:val="false"/>
                <w:bCs w:val="false"/>
                <w:color w:val="000000"/>
              </w:rPr>
              <w:t xml:space="preserve">4</w:t>
            </w:r>
          </w:p>
        </w:tc>
        <w:tc>
          <w:tcPr>
            <w:tcW w:type="dxa" w:w="4400"/>
            <w:shd w:fill="F2F2F2" w:val="clear"/>
            <w:tcMar>
              <w:top w:type="dxa" w:w="80"/>
              <w:left w:type="dxa" w:w="120"/>
              <w:bottom w:type="dxa" w:w="80"/>
              <w:right w:type="dxa" w:w="120"/>
            </w:tcMar>
            <w:vAlign w:val="center"/>
          </w:tcPr>
          <w:p>
            <w:pPr>
              <w:jc w:val="left"/>
            </w:pPr>
            <w:r>
              <w:rPr>
                <w:b w:val="false"/>
                <w:bCs w:val="false"/>
                <w:color w:val="000000"/>
              </w:rPr>
              <w:t xml:space="preserve">Logistic Regression</w:t>
            </w:r>
          </w:p>
        </w:tc>
        <w:tc>
          <w:tcPr>
            <w:tcW w:type="dxa" w:w="1600"/>
            <w:shd w:fill="F2F2F2" w:val="clear"/>
            <w:tcMar>
              <w:top w:type="dxa" w:w="80"/>
              <w:left w:type="dxa" w:w="120"/>
              <w:bottom w:type="dxa" w:w="80"/>
              <w:right w:type="dxa" w:w="120"/>
            </w:tcMar>
            <w:vAlign w:val="center"/>
          </w:tcPr>
          <w:p>
            <w:pPr>
              <w:jc w:val="center"/>
            </w:pPr>
            <w:r>
              <w:rPr>
                <w:b w:val="false"/>
                <w:bCs w:val="false"/>
                <w:color w:val="000000"/>
              </w:rPr>
              <w:t xml:space="preserve">95.45%</w:t>
            </w:r>
          </w:p>
        </w:tc>
      </w:tr>
      <w:tr>
        <w:tc>
          <w:tcPr>
            <w:tcW w:type="dxa" w:w="1200"/>
            <w:shd w:fill="FFFFFF" w:val="clear"/>
            <w:tcMar>
              <w:top w:type="dxa" w:w="80"/>
              <w:left w:type="dxa" w:w="120"/>
              <w:bottom w:type="dxa" w:w="80"/>
              <w:right w:type="dxa" w:w="120"/>
            </w:tcMar>
            <w:vAlign w:val="center"/>
          </w:tcPr>
          <w:p>
            <w:pPr>
              <w:jc w:val="center"/>
            </w:pPr>
            <w:r>
              <w:rPr>
                <w:b w:val="false"/>
                <w:bCs w:val="false"/>
                <w:color w:val="000000"/>
              </w:rPr>
              <w:t xml:space="preserve">5</w:t>
            </w:r>
          </w:p>
        </w:tc>
        <w:tc>
          <w:tcPr>
            <w:tcW w:type="dxa" w:w="4400"/>
            <w:shd w:fill="FFFFFF" w:val="clear"/>
            <w:tcMar>
              <w:top w:type="dxa" w:w="80"/>
              <w:left w:type="dxa" w:w="120"/>
              <w:bottom w:type="dxa" w:w="80"/>
              <w:right w:type="dxa" w:w="120"/>
            </w:tcMar>
            <w:vAlign w:val="center"/>
          </w:tcPr>
          <w:p>
            <w:pPr>
              <w:jc w:val="left"/>
            </w:pPr>
            <w:r>
              <w:rPr>
                <w:b w:val="false"/>
                <w:bCs w:val="false"/>
                <w:color w:val="000000"/>
              </w:rPr>
              <w:t xml:space="preserve">Naive Bayes</w:t>
            </w:r>
          </w:p>
        </w:tc>
        <w:tc>
          <w:tcPr>
            <w:tcW w:type="dxa" w:w="1600"/>
            <w:shd w:fill="FFFFFF" w:val="clear"/>
            <w:tcMar>
              <w:top w:type="dxa" w:w="80"/>
              <w:left w:type="dxa" w:w="120"/>
              <w:bottom w:type="dxa" w:w="80"/>
              <w:right w:type="dxa" w:w="120"/>
            </w:tcMar>
            <w:vAlign w:val="center"/>
          </w:tcPr>
          <w:p>
            <w:pPr>
              <w:jc w:val="center"/>
            </w:pPr>
            <w:r>
              <w:rPr>
                <w:b w:val="false"/>
                <w:bCs w:val="false"/>
                <w:color w:val="000000"/>
              </w:rPr>
              <w:t xml:space="preserve">94.78%</w:t>
            </w:r>
          </w:p>
        </w:tc>
      </w:tr>
    </w:tbl>
    <w:p>
      <w:pPr>
        <w:spacing w:before="300"/>
      </w:pPr>
    </w:p>
    <w:p>
      <w:pPr>
        <w:spacing w:after="150" w:before="150"/>
        <w:jc w:val="center"/>
      </w:pPr>
      <w:r>
        <w:drawing>
          <wp:inline distT="0" distB="0" distL="0" distR="0">
            <wp:extent cx="4381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62250"/>
                    </a:xfrm>
                    <a:prstGeom prst="rect">
                      <a:avLst/>
                    </a:prstGeom>
                  </pic:spPr>
                </pic:pic>
              </a:graphicData>
            </a:graphic>
          </wp:inline>
        </w:drawing>
      </w:r>
    </w:p>
    <w:p>
      <w:pPr>
        <w:spacing w:after="250"/>
        <w:jc w:val="center"/>
      </w:pPr>
      <w:r>
        <w:rPr>
          <w:i/>
          <w:iCs/>
          <w:color w:val="595959"/>
          <w:sz w:val="20"/>
          <w:szCs w:val="20"/>
        </w:rPr>
        <w:t xml:space="preserve">Figure 5 — Final model accuracy comparison</w:t>
      </w:r>
    </w:p>
    <w:p>
      <w:pPr>
        <w:pStyle w:val="Heading1"/>
        <w:spacing w:after="200" w:before="400"/>
      </w:pPr>
      <w:r>
        <w:t xml:space="preserve">7. Recommended Model</w:t>
      </w:r>
    </w:p>
    <w:p>
      <w:pPr>
        <w:spacing w:after="150"/>
      </w:pPr>
      <w:r>
        <w:t xml:space="preserve">The Optimized SVM (GridSearchCV-tuned, linear kernel, C=10) is recommended as the production model. It delivers the highest overall accuracy (97.87%) and the best trade-off between catching spam (recall 0.85) and not disrupting legitimate messages (only 2 false positives out of 903 Ham messages).</w:t>
      </w:r>
    </w:p>
    <w:p>
      <w:pPr>
        <w:spacing w:after="150"/>
      </w:pPr>
      <w:r>
        <w:rPr>
          <w:color w:val="000000"/>
        </w:rPr>
        <w:t xml:space="preserve">From a business perspective, missed spam (false negatives) directly affects user experience and security exposure, while legitimate messages wrongly flagged as spam (false positives) risk losing important user communication. The Optimized SVM minimizes both types of error better than any other model tested.</w:t>
      </w:r>
    </w:p>
    <w:p>
      <w:pPr>
        <w:pStyle w:val="Heading1"/>
        <w:spacing w:after="200" w:before="400"/>
      </w:pPr>
      <w:r>
        <w:t xml:space="preserve">8. Limitations &amp; Recommendations</w:t>
      </w:r>
    </w:p>
    <w:p>
      <w:pPr>
        <w:spacing w:after="150"/>
      </w:pPr>
      <w:r>
        <w:t xml:space="preserve">A technical review of the project notebook surfaced the following gaps relative to the stated project deliverables. Addressing these is recommended before final submission:</w:t>
      </w:r>
    </w:p>
    <w:p>
      <w:pPr>
        <w:pStyle w:val="ListParagraph"/>
        <w:numPr>
          <w:ilvl w:val="0"/>
          <w:numId w:val="1"/>
        </w:numPr>
        <w:spacing w:after="80"/>
      </w:pPr>
      <w:r>
        <w:t xml:space="preserve">Model not saved: no code currently persists the trained model or the TF-IDF vectorizer (e.g., via joblib/pickle), even though "Save Best Model" and "Saved Model" are listed as required deliverables. Both the vectorizer and the classifier must be saved together for the model to be reusable in an app.</w:t>
      </w:r>
    </w:p>
    <w:p>
      <w:pPr>
        <w:pStyle w:val="ListParagraph"/>
        <w:numPr>
          <w:ilvl w:val="0"/>
          <w:numId w:val="1"/>
        </w:numPr>
        <w:spacing w:after="80"/>
      </w:pPr>
      <w:r>
        <w:t xml:space="preserve">Hardcoded comparison values: the final model-comparison table is built from literal numbers rather than referencing the accuracy variables computed earlier in the notebook. The current values do match the actual run, but the table will not auto-update if the notebook is re-run with different results.</w:t>
      </w:r>
    </w:p>
    <w:p>
      <w:pPr>
        <w:pStyle w:val="ListParagraph"/>
        <w:numPr>
          <w:ilvl w:val="0"/>
          <w:numId w:val="1"/>
        </w:numPr>
        <w:spacing w:after="80"/>
      </w:pPr>
      <w:r>
        <w:t xml:space="preserve">No documentation cells: the notebook contains only code cells — there are no Markdown headers or explanations separating the stages (EDA, cleaning, modeling, evaluation), which makes it harder to follow as a standalone report.</w:t>
      </w:r>
    </w:p>
    <w:p>
      <w:pPr>
        <w:pStyle w:val="ListParagraph"/>
        <w:numPr>
          <w:ilvl w:val="0"/>
          <w:numId w:val="1"/>
        </w:numPr>
        <w:spacing w:after="80"/>
      </w:pPr>
      <w:r>
        <w:t xml:space="preserve">Missing predict_proba support: the SVM models were trained without probability=True, so they cannot currently output a spam-probability score — a feature shown in the project's "Expected Output" example (e.g., "87% Spam probability").</w:t>
      </w:r>
    </w:p>
    <w:p>
      <w:pPr>
        <w:pStyle w:val="ListParagraph"/>
        <w:numPr>
          <w:ilvl w:val="0"/>
          <w:numId w:val="1"/>
        </w:numPr>
        <w:spacing w:after="80"/>
      </w:pPr>
      <w:r>
        <w:t xml:space="preserve">Preprocessing is minimal: text cleaning removes URLs and non-alphabetic characters, but does not remove stopwords or apply stemming/lemmatization — a likely quick win for feature quality.</w:t>
      </w:r>
    </w:p>
    <w:p>
      <w:pPr>
        <w:pStyle w:val="ListParagraph"/>
        <w:numPr>
          <w:ilvl w:val="0"/>
          <w:numId w:val="1"/>
        </w:numPr>
        <w:spacing w:after="80"/>
      </w:pPr>
      <w:r>
        <w:t xml:space="preserve">Relative dataset path: the notebook loads data from "../data/spam.csv", which assumes a fixed folder structure and will fail if the project is moved or shared without that structure.</w:t>
      </w:r>
    </w:p>
    <w:p>
      <w:pPr>
        <w:pStyle w:val="Heading1"/>
        <w:spacing w:after="200" w:before="400"/>
      </w:pPr>
      <w:r>
        <w:t xml:space="preserve">9. Conclusion</w:t>
      </w:r>
    </w:p>
    <w:p>
      <w:pPr>
        <w:spacing w:after="150"/>
      </w:pPr>
      <w:r>
        <w:t xml:space="preserve">The project successfully delivers a working spam-classification pipeline, from raw data cleaning through feature extraction, multi-model training, and hyperparameter optimization. The Optimized SVM model meets the project's accuracy and reliability goals and is recommended for deployment, pending the packaging steps noted in Section 8 (saving the model and vectorizer, and enabling probability outputs) to satisfy all stated project deliverables.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94c1a5d30c376877a6eb853c2e03ca910c6e6f.png"/><Relationship Id="rId8" Type="http://schemas.openxmlformats.org/officeDocument/2006/relationships/image" Target="media/bef9be3517a98fbc6e5ddb91290593e54860e1d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2026-08-08T17:36:07.541Z</dcterms:created>
  <dcterms:modified xsi:type="dcterms:W3CDTF">2026-08-08T17:36:07.541Z</dcterms:modified>
</cp:coreProperties>
</file>

<file path=docProps/custom.xml><?xml version="1.0" encoding="utf-8"?>
<Properties xmlns="http://schemas.openxmlformats.org/officeDocument/2006/custom-properties" xmlns:vt="http://schemas.openxmlformats.org/officeDocument/2006/docPropsVTypes"/>
</file>