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2A4A"/>
          <w:sz w:val="40"/>
        </w:rPr>
        <w:t>Cascade Valley Wholesale Foods — Quantitative Diligence Memo</w:t>
      </w:r>
    </w:p>
    <w:p>
      <w:r>
        <w:rPr>
          <w:color w:val="555555"/>
          <w:sz w:val="20"/>
        </w:rPr>
        <w:t>Prepared for: Buy-Side Diligence File    |    September 16, 2026    |    Industry benchmark set: Wholesale / Perishable Distribution</w:t>
      </w:r>
    </w:p>
    <w:p>
      <w:r>
        <w:rPr>
          <w:i/>
          <w:color w:val="555555"/>
          <w:sz w:val="18"/>
        </w:rPr>
        <w:t>Uses synthetic data modeled on a small wholesale food distributor; no client or employer data included. See data/synthetic/clean_co/.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D4EDDA"/>
          </w:tcPr>
          <w:p>
            <w:r>
              <w:rPr>
                <w:b/>
                <w:color w:val="2E7D32"/>
                <w:sz w:val="26"/>
              </w:rPr>
              <w:t>OVERALL FLAG: GREEN</w:t>
            </w:r>
          </w:p>
        </w:tc>
      </w:tr>
    </w:tbl>
    <w:p>
      <w:pPr>
        <w:pStyle w:val="Heading1"/>
      </w:pPr>
      <w:r>
        <w:t>Governing Thought</w:t>
      </w:r>
    </w:p>
    <w:p>
      <w:r>
        <w:t>Cascade Valley Wholesale Foods clears the quantitative checks run in this pass with no red or yellow flags outstanding. On the numbers: FY2024 revenue of $9,600,000, gross margin 24.4%, and Adjusted EBITDA of $852,000 (8.9% margin).</w:t>
      </w:r>
    </w:p>
    <w:p>
      <w:pPr>
        <w:pStyle w:val="Heading1"/>
      </w:pPr>
      <w:r>
        <w:t>Flag Summary (Situation → Complication → What It Means)</w:t>
      </w:r>
    </w:p>
    <w:p>
      <w:r>
        <w:t>No rules-based anomalies cleared threshold across the reviewed periods. This is a clean read against the checks run, not a certification -- it does not replace confirmatory procedures (bank confirmations, legal search, customer/vendor calls).</w:t>
      </w:r>
    </w:p>
    <w:p>
      <w:pPr>
        <w:pStyle w:val="Heading1"/>
      </w:pPr>
      <w:r>
        <w:t>Financial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FY2023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Revenue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$8,200,000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$8,850,000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$9,600,000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Gross margin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24.0%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24.2%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24.4%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$646,200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$723,300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$812,000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EBITDA margin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7.9%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8.2%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8.5%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$676,200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$758,300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$852,000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Adjusted EBITDA margin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8.2%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8.6%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8.9%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Net income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$496,200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$573,300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$661,000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Working capital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$1,456,424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$1,557,207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$1,725,943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Operating working capital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$1,156,424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$1,204,207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$1,304,943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Current ratio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2.90x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2.89x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2.95x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DSCR (Adj. EBITDA basis)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4.17x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4.77x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5.46x</w:t>
            </w:r>
          </w:p>
        </w:tc>
      </w:tr>
    </w:tbl>
    <w:p>
      <w:pPr>
        <w:pStyle w:val="Heading1"/>
      </w:pPr>
      <w:r>
        <w:t>Quality-of-Earnings Addback Worksheet</w:t>
      </w:r>
    </w:p>
    <w:p>
      <w:r>
        <w:t>Adjusted EBITDA below reflects only the addbacks with a documented, itemized rationale. Related-party expense is intentionally excluded from this worksheet and handled instead as a flag requiring verification -- see Flag Summary.</w:t>
      </w:r>
    </w:p>
    <w:p>
      <w:pPr>
        <w:pStyle w:val="Heading2"/>
      </w:pPr>
      <w:r>
        <w:t>FY2022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Line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Confidence / Rationale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$646,200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Net income + interest + tax + D&amp;A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Owner/officer compensation above market replacement rate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$30,000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[requires verification] Owner compensation of $150,000 exceeds the assumed market replacement rate of $120,000 by $30,000. Addback assumes a new operator would be paid at market rate; confirm against a role-specific compensation benchmark before relying on this number.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$676,200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Adjusted EBITDA margin: 8.2%</w:t>
            </w:r>
          </w:p>
        </w:tc>
      </w:tr>
    </w:tbl>
    <w:p>
      <w:pPr>
        <w:pStyle w:val="Heading2"/>
      </w:pPr>
      <w:r>
        <w:t>FY2023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Line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Confidence / Rationale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$723,300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Net income + interest + tax + D&amp;A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Owner/officer compensation above market replacement rate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$35,000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[requires verification] Owner compensation of $155,000 exceeds the assumed market replacement rate of $120,000 by $35,000. Addback assumes a new operator would be paid at market rate; confirm against a role-specific compensation benchmark before relying on this number.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$758,300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Adjusted EBITDA margin: 8.6%</w:t>
            </w:r>
          </w:p>
        </w:tc>
      </w:tr>
    </w:tbl>
    <w:p>
      <w:pPr>
        <w:pStyle w:val="Heading2"/>
      </w:pPr>
      <w:r>
        <w:t>FY2024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Line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Amount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Confidence / Rationale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$812,000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Net income + interest + tax + D&amp;A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Owner/officer compensation above market replacement rate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$40,000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[requires verification] Owner compensation of $160,000 exceeds the assumed market replacement rate of $120,000 by $40,000. Addback assumes a new operator would be paid at market rate; confirm against a role-specific compensation benchmark before relying on this number.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Adjusted EBITDA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$852,000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Adjusted EBITDA margin: 8.9%</w:t>
            </w:r>
          </w:p>
        </w:tc>
      </w:tr>
    </w:tbl>
    <w:p>
      <w:pPr>
        <w:pStyle w:val="Heading1"/>
      </w:pPr>
      <w:r>
        <w:t>Anomaly Detail</w:t>
      </w:r>
    </w:p>
    <w:p>
      <w:r>
        <w:t>No flags to detail.</w:t>
      </w:r>
    </w:p>
    <w:p>
      <w:pPr>
        <w:pStyle w:val="Heading1"/>
      </w:pPr>
      <w:r>
        <w:t>Benchmark Positioning</w:t>
      </w:r>
    </w:p>
    <w:p>
      <w:r>
        <w:t>Ranges are compiled from publicly available small-business benchmarking sources (RMA Annual Statement Studies category medians, IBISWorld-style industry reports) and are directional only. Being outside a range is context, not automatically a flag.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Company (latest FY)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Benchmark low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Benchmark high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Position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gross margin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24.4%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18.0%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32.0%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within range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ebitda margin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8.5%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4.0%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11.0%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within range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current ratio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294.8%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110.0%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190.0%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above range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dso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34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25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50 days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within range</w:t>
            </w:r>
          </w:p>
        </w:tc>
      </w:tr>
    </w:tbl>
    <w:p>
      <w:pPr>
        <w:pStyle w:val="Heading1"/>
      </w:pPr>
      <w:r>
        <w:t>Customer Concentration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20"/>
              </w:rPr>
              <w:t>FY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Top customer %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Top 3 %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HHI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20"/>
              </w:rPr>
              <w:t># Customers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2022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3216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2023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3216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2024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15.0%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35.0%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3216</w:t>
            </w:r>
          </w:p>
        </w:tc>
        <w:tc>
          <w:tcPr>
            <w:tcW w:type="dxa" w:w="1987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</w:tbl>
    <w:p>
      <w:pPr>
        <w:pStyle w:val="Heading1"/>
      </w:pPr>
      <w:r>
        <w:t>Methodology and Data Lineage</w:t>
      </w:r>
    </w:p>
    <w:p>
      <w:r>
        <w:t>Source statements were parsed and mapped onto a fixed canonical chart of accounts using exact-match, fuzzy-match, and (where configured) LLM-assisted classification. 1 line item(s) across the reviewed periods were mapped with less than full confidence or require manual review; see mapping_table.csv in this run's output folder for the complete, human-auditable mapping.</w:t>
      </w:r>
    </w:p>
    <w:p>
      <w:r>
        <w:t>The following source labels could not be confidently mapped and were EXCLUDED from the figures above pending manual review: State Franchise Tax</w:t>
      </w:r>
    </w:p>
    <w:p>
      <w:r>
        <w:t>This memo is a quantitative first pass. It does not substitute for legal review, bank/lender confirmations, tax return reconciliation, or management interviews.</w:t>
      </w:r>
    </w:p>
    <w:p>
      <w:pPr>
        <w:pStyle w:val="Heading1"/>
      </w:pPr>
      <w:r>
        <w:t>Appendix: Full Ratio Backup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FY2022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FY2023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20"/>
              </w:rPr>
              <w:t>FY2024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COGS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$6,232,000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$6,708,300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$7,257,600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Gross profit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$1,968,000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$2,141,700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$2,342,400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Operating expenses (incl. D&amp;A)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$1,428,800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$1,535,400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$1,657,400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Current assets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$2,223,491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$2,379,807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$2,611,826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Current liabilities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$767,067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$822,600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$885,883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Days sales outstanding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Days payable outstanding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32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20"/>
              </w:rPr>
              <w:t>Days inventory outstanding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58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57</w:t>
            </w:r>
          </w:p>
        </w:tc>
        <w:tc>
          <w:tcPr>
            <w:tcW w:type="dxa" w:w="2484"/>
          </w:tcPr>
          <w:p>
            <w:r/>
            <w:r>
              <w:rPr>
                <w:b w:val="0"/>
                <w:sz w:val="20"/>
              </w:rPr>
              <w:t>57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