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2A4A"/>
          <w:sz w:val="40"/>
        </w:rPr>
        <w:t>Summit Retail Supply Co — Quantitative Diligence Memo</w:t>
      </w:r>
    </w:p>
    <w:p>
      <w:r>
        <w:rPr>
          <w:color w:val="555555"/>
          <w:sz w:val="20"/>
        </w:rPr>
        <w:t>Prepared for: Buy-Side Diligence File    |    September 16, 2026    |    Industry benchmark set: E-Commerce / Retail Supply</w:t>
      </w:r>
    </w:p>
    <w:p>
      <w:r>
        <w:rPr>
          <w:i/>
          <w:color w:val="555555"/>
          <w:sz w:val="18"/>
        </w:rPr>
        <w:t>Uses synthetic data modeled on a small e-commerce retailer; no client or employer data included. See data/synthetic/fraud_co/.</w:t>
      </w:r>
    </w:p>
    <w:p/>
    <w:tbl>
      <w:tblPr>
        <w:tblW w:type="auto" w:w="0"/>
        <w:jc w:val="center"/>
        <w:tblLook w:firstColumn="1" w:firstRow="1" w:lastColumn="0" w:lastRow="0" w:noHBand="0" w:noVBand="1" w:val="04A0"/>
      </w:tblPr>
      <w:tblGrid>
        <w:gridCol w:w="9936"/>
      </w:tblGrid>
      <w:tr>
        <w:tc>
          <w:tcPr>
            <w:tcW w:type="dxa" w:w="9936"/>
            <w:shd w:val="clear" w:color="auto" w:fill="F8D7DA"/>
          </w:tcPr>
          <w:p>
            <w:r>
              <w:rPr>
                <w:b/>
                <w:color w:val="C03030"/>
                <w:sz w:val="26"/>
              </w:rPr>
              <w:t>OVERALL FLAG: RED</w:t>
            </w:r>
          </w:p>
        </w:tc>
      </w:tr>
    </w:tbl>
    <w:p>
      <w:pPr>
        <w:pStyle w:val="Heading1"/>
      </w:pPr>
      <w:r>
        <w:t>Governing Thought</w:t>
      </w:r>
    </w:p>
    <w:p>
      <w:r>
        <w:t>Summit Retail Supply Co shows 8 red-severity flag(s) that should be resolved before this deal proceeds on its current terms. On the numbers: FY2024 revenue of $4,950,000, gross margin 48.0%, and Adjusted EBITDA of $1,138,250 (23.0% margin).</w:t>
      </w:r>
    </w:p>
    <w:p>
      <w:pPr>
        <w:pStyle w:val="Heading1"/>
      </w:pPr>
      <w:r>
        <w:t>Flag Summary (Situation → Complication → What It Means)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20"/>
              </w:rPr>
              <w:t>Flag</w:t>
            </w:r>
          </w:p>
        </w:tc>
        <w:tc>
          <w:tcPr>
            <w:tcW w:type="dxa" w:w="3312"/>
          </w:tcPr>
          <w:p>
            <w:r/>
            <w:r>
              <w:rPr>
                <w:b/>
                <w:sz w:val="20"/>
              </w:rPr>
              <w:t>Severity</w:t>
            </w:r>
          </w:p>
        </w:tc>
        <w:tc>
          <w:tcPr>
            <w:tcW w:type="dxa" w:w="3312"/>
          </w:tcPr>
          <w:p>
            <w:r/>
            <w:r>
              <w:rPr>
                <w:b/>
                <w:sz w:val="20"/>
              </w:rPr>
              <w:t>Headline</w:t>
            </w:r>
          </w:p>
        </w:tc>
      </w:tr>
      <w:tr>
        <w:tc>
          <w:tcPr>
            <w:tcW w:type="dxa" w:w="3312"/>
          </w:tcPr>
          <w:p>
            <w:r/>
            <w:r>
              <w:rPr>
                <w:b w:val="0"/>
                <w:sz w:val="20"/>
              </w:rPr>
              <w:t>Revenue recognition risk</w:t>
            </w:r>
          </w:p>
        </w:tc>
        <w:tc>
          <w:tcPr>
            <w:tcW w:type="dxa" w:w="3312"/>
          </w:tcPr>
          <w:p>
            <w:r/>
            <w:r>
              <w:rPr>
                <w:b/>
                <w:color w:val="C03030"/>
                <w:sz w:val="20"/>
              </w:rPr>
              <w:t>RED</w:t>
            </w:r>
          </w:p>
        </w:tc>
        <w:tc>
          <w:tcPr>
            <w:tcW w:type="dxa" w:w="3312"/>
          </w:tcPr>
          <w:p>
            <w:r/>
            <w:r>
              <w:rPr>
                <w:b w:val="0"/>
                <w:sz w:val="20"/>
              </w:rPr>
              <w:t>Receivables growing faster than revenue, FY2022→FY2023</w:t>
            </w:r>
          </w:p>
        </w:tc>
      </w:tr>
      <w:tr>
        <w:tc>
          <w:tcPr>
            <w:tcW w:type="dxa" w:w="3312"/>
          </w:tcPr>
          <w:p>
            <w:r/>
            <w:r>
              <w:rPr>
                <w:b w:val="0"/>
                <w:sz w:val="20"/>
              </w:rPr>
              <w:t>Revenue recognition risk</w:t>
            </w:r>
          </w:p>
        </w:tc>
        <w:tc>
          <w:tcPr>
            <w:tcW w:type="dxa" w:w="3312"/>
          </w:tcPr>
          <w:p>
            <w:r/>
            <w:r>
              <w:rPr>
                <w:b/>
                <w:color w:val="C03030"/>
                <w:sz w:val="20"/>
              </w:rPr>
              <w:t>RED</w:t>
            </w:r>
          </w:p>
        </w:tc>
        <w:tc>
          <w:tcPr>
            <w:tcW w:type="dxa" w:w="3312"/>
          </w:tcPr>
          <w:p>
            <w:r/>
            <w:r>
              <w:rPr>
                <w:b w:val="0"/>
                <w:sz w:val="20"/>
              </w:rPr>
              <w:t>Receivables growing faster than revenue, FY2023→FY2024</w:t>
            </w:r>
          </w:p>
        </w:tc>
      </w:tr>
      <w:tr>
        <w:tc>
          <w:tcPr>
            <w:tcW w:type="dxa" w:w="3312"/>
          </w:tcPr>
          <w:p>
            <w:r/>
            <w:r>
              <w:rPr>
                <w:b w:val="0"/>
                <w:sz w:val="20"/>
              </w:rPr>
              <w:t>Expense-timing shift</w:t>
            </w:r>
          </w:p>
        </w:tc>
        <w:tc>
          <w:tcPr>
            <w:tcW w:type="dxa" w:w="3312"/>
          </w:tcPr>
          <w:p>
            <w:r/>
            <w:r>
              <w:rPr>
                <w:b/>
                <w:color w:val="C03030"/>
                <w:sz w:val="20"/>
              </w:rPr>
              <w:t>RED</w:t>
            </w:r>
          </w:p>
        </w:tc>
        <w:tc>
          <w:tcPr>
            <w:tcW w:type="dxa" w:w="3312"/>
          </w:tcPr>
          <w:p>
            <w:r/>
            <w:r>
              <w:rPr>
                <w:b w:val="0"/>
                <w:sz w:val="20"/>
              </w:rPr>
              <w:t>COGS-to-revenue ratio dropped sharply, FY2023→FY2024</w:t>
            </w:r>
          </w:p>
        </w:tc>
      </w:tr>
      <w:tr>
        <w:tc>
          <w:tcPr>
            <w:tcW w:type="dxa" w:w="3312"/>
          </w:tcPr>
          <w:p>
            <w:r/>
            <w:r>
              <w:rPr>
                <w:b w:val="0"/>
                <w:sz w:val="20"/>
              </w:rPr>
              <w:t>Related-party transaction</w:t>
            </w:r>
          </w:p>
        </w:tc>
        <w:tc>
          <w:tcPr>
            <w:tcW w:type="dxa" w:w="3312"/>
          </w:tcPr>
          <w:p>
            <w:r/>
            <w:r>
              <w:rPr>
                <w:b/>
                <w:color w:val="B88600"/>
                <w:sz w:val="20"/>
              </w:rPr>
              <w:t>YELLOW</w:t>
            </w:r>
          </w:p>
        </w:tc>
        <w:tc>
          <w:tcPr>
            <w:tcW w:type="dxa" w:w="3312"/>
          </w:tcPr>
          <w:p>
            <w:r/>
            <w:r>
              <w:rPr>
                <w:b w:val="0"/>
                <w:sz w:val="20"/>
              </w:rPr>
              <w:t>Related-party expense of $130,000 in FY2023</w:t>
            </w:r>
          </w:p>
        </w:tc>
      </w:tr>
      <w:tr>
        <w:tc>
          <w:tcPr>
            <w:tcW w:type="dxa" w:w="3312"/>
          </w:tcPr>
          <w:p>
            <w:r/>
            <w:r>
              <w:rPr>
                <w:b w:val="0"/>
                <w:sz w:val="20"/>
              </w:rPr>
              <w:t>Related-party transaction</w:t>
            </w:r>
          </w:p>
        </w:tc>
        <w:tc>
          <w:tcPr>
            <w:tcW w:type="dxa" w:w="3312"/>
          </w:tcPr>
          <w:p>
            <w:r/>
            <w:r>
              <w:rPr>
                <w:b/>
                <w:color w:val="C03030"/>
                <w:sz w:val="20"/>
              </w:rPr>
              <w:t>RED</w:t>
            </w:r>
          </w:p>
        </w:tc>
        <w:tc>
          <w:tcPr>
            <w:tcW w:type="dxa" w:w="3312"/>
          </w:tcPr>
          <w:p>
            <w:r/>
            <w:r>
              <w:rPr>
                <w:b w:val="0"/>
                <w:sz w:val="20"/>
              </w:rPr>
              <w:t>Related-party expense of $210,000 in FY2024</w:t>
            </w:r>
          </w:p>
        </w:tc>
      </w:tr>
      <w:tr>
        <w:tc>
          <w:tcPr>
            <w:tcW w:type="dxa" w:w="3312"/>
          </w:tcPr>
          <w:p>
            <w:r/>
            <w:r>
              <w:rPr>
                <w:b w:val="0"/>
                <w:sz w:val="20"/>
              </w:rPr>
              <w:t>Working capital near transaction date</w:t>
            </w:r>
          </w:p>
        </w:tc>
        <w:tc>
          <w:tcPr>
            <w:tcW w:type="dxa" w:w="3312"/>
          </w:tcPr>
          <w:p>
            <w:r/>
            <w:r>
              <w:rPr>
                <w:b/>
                <w:color w:val="C03030"/>
                <w:sz w:val="20"/>
              </w:rPr>
              <w:t>RED</w:t>
            </w:r>
          </w:p>
        </w:tc>
        <w:tc>
          <w:tcPr>
            <w:tcW w:type="dxa" w:w="3312"/>
          </w:tcPr>
          <w:p>
            <w:r/>
            <w:r>
              <w:rPr>
                <w:b w:val="0"/>
                <w:sz w:val="20"/>
              </w:rPr>
              <w:t>Payables stretched in the final period (FY2024)</w:t>
            </w:r>
          </w:p>
        </w:tc>
      </w:tr>
      <w:tr>
        <w:tc>
          <w:tcPr>
            <w:tcW w:type="dxa" w:w="3312"/>
          </w:tcPr>
          <w:p>
            <w:r/>
            <w:r>
              <w:rPr>
                <w:b w:val="0"/>
                <w:sz w:val="20"/>
              </w:rPr>
              <w:t>Working capital near transaction date</w:t>
            </w:r>
          </w:p>
        </w:tc>
        <w:tc>
          <w:tcPr>
            <w:tcW w:type="dxa" w:w="3312"/>
          </w:tcPr>
          <w:p>
            <w:r/>
            <w:r>
              <w:rPr>
                <w:b/>
                <w:color w:val="C03030"/>
                <w:sz w:val="20"/>
              </w:rPr>
              <w:t>RED</w:t>
            </w:r>
          </w:p>
        </w:tc>
        <w:tc>
          <w:tcPr>
            <w:tcW w:type="dxa" w:w="3312"/>
          </w:tcPr>
          <w:p>
            <w:r/>
            <w:r>
              <w:rPr>
                <w:b w:val="0"/>
                <w:sz w:val="20"/>
              </w:rPr>
              <w:t>Owner distributions of $1,489,388 in FY2024 (131% of Adjusted EBITDA)</w:t>
            </w:r>
          </w:p>
        </w:tc>
      </w:tr>
      <w:tr>
        <w:tc>
          <w:tcPr>
            <w:tcW w:type="dxa" w:w="3312"/>
          </w:tcPr>
          <w:p>
            <w:r/>
            <w:r>
              <w:rPr>
                <w:b w:val="0"/>
                <w:sz w:val="20"/>
              </w:rPr>
              <w:t>Inventory / COGS coherence</w:t>
            </w:r>
          </w:p>
        </w:tc>
        <w:tc>
          <w:tcPr>
            <w:tcW w:type="dxa" w:w="3312"/>
          </w:tcPr>
          <w:p>
            <w:r/>
            <w:r>
              <w:rPr>
                <w:b/>
                <w:color w:val="C03030"/>
                <w:sz w:val="20"/>
              </w:rPr>
              <w:t>RED</w:t>
            </w:r>
          </w:p>
        </w:tc>
        <w:tc>
          <w:tcPr>
            <w:tcW w:type="dxa" w:w="3312"/>
          </w:tcPr>
          <w:p>
            <w:r/>
            <w:r>
              <w:rPr>
                <w:b w:val="0"/>
                <w:sz w:val="20"/>
              </w:rPr>
              <w:t>Days inventory outstanding increased 90%, FY2023→FY2024</w:t>
            </w:r>
          </w:p>
        </w:tc>
      </w:tr>
      <w:tr>
        <w:tc>
          <w:tcPr>
            <w:tcW w:type="dxa" w:w="3312"/>
          </w:tcPr>
          <w:p>
            <w:r/>
            <w:r>
              <w:rPr>
                <w:b w:val="0"/>
                <w:sz w:val="20"/>
              </w:rPr>
              <w:t>Customer concentration</w:t>
            </w:r>
          </w:p>
        </w:tc>
        <w:tc>
          <w:tcPr>
            <w:tcW w:type="dxa" w:w="3312"/>
          </w:tcPr>
          <w:p>
            <w:r/>
            <w:r>
              <w:rPr>
                <w:b/>
                <w:color w:val="C03030"/>
                <w:sz w:val="20"/>
              </w:rPr>
              <w:t>RED</w:t>
            </w:r>
          </w:p>
        </w:tc>
        <w:tc>
          <w:tcPr>
            <w:tcW w:type="dxa" w:w="3312"/>
          </w:tcPr>
          <w:p>
            <w:r/>
            <w:r>
              <w:rPr>
                <w:b w:val="0"/>
                <w:sz w:val="20"/>
              </w:rPr>
              <w:t>Top customer is 48% of FY2024 revenue</w:t>
            </w:r>
          </w:p>
        </w:tc>
      </w:tr>
    </w:tbl>
    <w:p>
      <w:pPr>
        <w:pStyle w:val="Heading1"/>
      </w:pPr>
      <w:r>
        <w:t>Financial Snapshot</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b/>
                <w:sz w:val="20"/>
              </w:rPr>
              <w:t>Metric</w:t>
            </w:r>
          </w:p>
        </w:tc>
        <w:tc>
          <w:tcPr>
            <w:tcW w:type="dxa" w:w="2484"/>
          </w:tcPr>
          <w:p>
            <w:r/>
            <w:r>
              <w:rPr>
                <w:b/>
                <w:sz w:val="20"/>
              </w:rPr>
              <w:t>FY2022</w:t>
            </w:r>
          </w:p>
        </w:tc>
        <w:tc>
          <w:tcPr>
            <w:tcW w:type="dxa" w:w="2484"/>
          </w:tcPr>
          <w:p>
            <w:r/>
            <w:r>
              <w:rPr>
                <w:b/>
                <w:sz w:val="20"/>
              </w:rPr>
              <w:t>FY2023</w:t>
            </w:r>
          </w:p>
        </w:tc>
        <w:tc>
          <w:tcPr>
            <w:tcW w:type="dxa" w:w="2484"/>
          </w:tcPr>
          <w:p>
            <w:r/>
            <w:r>
              <w:rPr>
                <w:b/>
                <w:sz w:val="20"/>
              </w:rPr>
              <w:t>FY2024</w:t>
            </w:r>
          </w:p>
        </w:tc>
      </w:tr>
      <w:tr>
        <w:tc>
          <w:tcPr>
            <w:tcW w:type="dxa" w:w="2484"/>
          </w:tcPr>
          <w:p>
            <w:r/>
            <w:r>
              <w:rPr>
                <w:b/>
                <w:sz w:val="20"/>
              </w:rPr>
              <w:t>Revenue</w:t>
            </w:r>
          </w:p>
        </w:tc>
        <w:tc>
          <w:tcPr>
            <w:tcW w:type="dxa" w:w="2484"/>
          </w:tcPr>
          <w:p>
            <w:r/>
            <w:r>
              <w:rPr>
                <w:b w:val="0"/>
                <w:sz w:val="20"/>
              </w:rPr>
              <w:t>$4,100,000</w:t>
            </w:r>
          </w:p>
        </w:tc>
        <w:tc>
          <w:tcPr>
            <w:tcW w:type="dxa" w:w="2484"/>
          </w:tcPr>
          <w:p>
            <w:r/>
            <w:r>
              <w:rPr>
                <w:b w:val="0"/>
                <w:sz w:val="20"/>
              </w:rPr>
              <w:t>$4,520,000</w:t>
            </w:r>
          </w:p>
        </w:tc>
        <w:tc>
          <w:tcPr>
            <w:tcW w:type="dxa" w:w="2484"/>
          </w:tcPr>
          <w:p>
            <w:r/>
            <w:r>
              <w:rPr>
                <w:b w:val="0"/>
                <w:sz w:val="20"/>
              </w:rPr>
              <w:t>$4,950,000</w:t>
            </w:r>
          </w:p>
        </w:tc>
      </w:tr>
      <w:tr>
        <w:tc>
          <w:tcPr>
            <w:tcW w:type="dxa" w:w="2484"/>
          </w:tcPr>
          <w:p>
            <w:r/>
            <w:r>
              <w:rPr>
                <w:b/>
                <w:sz w:val="20"/>
              </w:rPr>
              <w:t>Gross margin</w:t>
            </w:r>
          </w:p>
        </w:tc>
        <w:tc>
          <w:tcPr>
            <w:tcW w:type="dxa" w:w="2484"/>
          </w:tcPr>
          <w:p>
            <w:r/>
            <w:r>
              <w:rPr>
                <w:b w:val="0"/>
                <w:sz w:val="20"/>
              </w:rPr>
              <w:t>37.0%</w:t>
            </w:r>
          </w:p>
        </w:tc>
        <w:tc>
          <w:tcPr>
            <w:tcW w:type="dxa" w:w="2484"/>
          </w:tcPr>
          <w:p>
            <w:r/>
            <w:r>
              <w:rPr>
                <w:b w:val="0"/>
                <w:sz w:val="20"/>
              </w:rPr>
              <w:t>38.0%</w:t>
            </w:r>
          </w:p>
        </w:tc>
        <w:tc>
          <w:tcPr>
            <w:tcW w:type="dxa" w:w="2484"/>
          </w:tcPr>
          <w:p>
            <w:r/>
            <w:r>
              <w:rPr>
                <w:b w:val="0"/>
                <w:sz w:val="20"/>
              </w:rPr>
              <w:t>48.0%</w:t>
            </w:r>
          </w:p>
        </w:tc>
      </w:tr>
      <w:tr>
        <w:tc>
          <w:tcPr>
            <w:tcW w:type="dxa" w:w="2484"/>
          </w:tcPr>
          <w:p>
            <w:r/>
            <w:r>
              <w:rPr>
                <w:b/>
                <w:sz w:val="20"/>
              </w:rPr>
              <w:t>EBITDA</w:t>
            </w:r>
          </w:p>
        </w:tc>
        <w:tc>
          <w:tcPr>
            <w:tcW w:type="dxa" w:w="2484"/>
          </w:tcPr>
          <w:p>
            <w:r/>
            <w:r>
              <w:rPr>
                <w:b w:val="0"/>
                <w:sz w:val="20"/>
              </w:rPr>
              <w:t>$579,500</w:t>
            </w:r>
          </w:p>
        </w:tc>
        <w:tc>
          <w:tcPr>
            <w:tcW w:type="dxa" w:w="2484"/>
          </w:tcPr>
          <w:p>
            <w:r/>
            <w:r>
              <w:rPr>
                <w:b w:val="0"/>
                <w:sz w:val="20"/>
              </w:rPr>
              <w:t>$608,400</w:t>
            </w:r>
          </w:p>
        </w:tc>
        <w:tc>
          <w:tcPr>
            <w:tcW w:type="dxa" w:w="2484"/>
          </w:tcPr>
          <w:p>
            <w:r/>
            <w:r>
              <w:rPr>
                <w:b w:val="0"/>
                <w:sz w:val="20"/>
              </w:rPr>
              <w:t>$1,103,250</w:t>
            </w:r>
          </w:p>
        </w:tc>
      </w:tr>
      <w:tr>
        <w:tc>
          <w:tcPr>
            <w:tcW w:type="dxa" w:w="2484"/>
          </w:tcPr>
          <w:p>
            <w:r/>
            <w:r>
              <w:rPr>
                <w:b/>
                <w:sz w:val="20"/>
              </w:rPr>
              <w:t>EBITDA margin</w:t>
            </w:r>
          </w:p>
        </w:tc>
        <w:tc>
          <w:tcPr>
            <w:tcW w:type="dxa" w:w="2484"/>
          </w:tcPr>
          <w:p>
            <w:r/>
            <w:r>
              <w:rPr>
                <w:b w:val="0"/>
                <w:sz w:val="20"/>
              </w:rPr>
              <w:t>14.1%</w:t>
            </w:r>
          </w:p>
        </w:tc>
        <w:tc>
          <w:tcPr>
            <w:tcW w:type="dxa" w:w="2484"/>
          </w:tcPr>
          <w:p>
            <w:r/>
            <w:r>
              <w:rPr>
                <w:b w:val="0"/>
                <w:sz w:val="20"/>
              </w:rPr>
              <w:t>13.5%</w:t>
            </w:r>
          </w:p>
        </w:tc>
        <w:tc>
          <w:tcPr>
            <w:tcW w:type="dxa" w:w="2484"/>
          </w:tcPr>
          <w:p>
            <w:r/>
            <w:r>
              <w:rPr>
                <w:b w:val="0"/>
                <w:sz w:val="20"/>
              </w:rPr>
              <w:t>22.3%</w:t>
            </w:r>
          </w:p>
        </w:tc>
      </w:tr>
      <w:tr>
        <w:tc>
          <w:tcPr>
            <w:tcW w:type="dxa" w:w="2484"/>
          </w:tcPr>
          <w:p>
            <w:r/>
            <w:r>
              <w:rPr>
                <w:b/>
                <w:sz w:val="20"/>
              </w:rPr>
              <w:t>Adjusted EBITDA</w:t>
            </w:r>
          </w:p>
        </w:tc>
        <w:tc>
          <w:tcPr>
            <w:tcW w:type="dxa" w:w="2484"/>
          </w:tcPr>
          <w:p>
            <w:r/>
            <w:r>
              <w:rPr>
                <w:b w:val="0"/>
                <w:sz w:val="20"/>
              </w:rPr>
              <w:t>$604,500</w:t>
            </w:r>
          </w:p>
        </w:tc>
        <w:tc>
          <w:tcPr>
            <w:tcW w:type="dxa" w:w="2484"/>
          </w:tcPr>
          <w:p>
            <w:r/>
            <w:r>
              <w:rPr>
                <w:b w:val="0"/>
                <w:sz w:val="20"/>
              </w:rPr>
              <w:t>$638,400</w:t>
            </w:r>
          </w:p>
        </w:tc>
        <w:tc>
          <w:tcPr>
            <w:tcW w:type="dxa" w:w="2484"/>
          </w:tcPr>
          <w:p>
            <w:r/>
            <w:r>
              <w:rPr>
                <w:b w:val="0"/>
                <w:sz w:val="20"/>
              </w:rPr>
              <w:t>$1,138,250</w:t>
            </w:r>
          </w:p>
        </w:tc>
      </w:tr>
      <w:tr>
        <w:tc>
          <w:tcPr>
            <w:tcW w:type="dxa" w:w="2484"/>
          </w:tcPr>
          <w:p>
            <w:r/>
            <w:r>
              <w:rPr>
                <w:b/>
                <w:sz w:val="20"/>
              </w:rPr>
              <w:t>Adjusted EBITDA margin</w:t>
            </w:r>
          </w:p>
        </w:tc>
        <w:tc>
          <w:tcPr>
            <w:tcW w:type="dxa" w:w="2484"/>
          </w:tcPr>
          <w:p>
            <w:r/>
            <w:r>
              <w:rPr>
                <w:b w:val="0"/>
                <w:sz w:val="20"/>
              </w:rPr>
              <w:t>14.7%</w:t>
            </w:r>
          </w:p>
        </w:tc>
        <w:tc>
          <w:tcPr>
            <w:tcW w:type="dxa" w:w="2484"/>
          </w:tcPr>
          <w:p>
            <w:r/>
            <w:r>
              <w:rPr>
                <w:b w:val="0"/>
                <w:sz w:val="20"/>
              </w:rPr>
              <w:t>14.1%</w:t>
            </w:r>
          </w:p>
        </w:tc>
        <w:tc>
          <w:tcPr>
            <w:tcW w:type="dxa" w:w="2484"/>
          </w:tcPr>
          <w:p>
            <w:r/>
            <w:r>
              <w:rPr>
                <w:b w:val="0"/>
                <w:sz w:val="20"/>
              </w:rPr>
              <w:t>23.0%</w:t>
            </w:r>
          </w:p>
        </w:tc>
      </w:tr>
      <w:tr>
        <w:tc>
          <w:tcPr>
            <w:tcW w:type="dxa" w:w="2484"/>
          </w:tcPr>
          <w:p>
            <w:r/>
            <w:r>
              <w:rPr>
                <w:b/>
                <w:sz w:val="20"/>
              </w:rPr>
              <w:t>Net income</w:t>
            </w:r>
          </w:p>
        </w:tc>
        <w:tc>
          <w:tcPr>
            <w:tcW w:type="dxa" w:w="2484"/>
          </w:tcPr>
          <w:p>
            <w:r/>
            <w:r>
              <w:rPr>
                <w:b w:val="0"/>
                <w:sz w:val="20"/>
              </w:rPr>
              <w:t>$512,400</w:t>
            </w:r>
          </w:p>
        </w:tc>
        <w:tc>
          <w:tcPr>
            <w:tcW w:type="dxa" w:w="2484"/>
          </w:tcPr>
          <w:p>
            <w:r/>
            <w:r>
              <w:rPr>
                <w:b w:val="0"/>
                <w:sz w:val="20"/>
              </w:rPr>
              <w:t>$542,880</w:t>
            </w:r>
          </w:p>
        </w:tc>
        <w:tc>
          <w:tcPr>
            <w:tcW w:type="dxa" w:w="2484"/>
          </w:tcPr>
          <w:p>
            <w:r/>
            <w:r>
              <w:rPr>
                <w:b w:val="0"/>
                <w:sz w:val="20"/>
              </w:rPr>
              <w:t>$1,038,300</w:t>
            </w:r>
          </w:p>
        </w:tc>
      </w:tr>
      <w:tr>
        <w:tc>
          <w:tcPr>
            <w:tcW w:type="dxa" w:w="2484"/>
          </w:tcPr>
          <w:p>
            <w:r/>
            <w:r>
              <w:rPr>
                <w:b/>
                <w:sz w:val="20"/>
              </w:rPr>
              <w:t>Working capital</w:t>
            </w:r>
          </w:p>
        </w:tc>
        <w:tc>
          <w:tcPr>
            <w:tcW w:type="dxa" w:w="2484"/>
          </w:tcPr>
          <w:p>
            <w:r/>
            <w:r>
              <w:rPr>
                <w:b w:val="0"/>
                <w:sz w:val="20"/>
              </w:rPr>
              <w:t>$370,473</w:t>
            </w:r>
          </w:p>
        </w:tc>
        <w:tc>
          <w:tcPr>
            <w:tcW w:type="dxa" w:w="2484"/>
          </w:tcPr>
          <w:p>
            <w:r/>
            <w:r>
              <w:rPr>
                <w:b w:val="0"/>
                <w:sz w:val="20"/>
              </w:rPr>
              <w:t>$497,108</w:t>
            </w:r>
          </w:p>
        </w:tc>
        <w:tc>
          <w:tcPr>
            <w:tcW w:type="dxa" w:w="2484"/>
          </w:tcPr>
          <w:p>
            <w:r/>
            <w:r>
              <w:rPr>
                <w:b w:val="0"/>
                <w:sz w:val="20"/>
              </w:rPr>
              <w:t>$744,443</w:t>
            </w:r>
          </w:p>
        </w:tc>
      </w:tr>
      <w:tr>
        <w:tc>
          <w:tcPr>
            <w:tcW w:type="dxa" w:w="2484"/>
          </w:tcPr>
          <w:p>
            <w:r/>
            <w:r>
              <w:rPr>
                <w:b/>
                <w:sz w:val="20"/>
              </w:rPr>
              <w:t>Operating working capital</w:t>
            </w:r>
          </w:p>
        </w:tc>
        <w:tc>
          <w:tcPr>
            <w:tcW w:type="dxa" w:w="2484"/>
          </w:tcPr>
          <w:p>
            <w:r/>
            <w:r>
              <w:rPr>
                <w:b w:val="0"/>
                <w:sz w:val="20"/>
              </w:rPr>
              <w:t>$201,473</w:t>
            </w:r>
          </w:p>
        </w:tc>
        <w:tc>
          <w:tcPr>
            <w:tcW w:type="dxa" w:w="2484"/>
          </w:tcPr>
          <w:p>
            <w:r/>
            <w:r>
              <w:rPr>
                <w:b w:val="0"/>
                <w:sz w:val="20"/>
              </w:rPr>
              <w:t>$342,108</w:t>
            </w:r>
          </w:p>
        </w:tc>
        <w:tc>
          <w:tcPr>
            <w:tcW w:type="dxa" w:w="2484"/>
          </w:tcPr>
          <w:p>
            <w:r/>
            <w:r>
              <w:rPr>
                <w:b w:val="0"/>
                <w:sz w:val="20"/>
              </w:rPr>
              <w:t>$627,443</w:t>
            </w:r>
          </w:p>
        </w:tc>
      </w:tr>
      <w:tr>
        <w:tc>
          <w:tcPr>
            <w:tcW w:type="dxa" w:w="2484"/>
          </w:tcPr>
          <w:p>
            <w:r/>
            <w:r>
              <w:rPr>
                <w:b/>
                <w:sz w:val="20"/>
              </w:rPr>
              <w:t>Current ratio</w:t>
            </w:r>
          </w:p>
        </w:tc>
        <w:tc>
          <w:tcPr>
            <w:tcW w:type="dxa" w:w="2484"/>
          </w:tcPr>
          <w:p>
            <w:r/>
            <w:r>
              <w:rPr>
                <w:b w:val="0"/>
                <w:sz w:val="20"/>
              </w:rPr>
              <w:t>2.28x</w:t>
            </w:r>
          </w:p>
        </w:tc>
        <w:tc>
          <w:tcPr>
            <w:tcW w:type="dxa" w:w="2484"/>
          </w:tcPr>
          <w:p>
            <w:r/>
            <w:r>
              <w:rPr>
                <w:b w:val="0"/>
                <w:sz w:val="20"/>
              </w:rPr>
              <w:t>2.51x</w:t>
            </w:r>
          </w:p>
        </w:tc>
        <w:tc>
          <w:tcPr>
            <w:tcW w:type="dxa" w:w="2484"/>
          </w:tcPr>
          <w:p>
            <w:r/>
            <w:r>
              <w:rPr>
                <w:b w:val="0"/>
                <w:sz w:val="20"/>
              </w:rPr>
              <w:t>2.27x</w:t>
            </w:r>
          </w:p>
        </w:tc>
      </w:tr>
      <w:tr>
        <w:tc>
          <w:tcPr>
            <w:tcW w:type="dxa" w:w="2484"/>
          </w:tcPr>
          <w:p>
            <w:r/>
            <w:r>
              <w:rPr>
                <w:b/>
                <w:sz w:val="20"/>
              </w:rPr>
              <w:t>DSCR (Adj. EBITDA basis)</w:t>
            </w:r>
          </w:p>
        </w:tc>
        <w:tc>
          <w:tcPr>
            <w:tcW w:type="dxa" w:w="2484"/>
          </w:tcPr>
          <w:p>
            <w:r/>
            <w:r>
              <w:rPr>
                <w:b w:val="0"/>
                <w:sz w:val="20"/>
              </w:rPr>
              <w:t>8.64x</w:t>
            </w:r>
          </w:p>
        </w:tc>
        <w:tc>
          <w:tcPr>
            <w:tcW w:type="dxa" w:w="2484"/>
          </w:tcPr>
          <w:p>
            <w:r/>
            <w:r>
              <w:rPr>
                <w:b w:val="0"/>
                <w:sz w:val="20"/>
              </w:rPr>
              <w:t>9.53x</w:t>
            </w:r>
          </w:p>
        </w:tc>
        <w:tc>
          <w:tcPr>
            <w:tcW w:type="dxa" w:w="2484"/>
          </w:tcPr>
          <w:p>
            <w:r/>
            <w:r>
              <w:rPr>
                <w:b w:val="0"/>
                <w:sz w:val="20"/>
              </w:rPr>
              <w:t>17.79x</w:t>
            </w:r>
          </w:p>
        </w:tc>
      </w:tr>
    </w:tbl>
    <w:p>
      <w:pPr>
        <w:pStyle w:val="Heading1"/>
      </w:pPr>
      <w:r>
        <w:t>Quality-of-Earnings Addback Worksheet</w:t>
      </w:r>
    </w:p>
    <w:p>
      <w:r>
        <w:t>Adjusted EBITDA below reflects only the addbacks with a documented, itemized rationale. Related-party expense is intentionally excluded from this worksheet and handled instead as a flag requiring verification -- see Flag Summary.</w:t>
      </w:r>
    </w:p>
    <w:p>
      <w:pPr>
        <w:pStyle w:val="Heading2"/>
      </w:pPr>
      <w:r>
        <w:t>FY2022</w:t>
      </w:r>
    </w:p>
    <w:tbl>
      <w:tblPr>
        <w:tblStyle w:val="LightList-Accent1"/>
        <w:tblW w:type="auto" w:w="0"/>
        <w:tblLook w:firstColumn="1" w:firstRow="1" w:lastColumn="0" w:lastRow="0" w:noHBand="0" w:noVBand="1" w:val="04A0"/>
      </w:tblPr>
      <w:tblGrid>
        <w:gridCol w:w="3312"/>
        <w:gridCol w:w="3312"/>
        <w:gridCol w:w="3312"/>
      </w:tblGrid>
      <w:tr>
        <w:tc>
          <w:tcPr>
            <w:tcW w:type="dxa" w:w="3312"/>
          </w:tcPr>
          <w:p>
            <w:r/>
            <w:r>
              <w:rPr>
                <w:b/>
                <w:sz w:val="20"/>
              </w:rPr>
              <w:t>Line</w:t>
            </w:r>
          </w:p>
        </w:tc>
        <w:tc>
          <w:tcPr>
            <w:tcW w:type="dxa" w:w="3312"/>
          </w:tcPr>
          <w:p>
            <w:r/>
            <w:r>
              <w:rPr>
                <w:b/>
                <w:sz w:val="20"/>
              </w:rPr>
              <w:t>Amount</w:t>
            </w:r>
          </w:p>
        </w:tc>
        <w:tc>
          <w:tcPr>
            <w:tcW w:type="dxa" w:w="3312"/>
          </w:tcPr>
          <w:p>
            <w:r/>
            <w:r>
              <w:rPr>
                <w:b/>
                <w:sz w:val="20"/>
              </w:rPr>
              <w:t>Confidence / Rationale</w:t>
            </w:r>
          </w:p>
        </w:tc>
      </w:tr>
      <w:tr>
        <w:tc>
          <w:tcPr>
            <w:tcW w:type="dxa" w:w="3312"/>
          </w:tcPr>
          <w:p>
            <w:r/>
            <w:r>
              <w:rPr>
                <w:b/>
                <w:sz w:val="20"/>
              </w:rPr>
              <w:t>EBITDA</w:t>
            </w:r>
          </w:p>
        </w:tc>
        <w:tc>
          <w:tcPr>
            <w:tcW w:type="dxa" w:w="3312"/>
          </w:tcPr>
          <w:p>
            <w:r/>
            <w:r>
              <w:rPr>
                <w:b/>
                <w:sz w:val="20"/>
              </w:rPr>
              <w:t>$579,500</w:t>
            </w:r>
          </w:p>
        </w:tc>
        <w:tc>
          <w:tcPr>
            <w:tcW w:type="dxa" w:w="3312"/>
          </w:tcPr>
          <w:p>
            <w:r/>
            <w:r>
              <w:rPr>
                <w:b w:val="0"/>
                <w:sz w:val="20"/>
              </w:rPr>
              <w:t>Net income + interest + tax + D&amp;A</w:t>
            </w:r>
          </w:p>
        </w:tc>
      </w:tr>
      <w:tr>
        <w:tc>
          <w:tcPr>
            <w:tcW w:type="dxa" w:w="3312"/>
          </w:tcPr>
          <w:p>
            <w:r/>
            <w:r>
              <w:rPr>
                <w:b w:val="0"/>
                <w:sz w:val="20"/>
              </w:rPr>
              <w:t>Owner/officer compensation above market replacement rate</w:t>
            </w:r>
          </w:p>
        </w:tc>
        <w:tc>
          <w:tcPr>
            <w:tcW w:type="dxa" w:w="3312"/>
          </w:tcPr>
          <w:p>
            <w:r/>
            <w:r>
              <w:rPr>
                <w:b w:val="0"/>
                <w:sz w:val="20"/>
              </w:rPr>
              <w:t>$25,000</w:t>
            </w:r>
          </w:p>
        </w:tc>
        <w:tc>
          <w:tcPr>
            <w:tcW w:type="dxa" w:w="3312"/>
          </w:tcPr>
          <w:p>
            <w:r/>
            <w:r>
              <w:rPr>
                <w:b w:val="0"/>
                <w:sz w:val="18"/>
              </w:rPr>
              <w:t>[requires verification] Owner compensation of $145,000 exceeds the assumed market replacement rate of $120,000 by $25,000. Addback assumes a new operator would be paid at market rate; confirm against a role-specific compensation benchmark before relying on this number.</w:t>
            </w:r>
          </w:p>
        </w:tc>
      </w:tr>
      <w:tr>
        <w:tc>
          <w:tcPr>
            <w:tcW w:type="dxa" w:w="3312"/>
          </w:tcPr>
          <w:p>
            <w:r/>
            <w:r>
              <w:rPr>
                <w:b/>
                <w:sz w:val="20"/>
              </w:rPr>
              <w:t>Adjusted EBITDA</w:t>
            </w:r>
          </w:p>
        </w:tc>
        <w:tc>
          <w:tcPr>
            <w:tcW w:type="dxa" w:w="3312"/>
          </w:tcPr>
          <w:p>
            <w:r/>
            <w:r>
              <w:rPr>
                <w:b/>
                <w:sz w:val="20"/>
              </w:rPr>
              <w:t>$604,500</w:t>
            </w:r>
          </w:p>
        </w:tc>
        <w:tc>
          <w:tcPr>
            <w:tcW w:type="dxa" w:w="3312"/>
          </w:tcPr>
          <w:p>
            <w:r/>
            <w:r>
              <w:rPr>
                <w:b w:val="0"/>
                <w:sz w:val="20"/>
              </w:rPr>
              <w:t>Adjusted EBITDA margin: 14.7%</w:t>
            </w:r>
          </w:p>
        </w:tc>
      </w:tr>
    </w:tbl>
    <w:p>
      <w:pPr>
        <w:pStyle w:val="Heading2"/>
      </w:pPr>
      <w:r>
        <w:t>FY2023</w:t>
      </w:r>
    </w:p>
    <w:tbl>
      <w:tblPr>
        <w:tblStyle w:val="LightList-Accent1"/>
        <w:tblW w:type="auto" w:w="0"/>
        <w:tblLook w:firstColumn="1" w:firstRow="1" w:lastColumn="0" w:lastRow="0" w:noHBand="0" w:noVBand="1" w:val="04A0"/>
      </w:tblPr>
      <w:tblGrid>
        <w:gridCol w:w="3312"/>
        <w:gridCol w:w="3312"/>
        <w:gridCol w:w="3312"/>
      </w:tblGrid>
      <w:tr>
        <w:tc>
          <w:tcPr>
            <w:tcW w:type="dxa" w:w="3312"/>
          </w:tcPr>
          <w:p>
            <w:r/>
            <w:r>
              <w:rPr>
                <w:b/>
                <w:sz w:val="20"/>
              </w:rPr>
              <w:t>Line</w:t>
            </w:r>
          </w:p>
        </w:tc>
        <w:tc>
          <w:tcPr>
            <w:tcW w:type="dxa" w:w="3312"/>
          </w:tcPr>
          <w:p>
            <w:r/>
            <w:r>
              <w:rPr>
                <w:b/>
                <w:sz w:val="20"/>
              </w:rPr>
              <w:t>Amount</w:t>
            </w:r>
          </w:p>
        </w:tc>
        <w:tc>
          <w:tcPr>
            <w:tcW w:type="dxa" w:w="3312"/>
          </w:tcPr>
          <w:p>
            <w:r/>
            <w:r>
              <w:rPr>
                <w:b/>
                <w:sz w:val="20"/>
              </w:rPr>
              <w:t>Confidence / Rationale</w:t>
            </w:r>
          </w:p>
        </w:tc>
      </w:tr>
      <w:tr>
        <w:tc>
          <w:tcPr>
            <w:tcW w:type="dxa" w:w="3312"/>
          </w:tcPr>
          <w:p>
            <w:r/>
            <w:r>
              <w:rPr>
                <w:b/>
                <w:sz w:val="20"/>
              </w:rPr>
              <w:t>EBITDA</w:t>
            </w:r>
          </w:p>
        </w:tc>
        <w:tc>
          <w:tcPr>
            <w:tcW w:type="dxa" w:w="3312"/>
          </w:tcPr>
          <w:p>
            <w:r/>
            <w:r>
              <w:rPr>
                <w:b/>
                <w:sz w:val="20"/>
              </w:rPr>
              <w:t>$608,400</w:t>
            </w:r>
          </w:p>
        </w:tc>
        <w:tc>
          <w:tcPr>
            <w:tcW w:type="dxa" w:w="3312"/>
          </w:tcPr>
          <w:p>
            <w:r/>
            <w:r>
              <w:rPr>
                <w:b w:val="0"/>
                <w:sz w:val="20"/>
              </w:rPr>
              <w:t>Net income + interest + tax + D&amp;A</w:t>
            </w:r>
          </w:p>
        </w:tc>
      </w:tr>
      <w:tr>
        <w:tc>
          <w:tcPr>
            <w:tcW w:type="dxa" w:w="3312"/>
          </w:tcPr>
          <w:p>
            <w:r/>
            <w:r>
              <w:rPr>
                <w:b w:val="0"/>
                <w:sz w:val="20"/>
              </w:rPr>
              <w:t>Owner/officer compensation above market replacement rate</w:t>
            </w:r>
          </w:p>
        </w:tc>
        <w:tc>
          <w:tcPr>
            <w:tcW w:type="dxa" w:w="3312"/>
          </w:tcPr>
          <w:p>
            <w:r/>
            <w:r>
              <w:rPr>
                <w:b w:val="0"/>
                <w:sz w:val="20"/>
              </w:rPr>
              <w:t>$30,000</w:t>
            </w:r>
          </w:p>
        </w:tc>
        <w:tc>
          <w:tcPr>
            <w:tcW w:type="dxa" w:w="3312"/>
          </w:tcPr>
          <w:p>
            <w:r/>
            <w:r>
              <w:rPr>
                <w:b w:val="0"/>
                <w:sz w:val="18"/>
              </w:rPr>
              <w:t>[requires verification] Owner compensation of $150,000 exceeds the assumed market replacement rate of $120,000 by $30,000. Addback assumes a new operator would be paid at market rate; confirm against a role-specific compensation benchmark before relying on this number.</w:t>
            </w:r>
          </w:p>
        </w:tc>
      </w:tr>
      <w:tr>
        <w:tc>
          <w:tcPr>
            <w:tcW w:type="dxa" w:w="3312"/>
          </w:tcPr>
          <w:p>
            <w:r/>
            <w:r>
              <w:rPr>
                <w:b/>
                <w:sz w:val="20"/>
              </w:rPr>
              <w:t>Adjusted EBITDA</w:t>
            </w:r>
          </w:p>
        </w:tc>
        <w:tc>
          <w:tcPr>
            <w:tcW w:type="dxa" w:w="3312"/>
          </w:tcPr>
          <w:p>
            <w:r/>
            <w:r>
              <w:rPr>
                <w:b/>
                <w:sz w:val="20"/>
              </w:rPr>
              <w:t>$638,400</w:t>
            </w:r>
          </w:p>
        </w:tc>
        <w:tc>
          <w:tcPr>
            <w:tcW w:type="dxa" w:w="3312"/>
          </w:tcPr>
          <w:p>
            <w:r/>
            <w:r>
              <w:rPr>
                <w:b w:val="0"/>
                <w:sz w:val="20"/>
              </w:rPr>
              <w:t>Adjusted EBITDA margin: 14.1%</w:t>
            </w:r>
          </w:p>
        </w:tc>
      </w:tr>
    </w:tbl>
    <w:p>
      <w:pPr>
        <w:pStyle w:val="Heading2"/>
      </w:pPr>
      <w:r>
        <w:t>FY2024</w:t>
      </w:r>
    </w:p>
    <w:tbl>
      <w:tblPr>
        <w:tblStyle w:val="LightList-Accent1"/>
        <w:tblW w:type="auto" w:w="0"/>
        <w:tblLook w:firstColumn="1" w:firstRow="1" w:lastColumn="0" w:lastRow="0" w:noHBand="0" w:noVBand="1" w:val="04A0"/>
      </w:tblPr>
      <w:tblGrid>
        <w:gridCol w:w="3312"/>
        <w:gridCol w:w="3312"/>
        <w:gridCol w:w="3312"/>
      </w:tblGrid>
      <w:tr>
        <w:tc>
          <w:tcPr>
            <w:tcW w:type="dxa" w:w="3312"/>
          </w:tcPr>
          <w:p>
            <w:r/>
            <w:r>
              <w:rPr>
                <w:b/>
                <w:sz w:val="20"/>
              </w:rPr>
              <w:t>Line</w:t>
            </w:r>
          </w:p>
        </w:tc>
        <w:tc>
          <w:tcPr>
            <w:tcW w:type="dxa" w:w="3312"/>
          </w:tcPr>
          <w:p>
            <w:r/>
            <w:r>
              <w:rPr>
                <w:b/>
                <w:sz w:val="20"/>
              </w:rPr>
              <w:t>Amount</w:t>
            </w:r>
          </w:p>
        </w:tc>
        <w:tc>
          <w:tcPr>
            <w:tcW w:type="dxa" w:w="3312"/>
          </w:tcPr>
          <w:p>
            <w:r/>
            <w:r>
              <w:rPr>
                <w:b/>
                <w:sz w:val="20"/>
              </w:rPr>
              <w:t>Confidence / Rationale</w:t>
            </w:r>
          </w:p>
        </w:tc>
      </w:tr>
      <w:tr>
        <w:tc>
          <w:tcPr>
            <w:tcW w:type="dxa" w:w="3312"/>
          </w:tcPr>
          <w:p>
            <w:r/>
            <w:r>
              <w:rPr>
                <w:b/>
                <w:sz w:val="20"/>
              </w:rPr>
              <w:t>EBITDA</w:t>
            </w:r>
          </w:p>
        </w:tc>
        <w:tc>
          <w:tcPr>
            <w:tcW w:type="dxa" w:w="3312"/>
          </w:tcPr>
          <w:p>
            <w:r/>
            <w:r>
              <w:rPr>
                <w:b/>
                <w:sz w:val="20"/>
              </w:rPr>
              <w:t>$1,103,250</w:t>
            </w:r>
          </w:p>
        </w:tc>
        <w:tc>
          <w:tcPr>
            <w:tcW w:type="dxa" w:w="3312"/>
          </w:tcPr>
          <w:p>
            <w:r/>
            <w:r>
              <w:rPr>
                <w:b w:val="0"/>
                <w:sz w:val="20"/>
              </w:rPr>
              <w:t>Net income + interest + tax + D&amp;A</w:t>
            </w:r>
          </w:p>
        </w:tc>
      </w:tr>
      <w:tr>
        <w:tc>
          <w:tcPr>
            <w:tcW w:type="dxa" w:w="3312"/>
          </w:tcPr>
          <w:p>
            <w:r/>
            <w:r>
              <w:rPr>
                <w:b w:val="0"/>
                <w:sz w:val="20"/>
              </w:rPr>
              <w:t>Owner/officer compensation above market replacement rate</w:t>
            </w:r>
          </w:p>
        </w:tc>
        <w:tc>
          <w:tcPr>
            <w:tcW w:type="dxa" w:w="3312"/>
          </w:tcPr>
          <w:p>
            <w:r/>
            <w:r>
              <w:rPr>
                <w:b w:val="0"/>
                <w:sz w:val="20"/>
              </w:rPr>
              <w:t>$35,000</w:t>
            </w:r>
          </w:p>
        </w:tc>
        <w:tc>
          <w:tcPr>
            <w:tcW w:type="dxa" w:w="3312"/>
          </w:tcPr>
          <w:p>
            <w:r/>
            <w:r>
              <w:rPr>
                <w:b w:val="0"/>
                <w:sz w:val="18"/>
              </w:rPr>
              <w:t>[requires verification] Owner compensation of $155,000 exceeds the assumed market replacement rate of $120,000 by $35,000. Addback assumes a new operator would be paid at market rate; confirm against a role-specific compensation benchmark before relying on this number.</w:t>
            </w:r>
          </w:p>
        </w:tc>
      </w:tr>
      <w:tr>
        <w:tc>
          <w:tcPr>
            <w:tcW w:type="dxa" w:w="3312"/>
          </w:tcPr>
          <w:p>
            <w:r/>
            <w:r>
              <w:rPr>
                <w:b/>
                <w:sz w:val="20"/>
              </w:rPr>
              <w:t>Adjusted EBITDA</w:t>
            </w:r>
          </w:p>
        </w:tc>
        <w:tc>
          <w:tcPr>
            <w:tcW w:type="dxa" w:w="3312"/>
          </w:tcPr>
          <w:p>
            <w:r/>
            <w:r>
              <w:rPr>
                <w:b/>
                <w:sz w:val="20"/>
              </w:rPr>
              <w:t>$1,138,250</w:t>
            </w:r>
          </w:p>
        </w:tc>
        <w:tc>
          <w:tcPr>
            <w:tcW w:type="dxa" w:w="3312"/>
          </w:tcPr>
          <w:p>
            <w:r/>
            <w:r>
              <w:rPr>
                <w:b w:val="0"/>
                <w:sz w:val="20"/>
              </w:rPr>
              <w:t>Adjusted EBITDA margin: 23.0%</w:t>
            </w:r>
          </w:p>
        </w:tc>
      </w:tr>
    </w:tbl>
    <w:p>
      <w:pPr>
        <w:pStyle w:val="Heading1"/>
      </w:pPr>
      <w:r>
        <w:t>Anomaly Detail</w:t>
      </w:r>
    </w:p>
    <w:p>
      <w:pPr>
        <w:pStyle w:val="Heading2"/>
      </w:pPr>
      <w:r>
        <w:rPr>
          <w:color w:val="C03030"/>
        </w:rPr>
        <w:t>RED — Receivables growing faster than revenue, FY2022→FY2023</w:t>
      </w:r>
    </w:p>
    <w:p>
      <w:r>
        <w:t>Accounts receivable grew 98% while revenue grew 10% from FY2022 to FY2023, a gap of 88 points. Days sales outstanding moved from 10 to 18. Confirm collections activity and test a sample of invoices dated late in the period against cash receipts before accepting reported revenue at face value.</w:t>
      </w:r>
    </w:p>
    <w:tbl>
      <w:tblPr>
        <w:tblStyle w:val="LightList"/>
        <w:tblW w:type="auto" w:w="0"/>
        <w:tblLook w:firstColumn="1" w:firstRow="1" w:lastColumn="0" w:lastRow="0" w:noHBand="0" w:noVBand="1" w:val="04A0"/>
      </w:tblPr>
      <w:tblGrid>
        <w:gridCol w:w="4968"/>
        <w:gridCol w:w="4968"/>
      </w:tblGrid>
      <w:tr>
        <w:tc>
          <w:tcPr>
            <w:tcW w:type="dxa" w:w="4968"/>
          </w:tcPr>
          <w:p>
            <w:r/>
            <w:r>
              <w:rPr>
                <w:b/>
                <w:sz w:val="18"/>
              </w:rPr>
              <w:t>fiscal years</w:t>
            </w:r>
          </w:p>
        </w:tc>
        <w:tc>
          <w:tcPr>
            <w:tcW w:type="dxa" w:w="4968"/>
          </w:tcPr>
          <w:p>
            <w:r/>
            <w:r>
              <w:rPr>
                <w:b w:val="0"/>
                <w:sz w:val="18"/>
              </w:rPr>
              <w:t>FY2022→FY2023</w:t>
            </w:r>
          </w:p>
        </w:tc>
      </w:tr>
      <w:tr>
        <w:tc>
          <w:tcPr>
            <w:tcW w:type="dxa" w:w="4968"/>
          </w:tcPr>
          <w:p>
            <w:r/>
            <w:r>
              <w:rPr>
                <w:b/>
                <w:sz w:val="18"/>
              </w:rPr>
              <w:t>revenue growth pct</w:t>
            </w:r>
          </w:p>
        </w:tc>
        <w:tc>
          <w:tcPr>
            <w:tcW w:type="dxa" w:w="4968"/>
          </w:tcPr>
          <w:p>
            <w:r/>
            <w:r>
              <w:rPr>
                <w:b w:val="0"/>
                <w:sz w:val="18"/>
              </w:rPr>
              <w:t>10.2</w:t>
            </w:r>
          </w:p>
        </w:tc>
      </w:tr>
      <w:tr>
        <w:tc>
          <w:tcPr>
            <w:tcW w:type="dxa" w:w="4968"/>
          </w:tcPr>
          <w:p>
            <w:r/>
            <w:r>
              <w:rPr>
                <w:b/>
                <w:sz w:val="18"/>
              </w:rPr>
              <w:t>ar growth pct</w:t>
            </w:r>
          </w:p>
        </w:tc>
        <w:tc>
          <w:tcPr>
            <w:tcW w:type="dxa" w:w="4968"/>
          </w:tcPr>
          <w:p>
            <w:r/>
            <w:r>
              <w:rPr>
                <w:b w:val="0"/>
                <w:sz w:val="18"/>
              </w:rPr>
              <w:t>98.4</w:t>
            </w:r>
          </w:p>
        </w:tc>
      </w:tr>
      <w:tr>
        <w:tc>
          <w:tcPr>
            <w:tcW w:type="dxa" w:w="4968"/>
          </w:tcPr>
          <w:p>
            <w:r/>
            <w:r>
              <w:rPr>
                <w:b/>
                <w:sz w:val="18"/>
              </w:rPr>
              <w:t>gap points</w:t>
            </w:r>
          </w:p>
        </w:tc>
        <w:tc>
          <w:tcPr>
            <w:tcW w:type="dxa" w:w="4968"/>
          </w:tcPr>
          <w:p>
            <w:r/>
            <w:r>
              <w:rPr>
                <w:b w:val="0"/>
                <w:sz w:val="18"/>
              </w:rPr>
              <w:t>88.2</w:t>
            </w:r>
          </w:p>
        </w:tc>
      </w:tr>
      <w:tr>
        <w:tc>
          <w:tcPr>
            <w:tcW w:type="dxa" w:w="4968"/>
          </w:tcPr>
          <w:p>
            <w:r/>
            <w:r>
              <w:rPr>
                <w:b/>
                <w:sz w:val="18"/>
              </w:rPr>
              <w:t>dso prior</w:t>
            </w:r>
          </w:p>
        </w:tc>
        <w:tc>
          <w:tcPr>
            <w:tcW w:type="dxa" w:w="4968"/>
          </w:tcPr>
          <w:p>
            <w:r/>
            <w:r>
              <w:rPr>
                <w:b w:val="0"/>
                <w:sz w:val="18"/>
              </w:rPr>
              <w:t>10.0</w:t>
            </w:r>
          </w:p>
        </w:tc>
      </w:tr>
      <w:tr>
        <w:tc>
          <w:tcPr>
            <w:tcW w:type="dxa" w:w="4968"/>
          </w:tcPr>
          <w:p>
            <w:r/>
            <w:r>
              <w:rPr>
                <w:b/>
                <w:sz w:val="18"/>
              </w:rPr>
              <w:t>dso current</w:t>
            </w:r>
          </w:p>
        </w:tc>
        <w:tc>
          <w:tcPr>
            <w:tcW w:type="dxa" w:w="4968"/>
          </w:tcPr>
          <w:p>
            <w:r/>
            <w:r>
              <w:rPr>
                <w:b w:val="0"/>
                <w:sz w:val="18"/>
              </w:rPr>
              <w:t>18.0</w:t>
            </w:r>
          </w:p>
        </w:tc>
      </w:tr>
    </w:tbl>
    <w:p/>
    <w:p>
      <w:pPr>
        <w:pStyle w:val="Heading2"/>
      </w:pPr>
      <w:r>
        <w:rPr>
          <w:color w:val="C03030"/>
        </w:rPr>
        <w:t>RED — Receivables growing faster than revenue, FY2023→FY2024</w:t>
      </w:r>
    </w:p>
    <w:p>
      <w:r>
        <w:t>Accounts receivable grew 113% while revenue grew 10% from FY2023 to FY2024, a gap of 103 points. Days sales outstanding moved from 18 to 35. Confirm collections activity and test a sample of invoices dated late in the period against cash receipts before accepting reported revenue at face value.</w:t>
      </w:r>
    </w:p>
    <w:tbl>
      <w:tblPr>
        <w:tblStyle w:val="LightList"/>
        <w:tblW w:type="auto" w:w="0"/>
        <w:tblLook w:firstColumn="1" w:firstRow="1" w:lastColumn="0" w:lastRow="0" w:noHBand="0" w:noVBand="1" w:val="04A0"/>
      </w:tblPr>
      <w:tblGrid>
        <w:gridCol w:w="4968"/>
        <w:gridCol w:w="4968"/>
      </w:tblGrid>
      <w:tr>
        <w:tc>
          <w:tcPr>
            <w:tcW w:type="dxa" w:w="4968"/>
          </w:tcPr>
          <w:p>
            <w:r/>
            <w:r>
              <w:rPr>
                <w:b/>
                <w:sz w:val="18"/>
              </w:rPr>
              <w:t>fiscal years</w:t>
            </w:r>
          </w:p>
        </w:tc>
        <w:tc>
          <w:tcPr>
            <w:tcW w:type="dxa" w:w="4968"/>
          </w:tcPr>
          <w:p>
            <w:r/>
            <w:r>
              <w:rPr>
                <w:b w:val="0"/>
                <w:sz w:val="18"/>
              </w:rPr>
              <w:t>FY2023→FY2024</w:t>
            </w:r>
          </w:p>
        </w:tc>
      </w:tr>
      <w:tr>
        <w:tc>
          <w:tcPr>
            <w:tcW w:type="dxa" w:w="4968"/>
          </w:tcPr>
          <w:p>
            <w:r/>
            <w:r>
              <w:rPr>
                <w:b/>
                <w:sz w:val="18"/>
              </w:rPr>
              <w:t>revenue growth pct</w:t>
            </w:r>
          </w:p>
        </w:tc>
        <w:tc>
          <w:tcPr>
            <w:tcW w:type="dxa" w:w="4968"/>
          </w:tcPr>
          <w:p>
            <w:r/>
            <w:r>
              <w:rPr>
                <w:b w:val="0"/>
                <w:sz w:val="18"/>
              </w:rPr>
              <w:t>9.5</w:t>
            </w:r>
          </w:p>
        </w:tc>
      </w:tr>
      <w:tr>
        <w:tc>
          <w:tcPr>
            <w:tcW w:type="dxa" w:w="4968"/>
          </w:tcPr>
          <w:p>
            <w:r/>
            <w:r>
              <w:rPr>
                <w:b/>
                <w:sz w:val="18"/>
              </w:rPr>
              <w:t>ar growth pct</w:t>
            </w:r>
          </w:p>
        </w:tc>
        <w:tc>
          <w:tcPr>
            <w:tcW w:type="dxa" w:w="4968"/>
          </w:tcPr>
          <w:p>
            <w:r/>
            <w:r>
              <w:rPr>
                <w:b w:val="0"/>
                <w:sz w:val="18"/>
              </w:rPr>
              <w:t>112.9</w:t>
            </w:r>
          </w:p>
        </w:tc>
      </w:tr>
      <w:tr>
        <w:tc>
          <w:tcPr>
            <w:tcW w:type="dxa" w:w="4968"/>
          </w:tcPr>
          <w:p>
            <w:r/>
            <w:r>
              <w:rPr>
                <w:b/>
                <w:sz w:val="18"/>
              </w:rPr>
              <w:t>gap points</w:t>
            </w:r>
          </w:p>
        </w:tc>
        <w:tc>
          <w:tcPr>
            <w:tcW w:type="dxa" w:w="4968"/>
          </w:tcPr>
          <w:p>
            <w:r/>
            <w:r>
              <w:rPr>
                <w:b w:val="0"/>
                <w:sz w:val="18"/>
              </w:rPr>
              <w:t>103.4</w:t>
            </w:r>
          </w:p>
        </w:tc>
      </w:tr>
      <w:tr>
        <w:tc>
          <w:tcPr>
            <w:tcW w:type="dxa" w:w="4968"/>
          </w:tcPr>
          <w:p>
            <w:r/>
            <w:r>
              <w:rPr>
                <w:b/>
                <w:sz w:val="18"/>
              </w:rPr>
              <w:t>dso prior</w:t>
            </w:r>
          </w:p>
        </w:tc>
        <w:tc>
          <w:tcPr>
            <w:tcW w:type="dxa" w:w="4968"/>
          </w:tcPr>
          <w:p>
            <w:r/>
            <w:r>
              <w:rPr>
                <w:b w:val="0"/>
                <w:sz w:val="18"/>
              </w:rPr>
              <w:t>18.0</w:t>
            </w:r>
          </w:p>
        </w:tc>
      </w:tr>
      <w:tr>
        <w:tc>
          <w:tcPr>
            <w:tcW w:type="dxa" w:w="4968"/>
          </w:tcPr>
          <w:p>
            <w:r/>
            <w:r>
              <w:rPr>
                <w:b/>
                <w:sz w:val="18"/>
              </w:rPr>
              <w:t>dso current</w:t>
            </w:r>
          </w:p>
        </w:tc>
        <w:tc>
          <w:tcPr>
            <w:tcW w:type="dxa" w:w="4968"/>
          </w:tcPr>
          <w:p>
            <w:r/>
            <w:r>
              <w:rPr>
                <w:b w:val="0"/>
                <w:sz w:val="18"/>
              </w:rPr>
              <w:t>35.0</w:t>
            </w:r>
          </w:p>
        </w:tc>
      </w:tr>
    </w:tbl>
    <w:p/>
    <w:p>
      <w:pPr>
        <w:pStyle w:val="Heading2"/>
      </w:pPr>
      <w:r>
        <w:rPr>
          <w:color w:val="C03030"/>
        </w:rPr>
        <w:t>RED — COGS-to-revenue ratio dropped sharply, FY2023→FY2024</w:t>
      </w:r>
    </w:p>
    <w:p>
      <w:r>
        <w:t>Cost of goods sold fell from 62.0% of revenue in FY2023 to 52.0% in FY2024, an improvement of 10.0 points with no documented pricing or sourcing change on file. Gross margin expansion this sharp, right before a sale process, warrants verifying that period-end costs were not deferred or reclassified below the line.</w:t>
      </w:r>
    </w:p>
    <w:tbl>
      <w:tblPr>
        <w:tblStyle w:val="LightList"/>
        <w:tblW w:type="auto" w:w="0"/>
        <w:tblLook w:firstColumn="1" w:firstRow="1" w:lastColumn="0" w:lastRow="0" w:noHBand="0" w:noVBand="1" w:val="04A0"/>
      </w:tblPr>
      <w:tblGrid>
        <w:gridCol w:w="4968"/>
        <w:gridCol w:w="4968"/>
      </w:tblGrid>
      <w:tr>
        <w:tc>
          <w:tcPr>
            <w:tcW w:type="dxa" w:w="4968"/>
          </w:tcPr>
          <w:p>
            <w:r/>
            <w:r>
              <w:rPr>
                <w:b/>
                <w:sz w:val="18"/>
              </w:rPr>
              <w:t>fiscal years</w:t>
            </w:r>
          </w:p>
        </w:tc>
        <w:tc>
          <w:tcPr>
            <w:tcW w:type="dxa" w:w="4968"/>
          </w:tcPr>
          <w:p>
            <w:r/>
            <w:r>
              <w:rPr>
                <w:b w:val="0"/>
                <w:sz w:val="18"/>
              </w:rPr>
              <w:t>FY2023→FY2024</w:t>
            </w:r>
          </w:p>
        </w:tc>
      </w:tr>
      <w:tr>
        <w:tc>
          <w:tcPr>
            <w:tcW w:type="dxa" w:w="4968"/>
          </w:tcPr>
          <w:p>
            <w:r/>
            <w:r>
              <w:rPr>
                <w:b/>
                <w:sz w:val="18"/>
              </w:rPr>
              <w:t>cogs pct prior</w:t>
            </w:r>
          </w:p>
        </w:tc>
        <w:tc>
          <w:tcPr>
            <w:tcW w:type="dxa" w:w="4968"/>
          </w:tcPr>
          <w:p>
            <w:r/>
            <w:r>
              <w:rPr>
                <w:b w:val="0"/>
                <w:sz w:val="18"/>
              </w:rPr>
              <w:t>62.0</w:t>
            </w:r>
          </w:p>
        </w:tc>
      </w:tr>
      <w:tr>
        <w:tc>
          <w:tcPr>
            <w:tcW w:type="dxa" w:w="4968"/>
          </w:tcPr>
          <w:p>
            <w:r/>
            <w:r>
              <w:rPr>
                <w:b/>
                <w:sz w:val="18"/>
              </w:rPr>
              <w:t>cogs pct current</w:t>
            </w:r>
          </w:p>
        </w:tc>
        <w:tc>
          <w:tcPr>
            <w:tcW w:type="dxa" w:w="4968"/>
          </w:tcPr>
          <w:p>
            <w:r/>
            <w:r>
              <w:rPr>
                <w:b w:val="0"/>
                <w:sz w:val="18"/>
              </w:rPr>
              <w:t>52.0</w:t>
            </w:r>
          </w:p>
        </w:tc>
      </w:tr>
      <w:tr>
        <w:tc>
          <w:tcPr>
            <w:tcW w:type="dxa" w:w="4968"/>
          </w:tcPr>
          <w:p>
            <w:r/>
            <w:r>
              <w:rPr>
                <w:b/>
                <w:sz w:val="18"/>
              </w:rPr>
              <w:t>drop points</w:t>
            </w:r>
          </w:p>
        </w:tc>
        <w:tc>
          <w:tcPr>
            <w:tcW w:type="dxa" w:w="4968"/>
          </w:tcPr>
          <w:p>
            <w:r/>
            <w:r>
              <w:rPr>
                <w:b w:val="0"/>
                <w:sz w:val="18"/>
              </w:rPr>
              <w:t>10.0</w:t>
            </w:r>
          </w:p>
        </w:tc>
      </w:tr>
    </w:tbl>
    <w:p/>
    <w:p>
      <w:pPr>
        <w:pStyle w:val="Heading2"/>
      </w:pPr>
      <w:r>
        <w:rPr>
          <w:color w:val="B88600"/>
        </w:rPr>
        <w:t>YELLOW — Related-party expense of $130,000 in FY2023</w:t>
      </w:r>
    </w:p>
    <w:p>
      <w:r>
        <w:t>FY2023 includes $130,000 in related-party expense (2.9% of revenue). This was intentionally left out of the Adjusted EBITDA addback worksheet -- related-party terms may or may not be at arm's length, and assuming they're fully avoidable would overstate normalized earnings. Obtain the underlying agreement and confirm pricing against a market comparable before any addback is considered.</w:t>
      </w:r>
    </w:p>
    <w:tbl>
      <w:tblPr>
        <w:tblStyle w:val="LightList"/>
        <w:tblW w:type="auto" w:w="0"/>
        <w:tblLook w:firstColumn="1" w:firstRow="1" w:lastColumn="0" w:lastRow="0" w:noHBand="0" w:noVBand="1" w:val="04A0"/>
      </w:tblPr>
      <w:tblGrid>
        <w:gridCol w:w="4968"/>
        <w:gridCol w:w="4968"/>
      </w:tblGrid>
      <w:tr>
        <w:tc>
          <w:tcPr>
            <w:tcW w:type="dxa" w:w="4968"/>
          </w:tcPr>
          <w:p>
            <w:r/>
            <w:r>
              <w:rPr>
                <w:b/>
                <w:sz w:val="18"/>
              </w:rPr>
              <w:t>fiscal year</w:t>
            </w:r>
          </w:p>
        </w:tc>
        <w:tc>
          <w:tcPr>
            <w:tcW w:type="dxa" w:w="4968"/>
          </w:tcPr>
          <w:p>
            <w:r/>
            <w:r>
              <w:rPr>
                <w:b w:val="0"/>
                <w:sz w:val="18"/>
              </w:rPr>
              <w:t>2023</w:t>
            </w:r>
          </w:p>
        </w:tc>
      </w:tr>
      <w:tr>
        <w:tc>
          <w:tcPr>
            <w:tcW w:type="dxa" w:w="4968"/>
          </w:tcPr>
          <w:p>
            <w:r/>
            <w:r>
              <w:rPr>
                <w:b/>
                <w:sz w:val="18"/>
              </w:rPr>
              <w:t>related party expense</w:t>
            </w:r>
          </w:p>
        </w:tc>
        <w:tc>
          <w:tcPr>
            <w:tcW w:type="dxa" w:w="4968"/>
          </w:tcPr>
          <w:p>
            <w:r/>
            <w:r>
              <w:rPr>
                <w:b w:val="0"/>
                <w:sz w:val="18"/>
              </w:rPr>
              <w:t>130000.0</w:t>
            </w:r>
          </w:p>
        </w:tc>
      </w:tr>
      <w:tr>
        <w:tc>
          <w:tcPr>
            <w:tcW w:type="dxa" w:w="4968"/>
          </w:tcPr>
          <w:p>
            <w:r/>
            <w:r>
              <w:rPr>
                <w:b/>
                <w:sz w:val="18"/>
              </w:rPr>
              <w:t>pct of revenue</w:t>
            </w:r>
          </w:p>
        </w:tc>
        <w:tc>
          <w:tcPr>
            <w:tcW w:type="dxa" w:w="4968"/>
          </w:tcPr>
          <w:p>
            <w:r/>
            <w:r>
              <w:rPr>
                <w:b w:val="0"/>
                <w:sz w:val="18"/>
              </w:rPr>
              <w:t>2.88</w:t>
            </w:r>
          </w:p>
        </w:tc>
      </w:tr>
    </w:tbl>
    <w:p/>
    <w:p>
      <w:pPr>
        <w:pStyle w:val="Heading2"/>
      </w:pPr>
      <w:r>
        <w:rPr>
          <w:color w:val="C03030"/>
        </w:rPr>
        <w:t>RED — Related-party expense of $210,000 in FY2024</w:t>
      </w:r>
    </w:p>
    <w:p>
      <w:r>
        <w:t>FY2024 includes $210,000 in related-party expense (4.2% of revenue). This was intentionally left out of the Adjusted EBITDA addback worksheet -- related-party terms may or may not be at arm's length, and assuming they're fully avoidable would overstate normalized earnings. Obtain the underlying agreement and confirm pricing against a market comparable before any addback is considered.</w:t>
      </w:r>
    </w:p>
    <w:tbl>
      <w:tblPr>
        <w:tblStyle w:val="LightList"/>
        <w:tblW w:type="auto" w:w="0"/>
        <w:tblLook w:firstColumn="1" w:firstRow="1" w:lastColumn="0" w:lastRow="0" w:noHBand="0" w:noVBand="1" w:val="04A0"/>
      </w:tblPr>
      <w:tblGrid>
        <w:gridCol w:w="4968"/>
        <w:gridCol w:w="4968"/>
      </w:tblGrid>
      <w:tr>
        <w:tc>
          <w:tcPr>
            <w:tcW w:type="dxa" w:w="4968"/>
          </w:tcPr>
          <w:p>
            <w:r/>
            <w:r>
              <w:rPr>
                <w:b/>
                <w:sz w:val="18"/>
              </w:rPr>
              <w:t>fiscal year</w:t>
            </w:r>
          </w:p>
        </w:tc>
        <w:tc>
          <w:tcPr>
            <w:tcW w:type="dxa" w:w="4968"/>
          </w:tcPr>
          <w:p>
            <w:r/>
            <w:r>
              <w:rPr>
                <w:b w:val="0"/>
                <w:sz w:val="18"/>
              </w:rPr>
              <w:t>2024</w:t>
            </w:r>
          </w:p>
        </w:tc>
      </w:tr>
      <w:tr>
        <w:tc>
          <w:tcPr>
            <w:tcW w:type="dxa" w:w="4968"/>
          </w:tcPr>
          <w:p>
            <w:r/>
            <w:r>
              <w:rPr>
                <w:b/>
                <w:sz w:val="18"/>
              </w:rPr>
              <w:t>related party expense</w:t>
            </w:r>
          </w:p>
        </w:tc>
        <w:tc>
          <w:tcPr>
            <w:tcW w:type="dxa" w:w="4968"/>
          </w:tcPr>
          <w:p>
            <w:r/>
            <w:r>
              <w:rPr>
                <w:b w:val="0"/>
                <w:sz w:val="18"/>
              </w:rPr>
              <w:t>210000.0</w:t>
            </w:r>
          </w:p>
        </w:tc>
      </w:tr>
      <w:tr>
        <w:tc>
          <w:tcPr>
            <w:tcW w:type="dxa" w:w="4968"/>
          </w:tcPr>
          <w:p>
            <w:r/>
            <w:r>
              <w:rPr>
                <w:b/>
                <w:sz w:val="18"/>
              </w:rPr>
              <w:t>pct of revenue</w:t>
            </w:r>
          </w:p>
        </w:tc>
        <w:tc>
          <w:tcPr>
            <w:tcW w:type="dxa" w:w="4968"/>
          </w:tcPr>
          <w:p>
            <w:r/>
            <w:r>
              <w:rPr>
                <w:b w:val="0"/>
                <w:sz w:val="18"/>
              </w:rPr>
              <w:t>4.24</w:t>
            </w:r>
          </w:p>
        </w:tc>
      </w:tr>
    </w:tbl>
    <w:p/>
    <w:p>
      <w:pPr>
        <w:pStyle w:val="Heading2"/>
      </w:pPr>
      <w:r>
        <w:rPr>
          <w:color w:val="C03030"/>
        </w:rPr>
        <w:t>RED — Payables stretched in the final period (FY2024)</w:t>
      </w:r>
    </w:p>
    <w:p>
      <w:r>
        <w:t>Days payable outstanding reached 68 in FY2024 versus a 29-day average in prior years, a stretch of 39 days. Delaying vendor payments right before a sale inflates trailing cash and reported working capital without changing the underlying business -- confirm the post-close working capital peg accounts for this, or expect a true-up.</w:t>
      </w:r>
    </w:p>
    <w:tbl>
      <w:tblPr>
        <w:tblStyle w:val="LightList"/>
        <w:tblW w:type="auto" w:w="0"/>
        <w:tblLook w:firstColumn="1" w:firstRow="1" w:lastColumn="0" w:lastRow="0" w:noHBand="0" w:noVBand="1" w:val="04A0"/>
      </w:tblPr>
      <w:tblGrid>
        <w:gridCol w:w="4968"/>
        <w:gridCol w:w="4968"/>
      </w:tblGrid>
      <w:tr>
        <w:tc>
          <w:tcPr>
            <w:tcW w:type="dxa" w:w="4968"/>
          </w:tcPr>
          <w:p>
            <w:r/>
            <w:r>
              <w:rPr>
                <w:b/>
                <w:sz w:val="18"/>
              </w:rPr>
              <w:t>fiscal year</w:t>
            </w:r>
          </w:p>
        </w:tc>
        <w:tc>
          <w:tcPr>
            <w:tcW w:type="dxa" w:w="4968"/>
          </w:tcPr>
          <w:p>
            <w:r/>
            <w:r>
              <w:rPr>
                <w:b w:val="0"/>
                <w:sz w:val="18"/>
              </w:rPr>
              <w:t>2024</w:t>
            </w:r>
          </w:p>
        </w:tc>
      </w:tr>
      <w:tr>
        <w:tc>
          <w:tcPr>
            <w:tcW w:type="dxa" w:w="4968"/>
          </w:tcPr>
          <w:p>
            <w:r/>
            <w:r>
              <w:rPr>
                <w:b/>
                <w:sz w:val="18"/>
              </w:rPr>
              <w:t>dpo final year</w:t>
            </w:r>
          </w:p>
        </w:tc>
        <w:tc>
          <w:tcPr>
            <w:tcW w:type="dxa" w:w="4968"/>
          </w:tcPr>
          <w:p>
            <w:r/>
            <w:r>
              <w:rPr>
                <w:b w:val="0"/>
                <w:sz w:val="18"/>
              </w:rPr>
              <w:t>68.0</w:t>
            </w:r>
          </w:p>
        </w:tc>
      </w:tr>
      <w:tr>
        <w:tc>
          <w:tcPr>
            <w:tcW w:type="dxa" w:w="4968"/>
          </w:tcPr>
          <w:p>
            <w:r/>
            <w:r>
              <w:rPr>
                <w:b/>
                <w:sz w:val="18"/>
              </w:rPr>
              <w:t>avg dpo prior years</w:t>
            </w:r>
          </w:p>
        </w:tc>
        <w:tc>
          <w:tcPr>
            <w:tcW w:type="dxa" w:w="4968"/>
          </w:tcPr>
          <w:p>
            <w:r/>
            <w:r>
              <w:rPr>
                <w:b w:val="0"/>
                <w:sz w:val="18"/>
              </w:rPr>
              <w:t>29.0</w:t>
            </w:r>
          </w:p>
        </w:tc>
      </w:tr>
      <w:tr>
        <w:tc>
          <w:tcPr>
            <w:tcW w:type="dxa" w:w="4968"/>
          </w:tcPr>
          <w:p>
            <w:r/>
            <w:r>
              <w:rPr>
                <w:b/>
                <w:sz w:val="18"/>
              </w:rPr>
              <w:t>spike days</w:t>
            </w:r>
          </w:p>
        </w:tc>
        <w:tc>
          <w:tcPr>
            <w:tcW w:type="dxa" w:w="4968"/>
          </w:tcPr>
          <w:p>
            <w:r/>
            <w:r>
              <w:rPr>
                <w:b w:val="0"/>
                <w:sz w:val="18"/>
              </w:rPr>
              <w:t>39.0</w:t>
            </w:r>
          </w:p>
        </w:tc>
      </w:tr>
    </w:tbl>
    <w:p/>
    <w:p>
      <w:pPr>
        <w:pStyle w:val="Heading2"/>
      </w:pPr>
      <w:r>
        <w:rPr>
          <w:color w:val="C03030"/>
        </w:rPr>
        <w:t>RED — Owner distributions of $1,489,388 in FY2024 (131% of Adjusted EBITDA)</w:t>
      </w:r>
    </w:p>
    <w:p>
      <w:r>
        <w:t>Owner distributions of $1,489,388 in FY2024 equal 131% of that year's Adjusted EBITDA, taken in the same period the business is being marketed for sale. This does not change normalized earnings power, but it does mean cash was pulled out ahead of close -- confirm the purchase agreement's cash-free, debt-free mechanics and working capital peg reflect this, not the pre-distribution balance.</w:t>
      </w:r>
    </w:p>
    <w:tbl>
      <w:tblPr>
        <w:tblStyle w:val="LightList"/>
        <w:tblW w:type="auto" w:w="0"/>
        <w:tblLook w:firstColumn="1" w:firstRow="1" w:lastColumn="0" w:lastRow="0" w:noHBand="0" w:noVBand="1" w:val="04A0"/>
      </w:tblPr>
      <w:tblGrid>
        <w:gridCol w:w="4968"/>
        <w:gridCol w:w="4968"/>
      </w:tblGrid>
      <w:tr>
        <w:tc>
          <w:tcPr>
            <w:tcW w:type="dxa" w:w="4968"/>
          </w:tcPr>
          <w:p>
            <w:r/>
            <w:r>
              <w:rPr>
                <w:b/>
                <w:sz w:val="18"/>
              </w:rPr>
              <w:t>fiscal year</w:t>
            </w:r>
          </w:p>
        </w:tc>
        <w:tc>
          <w:tcPr>
            <w:tcW w:type="dxa" w:w="4968"/>
          </w:tcPr>
          <w:p>
            <w:r/>
            <w:r>
              <w:rPr>
                <w:b w:val="0"/>
                <w:sz w:val="18"/>
              </w:rPr>
              <w:t>2024</w:t>
            </w:r>
          </w:p>
        </w:tc>
      </w:tr>
      <w:tr>
        <w:tc>
          <w:tcPr>
            <w:tcW w:type="dxa" w:w="4968"/>
          </w:tcPr>
          <w:p>
            <w:r/>
            <w:r>
              <w:rPr>
                <w:b/>
                <w:sz w:val="18"/>
              </w:rPr>
              <w:t>owner distributions</w:t>
            </w:r>
          </w:p>
        </w:tc>
        <w:tc>
          <w:tcPr>
            <w:tcW w:type="dxa" w:w="4968"/>
          </w:tcPr>
          <w:p>
            <w:r/>
            <w:r>
              <w:rPr>
                <w:b w:val="0"/>
                <w:sz w:val="18"/>
              </w:rPr>
              <w:t>1489388.0</w:t>
            </w:r>
          </w:p>
        </w:tc>
      </w:tr>
      <w:tr>
        <w:tc>
          <w:tcPr>
            <w:tcW w:type="dxa" w:w="4968"/>
          </w:tcPr>
          <w:p>
            <w:r/>
            <w:r>
              <w:rPr>
                <w:b/>
                <w:sz w:val="18"/>
              </w:rPr>
              <w:t>adjusted ebitda</w:t>
            </w:r>
          </w:p>
        </w:tc>
        <w:tc>
          <w:tcPr>
            <w:tcW w:type="dxa" w:w="4968"/>
          </w:tcPr>
          <w:p>
            <w:r/>
            <w:r>
              <w:rPr>
                <w:b w:val="0"/>
                <w:sz w:val="18"/>
              </w:rPr>
              <w:t>1138250.0</w:t>
            </w:r>
          </w:p>
        </w:tc>
      </w:tr>
      <w:tr>
        <w:tc>
          <w:tcPr>
            <w:tcW w:type="dxa" w:w="4968"/>
          </w:tcPr>
          <w:p>
            <w:r/>
            <w:r>
              <w:rPr>
                <w:b/>
                <w:sz w:val="18"/>
              </w:rPr>
              <w:t>pct of adjusted ebitda</w:t>
            </w:r>
          </w:p>
        </w:tc>
        <w:tc>
          <w:tcPr>
            <w:tcW w:type="dxa" w:w="4968"/>
          </w:tcPr>
          <w:p>
            <w:r/>
            <w:r>
              <w:rPr>
                <w:b w:val="0"/>
                <w:sz w:val="18"/>
              </w:rPr>
              <w:t>130.8</w:t>
            </w:r>
          </w:p>
        </w:tc>
      </w:tr>
    </w:tbl>
    <w:p/>
    <w:p>
      <w:pPr>
        <w:pStyle w:val="Heading2"/>
      </w:pPr>
      <w:r>
        <w:rPr>
          <w:color w:val="C03030"/>
        </w:rPr>
        <w:t>RED — Days inventory outstanding increased 90%, FY2023→FY2024</w:t>
      </w:r>
    </w:p>
    <w:p>
      <w:r>
        <w:t>Days inventory outstanding moved from 50 to 95 days (+90%) between FY2023 and FY2024 without a matching revenue or sourcing change on file. This size of swing is more consistent with a count adjustment, a costing change, or unrecorded shrink than with normal operations -- a physical count reconciliation is warranted before closing.</w:t>
      </w:r>
    </w:p>
    <w:tbl>
      <w:tblPr>
        <w:tblStyle w:val="LightList"/>
        <w:tblW w:type="auto" w:w="0"/>
        <w:tblLook w:firstColumn="1" w:firstRow="1" w:lastColumn="0" w:lastRow="0" w:noHBand="0" w:noVBand="1" w:val="04A0"/>
      </w:tblPr>
      <w:tblGrid>
        <w:gridCol w:w="4968"/>
        <w:gridCol w:w="4968"/>
      </w:tblGrid>
      <w:tr>
        <w:tc>
          <w:tcPr>
            <w:tcW w:type="dxa" w:w="4968"/>
          </w:tcPr>
          <w:p>
            <w:r/>
            <w:r>
              <w:rPr>
                <w:b/>
                <w:sz w:val="18"/>
              </w:rPr>
              <w:t>fiscal years</w:t>
            </w:r>
          </w:p>
        </w:tc>
        <w:tc>
          <w:tcPr>
            <w:tcW w:type="dxa" w:w="4968"/>
          </w:tcPr>
          <w:p>
            <w:r/>
            <w:r>
              <w:rPr>
                <w:b w:val="0"/>
                <w:sz w:val="18"/>
              </w:rPr>
              <w:t>FY2023→FY2024</w:t>
            </w:r>
          </w:p>
        </w:tc>
      </w:tr>
      <w:tr>
        <w:tc>
          <w:tcPr>
            <w:tcW w:type="dxa" w:w="4968"/>
          </w:tcPr>
          <w:p>
            <w:r/>
            <w:r>
              <w:rPr>
                <w:b/>
                <w:sz w:val="18"/>
              </w:rPr>
              <w:t>dio prior</w:t>
            </w:r>
          </w:p>
        </w:tc>
        <w:tc>
          <w:tcPr>
            <w:tcW w:type="dxa" w:w="4968"/>
          </w:tcPr>
          <w:p>
            <w:r/>
            <w:r>
              <w:rPr>
                <w:b w:val="0"/>
                <w:sz w:val="18"/>
              </w:rPr>
              <w:t>50.0</w:t>
            </w:r>
          </w:p>
        </w:tc>
      </w:tr>
      <w:tr>
        <w:tc>
          <w:tcPr>
            <w:tcW w:type="dxa" w:w="4968"/>
          </w:tcPr>
          <w:p>
            <w:r/>
            <w:r>
              <w:rPr>
                <w:b/>
                <w:sz w:val="18"/>
              </w:rPr>
              <w:t>dio current</w:t>
            </w:r>
          </w:p>
        </w:tc>
        <w:tc>
          <w:tcPr>
            <w:tcW w:type="dxa" w:w="4968"/>
          </w:tcPr>
          <w:p>
            <w:r/>
            <w:r>
              <w:rPr>
                <w:b w:val="0"/>
                <w:sz w:val="18"/>
              </w:rPr>
              <w:t>95.0</w:t>
            </w:r>
          </w:p>
        </w:tc>
      </w:tr>
      <w:tr>
        <w:tc>
          <w:tcPr>
            <w:tcW w:type="dxa" w:w="4968"/>
          </w:tcPr>
          <w:p>
            <w:r/>
            <w:r>
              <w:rPr>
                <w:b/>
                <w:sz w:val="18"/>
              </w:rPr>
              <w:t>pct change</w:t>
            </w:r>
          </w:p>
        </w:tc>
        <w:tc>
          <w:tcPr>
            <w:tcW w:type="dxa" w:w="4968"/>
          </w:tcPr>
          <w:p>
            <w:r/>
            <w:r>
              <w:rPr>
                <w:b w:val="0"/>
                <w:sz w:val="18"/>
              </w:rPr>
              <w:t>90.0</w:t>
            </w:r>
          </w:p>
        </w:tc>
      </w:tr>
    </w:tbl>
    <w:p/>
    <w:p>
      <w:pPr>
        <w:pStyle w:val="Heading2"/>
      </w:pPr>
      <w:r>
        <w:rPr>
          <w:color w:val="C03030"/>
        </w:rPr>
        <w:t>RED — Top customer is 48% of FY2024 revenue</w:t>
      </w:r>
    </w:p>
    <w:p>
      <w:r>
        <w:t>The largest customer represented 48% of FY2024 revenue (top three: 75%, HHI 3318). Retention risk on this account should be underwritten explicitly -- get contract terms, tenure, and a reference call before assuming this revenue transfers with the business.</w:t>
      </w:r>
    </w:p>
    <w:tbl>
      <w:tblPr>
        <w:tblStyle w:val="LightList"/>
        <w:tblW w:type="auto" w:w="0"/>
        <w:tblLook w:firstColumn="1" w:firstRow="1" w:lastColumn="0" w:lastRow="0" w:noHBand="0" w:noVBand="1" w:val="04A0"/>
      </w:tblPr>
      <w:tblGrid>
        <w:gridCol w:w="4968"/>
        <w:gridCol w:w="4968"/>
      </w:tblGrid>
      <w:tr>
        <w:tc>
          <w:tcPr>
            <w:tcW w:type="dxa" w:w="4968"/>
          </w:tcPr>
          <w:p>
            <w:r/>
            <w:r>
              <w:rPr>
                <w:b/>
                <w:sz w:val="18"/>
              </w:rPr>
              <w:t>fiscal year</w:t>
            </w:r>
          </w:p>
        </w:tc>
        <w:tc>
          <w:tcPr>
            <w:tcW w:type="dxa" w:w="4968"/>
          </w:tcPr>
          <w:p>
            <w:r/>
            <w:r>
              <w:rPr>
                <w:b w:val="0"/>
                <w:sz w:val="18"/>
              </w:rPr>
              <w:t>2024</w:t>
            </w:r>
          </w:p>
        </w:tc>
      </w:tr>
      <w:tr>
        <w:tc>
          <w:tcPr>
            <w:tcW w:type="dxa" w:w="4968"/>
          </w:tcPr>
          <w:p>
            <w:r/>
            <w:r>
              <w:rPr>
                <w:b/>
                <w:sz w:val="18"/>
              </w:rPr>
              <w:t>top1 pct</w:t>
            </w:r>
          </w:p>
        </w:tc>
        <w:tc>
          <w:tcPr>
            <w:tcW w:type="dxa" w:w="4968"/>
          </w:tcPr>
          <w:p>
            <w:r/>
            <w:r>
              <w:rPr>
                <w:b w:val="0"/>
                <w:sz w:val="18"/>
              </w:rPr>
              <w:t>48.0</w:t>
            </w:r>
          </w:p>
        </w:tc>
      </w:tr>
      <w:tr>
        <w:tc>
          <w:tcPr>
            <w:tcW w:type="dxa" w:w="4968"/>
          </w:tcPr>
          <w:p>
            <w:r/>
            <w:r>
              <w:rPr>
                <w:b/>
                <w:sz w:val="18"/>
              </w:rPr>
              <w:t>top3 pct</w:t>
            </w:r>
          </w:p>
        </w:tc>
        <w:tc>
          <w:tcPr>
            <w:tcW w:type="dxa" w:w="4968"/>
          </w:tcPr>
          <w:p>
            <w:r/>
            <w:r>
              <w:rPr>
                <w:b w:val="0"/>
                <w:sz w:val="18"/>
              </w:rPr>
              <w:t>75.0</w:t>
            </w:r>
          </w:p>
        </w:tc>
      </w:tr>
      <w:tr>
        <w:tc>
          <w:tcPr>
            <w:tcW w:type="dxa" w:w="4968"/>
          </w:tcPr>
          <w:p>
            <w:r/>
            <w:r>
              <w:rPr>
                <w:b/>
                <w:sz w:val="18"/>
              </w:rPr>
              <w:t>hhi</w:t>
            </w:r>
          </w:p>
        </w:tc>
        <w:tc>
          <w:tcPr>
            <w:tcW w:type="dxa" w:w="4968"/>
          </w:tcPr>
          <w:p>
            <w:r/>
            <w:r>
              <w:rPr>
                <w:b w:val="0"/>
                <w:sz w:val="18"/>
              </w:rPr>
              <w:t>3318.0</w:t>
            </w:r>
          </w:p>
        </w:tc>
      </w:tr>
    </w:tbl>
    <w:p/>
    <w:p>
      <w:pPr>
        <w:pStyle w:val="Heading1"/>
      </w:pPr>
      <w:r>
        <w:t>Benchmark Positioning</w:t>
      </w:r>
    </w:p>
    <w:p>
      <w:r>
        <w:t>Ranges are compiled from publicly available small-business benchmarking sources (RMA Annual Statement Studies category medians, IBISWorld-style industry reports) and are directional only. Being outside a range is context, not automatically a flag.</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b/>
                <w:sz w:val="20"/>
              </w:rPr>
              <w:t>Metric</w:t>
            </w:r>
          </w:p>
        </w:tc>
        <w:tc>
          <w:tcPr>
            <w:tcW w:type="dxa" w:w="1987"/>
          </w:tcPr>
          <w:p>
            <w:r/>
            <w:r>
              <w:rPr>
                <w:b/>
                <w:sz w:val="20"/>
              </w:rPr>
              <w:t>Company (latest FY)</w:t>
            </w:r>
          </w:p>
        </w:tc>
        <w:tc>
          <w:tcPr>
            <w:tcW w:type="dxa" w:w="1987"/>
          </w:tcPr>
          <w:p>
            <w:r/>
            <w:r>
              <w:rPr>
                <w:b/>
                <w:sz w:val="20"/>
              </w:rPr>
              <w:t>Benchmark low</w:t>
            </w:r>
          </w:p>
        </w:tc>
        <w:tc>
          <w:tcPr>
            <w:tcW w:type="dxa" w:w="1987"/>
          </w:tcPr>
          <w:p>
            <w:r/>
            <w:r>
              <w:rPr>
                <w:b/>
                <w:sz w:val="20"/>
              </w:rPr>
              <w:t>Benchmark high</w:t>
            </w:r>
          </w:p>
        </w:tc>
        <w:tc>
          <w:tcPr>
            <w:tcW w:type="dxa" w:w="1987"/>
          </w:tcPr>
          <w:p>
            <w:r/>
            <w:r>
              <w:rPr>
                <w:b/>
                <w:sz w:val="20"/>
              </w:rPr>
              <w:t>Position</w:t>
            </w:r>
          </w:p>
        </w:tc>
      </w:tr>
      <w:tr>
        <w:tc>
          <w:tcPr>
            <w:tcW w:type="dxa" w:w="1987"/>
          </w:tcPr>
          <w:p>
            <w:r/>
            <w:r>
              <w:rPr>
                <w:b w:val="0"/>
                <w:sz w:val="20"/>
              </w:rPr>
              <w:t>gross margin</w:t>
            </w:r>
          </w:p>
        </w:tc>
        <w:tc>
          <w:tcPr>
            <w:tcW w:type="dxa" w:w="1987"/>
          </w:tcPr>
          <w:p>
            <w:r/>
            <w:r>
              <w:rPr>
                <w:b w:val="0"/>
                <w:sz w:val="20"/>
              </w:rPr>
              <w:t>48.0%</w:t>
            </w:r>
          </w:p>
        </w:tc>
        <w:tc>
          <w:tcPr>
            <w:tcW w:type="dxa" w:w="1987"/>
          </w:tcPr>
          <w:p>
            <w:r/>
            <w:r>
              <w:rPr>
                <w:b w:val="0"/>
                <w:sz w:val="20"/>
              </w:rPr>
              <w:t>30.0%</w:t>
            </w:r>
          </w:p>
        </w:tc>
        <w:tc>
          <w:tcPr>
            <w:tcW w:type="dxa" w:w="1987"/>
          </w:tcPr>
          <w:p>
            <w:r/>
            <w:r>
              <w:rPr>
                <w:b w:val="0"/>
                <w:sz w:val="20"/>
              </w:rPr>
              <w:t>55.0%</w:t>
            </w:r>
          </w:p>
        </w:tc>
        <w:tc>
          <w:tcPr>
            <w:tcW w:type="dxa" w:w="1987"/>
          </w:tcPr>
          <w:p>
            <w:r/>
            <w:r>
              <w:rPr>
                <w:b w:val="0"/>
                <w:sz w:val="20"/>
              </w:rPr>
              <w:t>within range</w:t>
            </w:r>
          </w:p>
        </w:tc>
      </w:tr>
      <w:tr>
        <w:tc>
          <w:tcPr>
            <w:tcW w:type="dxa" w:w="1987"/>
          </w:tcPr>
          <w:p>
            <w:r/>
            <w:r>
              <w:rPr>
                <w:b w:val="0"/>
                <w:sz w:val="20"/>
              </w:rPr>
              <w:t>ebitda margin</w:t>
            </w:r>
          </w:p>
        </w:tc>
        <w:tc>
          <w:tcPr>
            <w:tcW w:type="dxa" w:w="1987"/>
          </w:tcPr>
          <w:p>
            <w:r/>
            <w:r>
              <w:rPr>
                <w:b w:val="0"/>
                <w:sz w:val="20"/>
              </w:rPr>
              <w:t>22.3%</w:t>
            </w:r>
          </w:p>
        </w:tc>
        <w:tc>
          <w:tcPr>
            <w:tcW w:type="dxa" w:w="1987"/>
          </w:tcPr>
          <w:p>
            <w:r/>
            <w:r>
              <w:rPr>
                <w:b w:val="0"/>
                <w:sz w:val="20"/>
              </w:rPr>
              <w:t>5.0%</w:t>
            </w:r>
          </w:p>
        </w:tc>
        <w:tc>
          <w:tcPr>
            <w:tcW w:type="dxa" w:w="1987"/>
          </w:tcPr>
          <w:p>
            <w:r/>
            <w:r>
              <w:rPr>
                <w:b w:val="0"/>
                <w:sz w:val="20"/>
              </w:rPr>
              <w:t>15.0%</w:t>
            </w:r>
          </w:p>
        </w:tc>
        <w:tc>
          <w:tcPr>
            <w:tcW w:type="dxa" w:w="1987"/>
          </w:tcPr>
          <w:p>
            <w:r/>
            <w:r>
              <w:rPr>
                <w:b w:val="0"/>
                <w:sz w:val="20"/>
              </w:rPr>
              <w:t>above range</w:t>
            </w:r>
          </w:p>
        </w:tc>
      </w:tr>
      <w:tr>
        <w:tc>
          <w:tcPr>
            <w:tcW w:type="dxa" w:w="1987"/>
          </w:tcPr>
          <w:p>
            <w:r/>
            <w:r>
              <w:rPr>
                <w:b w:val="0"/>
                <w:sz w:val="20"/>
              </w:rPr>
              <w:t>current ratio</w:t>
            </w:r>
          </w:p>
        </w:tc>
        <w:tc>
          <w:tcPr>
            <w:tcW w:type="dxa" w:w="1987"/>
          </w:tcPr>
          <w:p>
            <w:r/>
            <w:r>
              <w:rPr>
                <w:b w:val="0"/>
                <w:sz w:val="20"/>
              </w:rPr>
              <w:t>227.3%</w:t>
            </w:r>
          </w:p>
        </w:tc>
        <w:tc>
          <w:tcPr>
            <w:tcW w:type="dxa" w:w="1987"/>
          </w:tcPr>
          <w:p>
            <w:r/>
            <w:r>
              <w:rPr>
                <w:b w:val="0"/>
                <w:sz w:val="20"/>
              </w:rPr>
              <w:t>100.0%</w:t>
            </w:r>
          </w:p>
        </w:tc>
        <w:tc>
          <w:tcPr>
            <w:tcW w:type="dxa" w:w="1987"/>
          </w:tcPr>
          <w:p>
            <w:r/>
            <w:r>
              <w:rPr>
                <w:b w:val="0"/>
                <w:sz w:val="20"/>
              </w:rPr>
              <w:t>220.0%</w:t>
            </w:r>
          </w:p>
        </w:tc>
        <w:tc>
          <w:tcPr>
            <w:tcW w:type="dxa" w:w="1987"/>
          </w:tcPr>
          <w:p>
            <w:r/>
            <w:r>
              <w:rPr>
                <w:b w:val="0"/>
                <w:sz w:val="20"/>
              </w:rPr>
              <w:t>above range</w:t>
            </w:r>
          </w:p>
        </w:tc>
      </w:tr>
      <w:tr>
        <w:tc>
          <w:tcPr>
            <w:tcW w:type="dxa" w:w="1987"/>
          </w:tcPr>
          <w:p>
            <w:r/>
            <w:r>
              <w:rPr>
                <w:b w:val="0"/>
                <w:sz w:val="20"/>
              </w:rPr>
              <w:t>dso days</w:t>
            </w:r>
          </w:p>
        </w:tc>
        <w:tc>
          <w:tcPr>
            <w:tcW w:type="dxa" w:w="1987"/>
          </w:tcPr>
          <w:p>
            <w:r/>
            <w:r>
              <w:rPr>
                <w:b w:val="0"/>
                <w:sz w:val="20"/>
              </w:rPr>
              <w:t>35 days</w:t>
            </w:r>
          </w:p>
        </w:tc>
        <w:tc>
          <w:tcPr>
            <w:tcW w:type="dxa" w:w="1987"/>
          </w:tcPr>
          <w:p>
            <w:r/>
            <w:r>
              <w:rPr>
                <w:b w:val="0"/>
                <w:sz w:val="20"/>
              </w:rPr>
              <w:t>2 days</w:t>
            </w:r>
          </w:p>
        </w:tc>
        <w:tc>
          <w:tcPr>
            <w:tcW w:type="dxa" w:w="1987"/>
          </w:tcPr>
          <w:p>
            <w:r/>
            <w:r>
              <w:rPr>
                <w:b w:val="0"/>
                <w:sz w:val="20"/>
              </w:rPr>
              <w:t>15 days</w:t>
            </w:r>
          </w:p>
        </w:tc>
        <w:tc>
          <w:tcPr>
            <w:tcW w:type="dxa" w:w="1987"/>
          </w:tcPr>
          <w:p>
            <w:r/>
            <w:r>
              <w:rPr>
                <w:b w:val="0"/>
                <w:sz w:val="20"/>
              </w:rPr>
              <w:t>above range</w:t>
            </w:r>
          </w:p>
        </w:tc>
      </w:tr>
    </w:tbl>
    <w:p>
      <w:pPr>
        <w:pStyle w:val="Heading1"/>
      </w:pPr>
      <w:r>
        <w:t>Customer Concentration</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b/>
                <w:sz w:val="20"/>
              </w:rPr>
              <w:t>FY</w:t>
            </w:r>
          </w:p>
        </w:tc>
        <w:tc>
          <w:tcPr>
            <w:tcW w:type="dxa" w:w="1987"/>
          </w:tcPr>
          <w:p>
            <w:r/>
            <w:r>
              <w:rPr>
                <w:b/>
                <w:sz w:val="20"/>
              </w:rPr>
              <w:t>Top customer %</w:t>
            </w:r>
          </w:p>
        </w:tc>
        <w:tc>
          <w:tcPr>
            <w:tcW w:type="dxa" w:w="1987"/>
          </w:tcPr>
          <w:p>
            <w:r/>
            <w:r>
              <w:rPr>
                <w:b/>
                <w:sz w:val="20"/>
              </w:rPr>
              <w:t>Top 3 %</w:t>
            </w:r>
          </w:p>
        </w:tc>
        <w:tc>
          <w:tcPr>
            <w:tcW w:type="dxa" w:w="1987"/>
          </w:tcPr>
          <w:p>
            <w:r/>
            <w:r>
              <w:rPr>
                <w:b/>
                <w:sz w:val="20"/>
              </w:rPr>
              <w:t>HHI</w:t>
            </w:r>
          </w:p>
        </w:tc>
        <w:tc>
          <w:tcPr>
            <w:tcW w:type="dxa" w:w="1987"/>
          </w:tcPr>
          <w:p>
            <w:r/>
            <w:r>
              <w:rPr>
                <w:b/>
                <w:sz w:val="20"/>
              </w:rPr>
              <w:t># Customers</w:t>
            </w:r>
          </w:p>
        </w:tc>
      </w:tr>
      <w:tr>
        <w:tc>
          <w:tcPr>
            <w:tcW w:type="dxa" w:w="1987"/>
          </w:tcPr>
          <w:p>
            <w:r/>
            <w:r>
              <w:rPr>
                <w:b w:val="0"/>
                <w:sz w:val="20"/>
              </w:rPr>
              <w:t>2022</w:t>
            </w:r>
          </w:p>
        </w:tc>
        <w:tc>
          <w:tcPr>
            <w:tcW w:type="dxa" w:w="1987"/>
          </w:tcPr>
          <w:p>
            <w:r/>
            <w:r>
              <w:rPr>
                <w:b w:val="0"/>
                <w:sz w:val="20"/>
              </w:rPr>
              <w:t>40.0%</w:t>
            </w:r>
          </w:p>
        </w:tc>
        <w:tc>
          <w:tcPr>
            <w:tcW w:type="dxa" w:w="1987"/>
          </w:tcPr>
          <w:p>
            <w:r/>
            <w:r>
              <w:rPr>
                <w:b w:val="0"/>
                <w:sz w:val="20"/>
              </w:rPr>
              <w:t>69.0%</w:t>
            </w:r>
          </w:p>
        </w:tc>
        <w:tc>
          <w:tcPr>
            <w:tcW w:type="dxa" w:w="1987"/>
          </w:tcPr>
          <w:p>
            <w:r/>
            <w:r>
              <w:rPr>
                <w:b w:val="0"/>
                <w:sz w:val="20"/>
              </w:rPr>
              <w:t>3006</w:t>
            </w:r>
          </w:p>
        </w:tc>
        <w:tc>
          <w:tcPr>
            <w:tcW w:type="dxa" w:w="1987"/>
          </w:tcPr>
          <w:p>
            <w:r/>
            <w:r>
              <w:rPr>
                <w:b w:val="0"/>
                <w:sz w:val="20"/>
              </w:rPr>
              <w:t>3</w:t>
            </w:r>
          </w:p>
        </w:tc>
      </w:tr>
      <w:tr>
        <w:tc>
          <w:tcPr>
            <w:tcW w:type="dxa" w:w="1987"/>
          </w:tcPr>
          <w:p>
            <w:r/>
            <w:r>
              <w:rPr>
                <w:b w:val="0"/>
                <w:sz w:val="20"/>
              </w:rPr>
              <w:t>2023</w:t>
            </w:r>
          </w:p>
        </w:tc>
        <w:tc>
          <w:tcPr>
            <w:tcW w:type="dxa" w:w="1987"/>
          </w:tcPr>
          <w:p>
            <w:r/>
            <w:r>
              <w:rPr>
                <w:b w:val="0"/>
                <w:sz w:val="20"/>
              </w:rPr>
              <w:t>44.0%</w:t>
            </w:r>
          </w:p>
        </w:tc>
        <w:tc>
          <w:tcPr>
            <w:tcW w:type="dxa" w:w="1987"/>
          </w:tcPr>
          <w:p>
            <w:r/>
            <w:r>
              <w:rPr>
                <w:b w:val="0"/>
                <w:sz w:val="20"/>
              </w:rPr>
              <w:t>72.1%</w:t>
            </w:r>
          </w:p>
        </w:tc>
        <w:tc>
          <w:tcPr>
            <w:tcW w:type="dxa" w:w="1987"/>
          </w:tcPr>
          <w:p>
            <w:r/>
            <w:r>
              <w:rPr>
                <w:b w:val="0"/>
                <w:sz w:val="20"/>
              </w:rPr>
              <w:t>3133</w:t>
            </w:r>
          </w:p>
        </w:tc>
        <w:tc>
          <w:tcPr>
            <w:tcW w:type="dxa" w:w="1987"/>
          </w:tcPr>
          <w:p>
            <w:r/>
            <w:r>
              <w:rPr>
                <w:b w:val="0"/>
                <w:sz w:val="20"/>
              </w:rPr>
              <w:t>3</w:t>
            </w:r>
          </w:p>
        </w:tc>
      </w:tr>
      <w:tr>
        <w:tc>
          <w:tcPr>
            <w:tcW w:type="dxa" w:w="1987"/>
          </w:tcPr>
          <w:p>
            <w:r/>
            <w:r>
              <w:rPr>
                <w:b w:val="0"/>
                <w:sz w:val="20"/>
              </w:rPr>
              <w:t>2024</w:t>
            </w:r>
          </w:p>
        </w:tc>
        <w:tc>
          <w:tcPr>
            <w:tcW w:type="dxa" w:w="1987"/>
          </w:tcPr>
          <w:p>
            <w:r/>
            <w:r>
              <w:rPr>
                <w:b w:val="0"/>
                <w:sz w:val="20"/>
              </w:rPr>
              <w:t>48.0%</w:t>
            </w:r>
          </w:p>
        </w:tc>
        <w:tc>
          <w:tcPr>
            <w:tcW w:type="dxa" w:w="1987"/>
          </w:tcPr>
          <w:p>
            <w:r/>
            <w:r>
              <w:rPr>
                <w:b w:val="0"/>
                <w:sz w:val="20"/>
              </w:rPr>
              <w:t>75.0%</w:t>
            </w:r>
          </w:p>
        </w:tc>
        <w:tc>
          <w:tcPr>
            <w:tcW w:type="dxa" w:w="1987"/>
          </w:tcPr>
          <w:p>
            <w:r/>
            <w:r>
              <w:rPr>
                <w:b w:val="0"/>
                <w:sz w:val="20"/>
              </w:rPr>
              <w:t>3318</w:t>
            </w:r>
          </w:p>
        </w:tc>
        <w:tc>
          <w:tcPr>
            <w:tcW w:type="dxa" w:w="1987"/>
          </w:tcPr>
          <w:p>
            <w:r/>
            <w:r>
              <w:rPr>
                <w:b w:val="0"/>
                <w:sz w:val="20"/>
              </w:rPr>
              <w:t>3</w:t>
            </w:r>
          </w:p>
        </w:tc>
      </w:tr>
    </w:tbl>
    <w:p>
      <w:pPr>
        <w:pStyle w:val="Heading1"/>
      </w:pPr>
      <w:r>
        <w:t>Methodology and Data Lineage</w:t>
      </w:r>
    </w:p>
    <w:p>
      <w:r>
        <w:t>Source statements were parsed and mapped onto a fixed canonical chart of accounts using exact-match, fuzzy-match, and (where configured) LLM-assisted classification. 0 line item(s) across the reviewed periods were mapped with less than full confidence or require manual review; see mapping_table.csv in this run's output folder for the complete, human-auditable mapping.</w:t>
      </w:r>
    </w:p>
    <w:p>
      <w:r>
        <w:t>This memo is a quantitative first pass. It does not substitute for legal review, bank/lender confirmations, tax return reconciliation, or management interviews.</w:t>
      </w:r>
    </w:p>
    <w:p>
      <w:pPr>
        <w:pStyle w:val="Heading1"/>
      </w:pPr>
      <w:r>
        <w:t>Appendix: Full Ratio Backup</w:t>
      </w:r>
    </w:p>
    <w:tbl>
      <w:tblPr>
        <w:tblStyle w:val="LightList-Accent1"/>
        <w:tblW w:type="auto" w:w="0"/>
        <w:tblLook w:firstColumn="1" w:firstRow="1" w:lastColumn="0" w:lastRow="0" w:noHBand="0" w:noVBand="1" w:val="04A0"/>
      </w:tblPr>
      <w:tblGrid>
        <w:gridCol w:w="2484"/>
        <w:gridCol w:w="2484"/>
        <w:gridCol w:w="2484"/>
        <w:gridCol w:w="2484"/>
      </w:tblGrid>
      <w:tr>
        <w:tc>
          <w:tcPr>
            <w:tcW w:type="dxa" w:w="2484"/>
          </w:tcPr>
          <w:p>
            <w:r/>
            <w:r>
              <w:rPr>
                <w:b/>
                <w:sz w:val="20"/>
              </w:rPr>
              <w:t>Metric</w:t>
            </w:r>
          </w:p>
        </w:tc>
        <w:tc>
          <w:tcPr>
            <w:tcW w:type="dxa" w:w="2484"/>
          </w:tcPr>
          <w:p>
            <w:r/>
            <w:r>
              <w:rPr>
                <w:b/>
                <w:sz w:val="20"/>
              </w:rPr>
              <w:t>FY2022</w:t>
            </w:r>
          </w:p>
        </w:tc>
        <w:tc>
          <w:tcPr>
            <w:tcW w:type="dxa" w:w="2484"/>
          </w:tcPr>
          <w:p>
            <w:r/>
            <w:r>
              <w:rPr>
                <w:b/>
                <w:sz w:val="20"/>
              </w:rPr>
              <w:t>FY2023</w:t>
            </w:r>
          </w:p>
        </w:tc>
        <w:tc>
          <w:tcPr>
            <w:tcW w:type="dxa" w:w="2484"/>
          </w:tcPr>
          <w:p>
            <w:r/>
            <w:r>
              <w:rPr>
                <w:b/>
                <w:sz w:val="20"/>
              </w:rPr>
              <w:t>FY2024</w:t>
            </w:r>
          </w:p>
        </w:tc>
      </w:tr>
      <w:tr>
        <w:tc>
          <w:tcPr>
            <w:tcW w:type="dxa" w:w="2484"/>
          </w:tcPr>
          <w:p>
            <w:r/>
            <w:r>
              <w:rPr>
                <w:b/>
                <w:sz w:val="20"/>
              </w:rPr>
              <w:t>COGS</w:t>
            </w:r>
          </w:p>
        </w:tc>
        <w:tc>
          <w:tcPr>
            <w:tcW w:type="dxa" w:w="2484"/>
          </w:tcPr>
          <w:p>
            <w:r/>
            <w:r>
              <w:rPr>
                <w:b w:val="0"/>
                <w:sz w:val="20"/>
              </w:rPr>
              <w:t>$2,583,000</w:t>
            </w:r>
          </w:p>
        </w:tc>
        <w:tc>
          <w:tcPr>
            <w:tcW w:type="dxa" w:w="2484"/>
          </w:tcPr>
          <w:p>
            <w:r/>
            <w:r>
              <w:rPr>
                <w:b w:val="0"/>
                <w:sz w:val="20"/>
              </w:rPr>
              <w:t>$2,802,400</w:t>
            </w:r>
          </w:p>
        </w:tc>
        <w:tc>
          <w:tcPr>
            <w:tcW w:type="dxa" w:w="2484"/>
          </w:tcPr>
          <w:p>
            <w:r/>
            <w:r>
              <w:rPr>
                <w:b w:val="0"/>
                <w:sz w:val="20"/>
              </w:rPr>
              <w:t>$2,574,000</w:t>
            </w:r>
          </w:p>
        </w:tc>
      </w:tr>
      <w:tr>
        <w:tc>
          <w:tcPr>
            <w:tcW w:type="dxa" w:w="2484"/>
          </w:tcPr>
          <w:p>
            <w:r/>
            <w:r>
              <w:rPr>
                <w:b/>
                <w:sz w:val="20"/>
              </w:rPr>
              <w:t>Gross profit</w:t>
            </w:r>
          </w:p>
        </w:tc>
        <w:tc>
          <w:tcPr>
            <w:tcW w:type="dxa" w:w="2484"/>
          </w:tcPr>
          <w:p>
            <w:r/>
            <w:r>
              <w:rPr>
                <w:b w:val="0"/>
                <w:sz w:val="20"/>
              </w:rPr>
              <w:t>$1,517,000</w:t>
            </w:r>
          </w:p>
        </w:tc>
        <w:tc>
          <w:tcPr>
            <w:tcW w:type="dxa" w:w="2484"/>
          </w:tcPr>
          <w:p>
            <w:r/>
            <w:r>
              <w:rPr>
                <w:b w:val="0"/>
                <w:sz w:val="20"/>
              </w:rPr>
              <w:t>$1,717,600</w:t>
            </w:r>
          </w:p>
        </w:tc>
        <w:tc>
          <w:tcPr>
            <w:tcW w:type="dxa" w:w="2484"/>
          </w:tcPr>
          <w:p>
            <w:r/>
            <w:r>
              <w:rPr>
                <w:b w:val="0"/>
                <w:sz w:val="20"/>
              </w:rPr>
              <w:t>$2,376,000</w:t>
            </w:r>
          </w:p>
        </w:tc>
      </w:tr>
      <w:tr>
        <w:tc>
          <w:tcPr>
            <w:tcW w:type="dxa" w:w="2484"/>
          </w:tcPr>
          <w:p>
            <w:r/>
            <w:r>
              <w:rPr>
                <w:b/>
                <w:sz w:val="20"/>
              </w:rPr>
              <w:t>Operating expenses (incl. D&amp;A)</w:t>
            </w:r>
          </w:p>
        </w:tc>
        <w:tc>
          <w:tcPr>
            <w:tcW w:type="dxa" w:w="2484"/>
          </w:tcPr>
          <w:p>
            <w:r/>
            <w:r>
              <w:rPr>
                <w:b w:val="0"/>
                <w:sz w:val="20"/>
              </w:rPr>
              <w:t>$977,500</w:t>
            </w:r>
          </w:p>
        </w:tc>
        <w:tc>
          <w:tcPr>
            <w:tcW w:type="dxa" w:w="2484"/>
          </w:tcPr>
          <w:p>
            <w:r/>
            <w:r>
              <w:rPr>
                <w:b w:val="0"/>
                <w:sz w:val="20"/>
              </w:rPr>
              <w:t>$1,153,200</w:t>
            </w:r>
          </w:p>
        </w:tc>
        <w:tc>
          <w:tcPr>
            <w:tcW w:type="dxa" w:w="2484"/>
          </w:tcPr>
          <w:p>
            <w:r/>
            <w:r>
              <w:rPr>
                <w:b w:val="0"/>
                <w:sz w:val="20"/>
              </w:rPr>
              <w:t>$1,321,750</w:t>
            </w:r>
          </w:p>
        </w:tc>
      </w:tr>
      <w:tr>
        <w:tc>
          <w:tcPr>
            <w:tcW w:type="dxa" w:w="2484"/>
          </w:tcPr>
          <w:p>
            <w:r/>
            <w:r>
              <w:rPr>
                <w:b/>
                <w:sz w:val="20"/>
              </w:rPr>
              <w:t>Current assets</w:t>
            </w:r>
          </w:p>
        </w:tc>
        <w:tc>
          <w:tcPr>
            <w:tcW w:type="dxa" w:w="2484"/>
          </w:tcPr>
          <w:p>
            <w:r/>
            <w:r>
              <w:rPr>
                <w:b w:val="0"/>
                <w:sz w:val="20"/>
              </w:rPr>
              <w:t>$659,641</w:t>
            </w:r>
          </w:p>
        </w:tc>
        <w:tc>
          <w:tcPr>
            <w:tcW w:type="dxa" w:w="2484"/>
          </w:tcPr>
          <w:p>
            <w:r/>
            <w:r>
              <w:rPr>
                <w:b w:val="0"/>
                <w:sz w:val="20"/>
              </w:rPr>
              <w:t>$825,586</w:t>
            </w:r>
          </w:p>
        </w:tc>
        <w:tc>
          <w:tcPr>
            <w:tcW w:type="dxa" w:w="2484"/>
          </w:tcPr>
          <w:p>
            <w:r/>
            <w:r>
              <w:rPr>
                <w:b w:val="0"/>
                <w:sz w:val="20"/>
              </w:rPr>
              <w:t>$1,329,373</w:t>
            </w:r>
          </w:p>
        </w:tc>
      </w:tr>
      <w:tr>
        <w:tc>
          <w:tcPr>
            <w:tcW w:type="dxa" w:w="2484"/>
          </w:tcPr>
          <w:p>
            <w:r/>
            <w:r>
              <w:rPr>
                <w:b/>
                <w:sz w:val="20"/>
              </w:rPr>
              <w:t>Current liabilities</w:t>
            </w:r>
          </w:p>
        </w:tc>
        <w:tc>
          <w:tcPr>
            <w:tcW w:type="dxa" w:w="2484"/>
          </w:tcPr>
          <w:p>
            <w:r/>
            <w:r>
              <w:rPr>
                <w:b w:val="0"/>
                <w:sz w:val="20"/>
              </w:rPr>
              <w:t>$289,168</w:t>
            </w:r>
          </w:p>
        </w:tc>
        <w:tc>
          <w:tcPr>
            <w:tcW w:type="dxa" w:w="2484"/>
          </w:tcPr>
          <w:p>
            <w:r/>
            <w:r>
              <w:rPr>
                <w:b w:val="0"/>
                <w:sz w:val="20"/>
              </w:rPr>
              <w:t>$328,478</w:t>
            </w:r>
          </w:p>
        </w:tc>
        <w:tc>
          <w:tcPr>
            <w:tcW w:type="dxa" w:w="2484"/>
          </w:tcPr>
          <w:p>
            <w:r/>
            <w:r>
              <w:rPr>
                <w:b w:val="0"/>
                <w:sz w:val="20"/>
              </w:rPr>
              <w:t>$584,930</w:t>
            </w:r>
          </w:p>
        </w:tc>
      </w:tr>
      <w:tr>
        <w:tc>
          <w:tcPr>
            <w:tcW w:type="dxa" w:w="2484"/>
          </w:tcPr>
          <w:p>
            <w:r/>
            <w:r>
              <w:rPr>
                <w:b/>
                <w:sz w:val="20"/>
              </w:rPr>
              <w:t>Days sales outstanding</w:t>
            </w:r>
          </w:p>
        </w:tc>
        <w:tc>
          <w:tcPr>
            <w:tcW w:type="dxa" w:w="2484"/>
          </w:tcPr>
          <w:p>
            <w:r/>
            <w:r>
              <w:rPr>
                <w:b w:val="0"/>
                <w:sz w:val="20"/>
              </w:rPr>
              <w:t>10</w:t>
            </w:r>
          </w:p>
        </w:tc>
        <w:tc>
          <w:tcPr>
            <w:tcW w:type="dxa" w:w="2484"/>
          </w:tcPr>
          <w:p>
            <w:r/>
            <w:r>
              <w:rPr>
                <w:b w:val="0"/>
                <w:sz w:val="20"/>
              </w:rPr>
              <w:t>18</w:t>
            </w:r>
          </w:p>
        </w:tc>
        <w:tc>
          <w:tcPr>
            <w:tcW w:type="dxa" w:w="2484"/>
          </w:tcPr>
          <w:p>
            <w:r/>
            <w:r>
              <w:rPr>
                <w:b w:val="0"/>
                <w:sz w:val="20"/>
              </w:rPr>
              <w:t>35</w:t>
            </w:r>
          </w:p>
        </w:tc>
      </w:tr>
      <w:tr>
        <w:tc>
          <w:tcPr>
            <w:tcW w:type="dxa" w:w="2484"/>
          </w:tcPr>
          <w:p>
            <w:r/>
            <w:r>
              <w:rPr>
                <w:b/>
                <w:sz w:val="20"/>
              </w:rPr>
              <w:t>Days payable outstanding</w:t>
            </w:r>
          </w:p>
        </w:tc>
        <w:tc>
          <w:tcPr>
            <w:tcW w:type="dxa" w:w="2484"/>
          </w:tcPr>
          <w:p>
            <w:r/>
            <w:r>
              <w:rPr>
                <w:b w:val="0"/>
                <w:sz w:val="20"/>
              </w:rPr>
              <w:t>28</w:t>
            </w:r>
          </w:p>
        </w:tc>
        <w:tc>
          <w:tcPr>
            <w:tcW w:type="dxa" w:w="2484"/>
          </w:tcPr>
          <w:p>
            <w:r/>
            <w:r>
              <w:rPr>
                <w:b w:val="0"/>
                <w:sz w:val="20"/>
              </w:rPr>
              <w:t>30</w:t>
            </w:r>
          </w:p>
        </w:tc>
        <w:tc>
          <w:tcPr>
            <w:tcW w:type="dxa" w:w="2484"/>
          </w:tcPr>
          <w:p>
            <w:r/>
            <w:r>
              <w:rPr>
                <w:b w:val="0"/>
                <w:sz w:val="20"/>
              </w:rPr>
              <w:t>68</w:t>
            </w:r>
          </w:p>
        </w:tc>
      </w:tr>
      <w:tr>
        <w:tc>
          <w:tcPr>
            <w:tcW w:type="dxa" w:w="2484"/>
          </w:tcPr>
          <w:p>
            <w:r/>
            <w:r>
              <w:rPr>
                <w:b/>
                <w:sz w:val="20"/>
              </w:rPr>
              <w:t>Days inventory outstanding</w:t>
            </w:r>
          </w:p>
        </w:tc>
        <w:tc>
          <w:tcPr>
            <w:tcW w:type="dxa" w:w="2484"/>
          </w:tcPr>
          <w:p>
            <w:r/>
            <w:r>
              <w:rPr>
                <w:b w:val="0"/>
                <w:sz w:val="20"/>
              </w:rPr>
              <w:t>45</w:t>
            </w:r>
          </w:p>
        </w:tc>
        <w:tc>
          <w:tcPr>
            <w:tcW w:type="dxa" w:w="2484"/>
          </w:tcPr>
          <w:p>
            <w:r/>
            <w:r>
              <w:rPr>
                <w:b w:val="0"/>
                <w:sz w:val="20"/>
              </w:rPr>
              <w:t>50</w:t>
            </w:r>
          </w:p>
        </w:tc>
        <w:tc>
          <w:tcPr>
            <w:tcW w:type="dxa" w:w="2484"/>
          </w:tcPr>
          <w:p>
            <w:r/>
            <w:r>
              <w:rPr>
                <w:b w:val="0"/>
                <w:sz w:val="20"/>
              </w:rPr>
              <w:t>95</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