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2A4A"/>
          <w:sz w:val="40"/>
        </w:rPr>
        <w:t>Northgate Precision Components — Quantitative Diligence Memo</w:t>
      </w:r>
    </w:p>
    <w:p>
      <w:r>
        <w:rPr>
          <w:color w:val="555555"/>
          <w:sz w:val="20"/>
        </w:rPr>
        <w:t>Prepared for: Buy-Side Diligence File    |    September 16, 2026    |    Industry benchmark set: Light / Precision Manufacturing</w:t>
      </w:r>
    </w:p>
    <w:p>
      <w:r>
        <w:rPr>
          <w:i/>
          <w:color w:val="555555"/>
          <w:sz w:val="18"/>
        </w:rPr>
        <w:t>Uses synthetic data modeled on a small precision-manufacturing shop; no client or employer data included. See data/synthetic/qoe_issue_co/.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3CD"/>
          </w:tcPr>
          <w:p>
            <w:r>
              <w:rPr>
                <w:b/>
                <w:color w:val="B88600"/>
                <w:sz w:val="26"/>
              </w:rPr>
              <w:t>OVERALL FLAG: YELLOW</w:t>
            </w:r>
          </w:p>
        </w:tc>
      </w:tr>
    </w:tbl>
    <w:p>
      <w:pPr>
        <w:pStyle w:val="Heading1"/>
      </w:pPr>
      <w:r>
        <w:t>Governing Thought</w:t>
      </w:r>
    </w:p>
    <w:p>
      <w:r>
        <w:t>Northgate Precision Components is directionally investable, but 2 flag(s) need targeted follow-up diligence before price or terms are finalized. On the numbers: FY2024 revenue of $6,450,000, gross margin 40.0%, and Adjusted EBITDA of $962,150 (14.9% margin).</w:t>
      </w:r>
    </w:p>
    <w:p>
      <w:pPr>
        <w:pStyle w:val="Heading1"/>
      </w:pPr>
      <w:r>
        <w:t>Flag Summary (Situation → Complication → What It Means)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Flag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Headline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Expense-timing shift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88600"/>
                <w:sz w:val="20"/>
              </w:rPr>
              <w:t>YELLOW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COGS-to-revenue ratio dropped sharply, FY2023→FY2024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Customer concentration</w:t>
            </w:r>
          </w:p>
        </w:tc>
        <w:tc>
          <w:tcPr>
            <w:tcW w:type="dxa" w:w="3312"/>
          </w:tcPr>
          <w:p>
            <w:r/>
            <w:r>
              <w:rPr>
                <w:b/>
                <w:color w:val="B88600"/>
                <w:sz w:val="20"/>
              </w:rPr>
              <w:t>YELLOW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Top customer is 28% of FY2024 revenue</w:t>
            </w:r>
          </w:p>
        </w:tc>
      </w:tr>
    </w:tbl>
    <w:p>
      <w:pPr>
        <w:pStyle w:val="Heading1"/>
      </w:pPr>
      <w:r>
        <w:t>Financial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FY2023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$5,400,000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$5,900,000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$6,450,000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Gross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33.0%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33.2%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40.0%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$346,800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$148,100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$742,150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EBITDA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6.4%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2.5%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11.5%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$406,800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$468,100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$962,150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Adjusted EBITDA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7.5%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7.9%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14.9%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Net income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$222,400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$21,200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$611,700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Working capital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$1,116,410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$1,223,676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$1,362,853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Operating working capital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$916,410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$983,676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$1,063,853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ratio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3.01x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2.97x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3.11x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DSCR (Adj. EBITDA basis)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3.06x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3.57x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7.46x</w:t>
            </w:r>
          </w:p>
        </w:tc>
      </w:tr>
    </w:tbl>
    <w:p>
      <w:pPr>
        <w:pStyle w:val="Heading1"/>
      </w:pPr>
      <w:r>
        <w:t>Quality-of-Earnings Addback Worksheet</w:t>
      </w:r>
    </w:p>
    <w:p>
      <w:r>
        <w:t>Adjusted EBITDA below reflects only the addbacks with a documented, itemized rationale. Related-party expense is intentionally excluded from this worksheet and handled instead as a flag requiring verification -- see Flag Summary.</w:t>
      </w:r>
    </w:p>
    <w:p>
      <w:pPr>
        <w:pStyle w:val="Heading2"/>
      </w:pPr>
      <w:r>
        <w:t>FY2022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$346,800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$60,000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$180,000 exceeds the assumed market replacement rate of $120,000 by $60,000.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$406,800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7.5%</w:t>
            </w:r>
          </w:p>
        </w:tc>
      </w:tr>
    </w:tbl>
    <w:p>
      <w:pPr>
        <w:pStyle w:val="Heading2"/>
      </w:pPr>
      <w:r>
        <w:t>FY2023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$148,100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Non-recurring / one-time expense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$180,000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[high] $180,000 booked as a one-time item in FY2023. Added back in full because it is separately identified in the source ledger and, by definition, should not recur under new ownership.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$140,000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$260,000 exceeds the assumed market replacement rate of $120,000 by $140,000.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$468,100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7.9%</w:t>
            </w:r>
          </w:p>
        </w:tc>
      </w:tr>
    </w:tbl>
    <w:p>
      <w:pPr>
        <w:pStyle w:val="Heading2"/>
      </w:pPr>
      <w:r>
        <w:t>FY2024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$742,150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$220,000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$340,000 exceeds the assumed market replacement rate of $120,000 by $220,000.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$962,150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14.9%</w:t>
            </w:r>
          </w:p>
        </w:tc>
      </w:tr>
    </w:tbl>
    <w:p>
      <w:pPr>
        <w:pStyle w:val="Heading1"/>
      </w:pPr>
      <w:r>
        <w:t>Anomaly Detail</w:t>
      </w:r>
    </w:p>
    <w:p>
      <w:pPr>
        <w:pStyle w:val="Heading2"/>
      </w:pPr>
      <w:r>
        <w:rPr>
          <w:color w:val="B88600"/>
        </w:rPr>
        <w:t>YELLOW — COGS-to-revenue ratio dropped sharply, FY2023→FY2024</w:t>
      </w:r>
    </w:p>
    <w:p>
      <w:r>
        <w:t>Cost of goods sold fell from 66.8% of revenue in FY2023 to 60.0% in FY2024, an improvement of 6.8 points with no documented pricing or sourcing change on file. Gross margin expansion this sharp, right before a sale process, warrants verifying that period-end costs were not deferred or reclassified below the line.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fiscal years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FY2023→FY2024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cogs pct prior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66.8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cogs pct current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60.0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drop points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6.8</w:t>
            </w:r>
          </w:p>
        </w:tc>
      </w:tr>
    </w:tbl>
    <w:p/>
    <w:p>
      <w:pPr>
        <w:pStyle w:val="Heading2"/>
      </w:pPr>
      <w:r>
        <w:rPr>
          <w:color w:val="B88600"/>
        </w:rPr>
        <w:t>YELLOW — Top customer is 28% of FY2024 revenue</w:t>
      </w:r>
    </w:p>
    <w:p>
      <w:r>
        <w:t>The largest customer represented 28% of FY2024 revenue (top three: 57%, HHI 3053). Retention risk on this account should be underwritten explicitly -- get contract terms, tenure, and a reference call before assuming this revenue transfers with the business.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fiscal year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2024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top1 pct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28.0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top3 pct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57.1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hhi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3053.0</w:t>
            </w:r>
          </w:p>
        </w:tc>
      </w:tr>
    </w:tbl>
    <w:p/>
    <w:p>
      <w:pPr>
        <w:pStyle w:val="Heading1"/>
      </w:pPr>
      <w:r>
        <w:t>Benchmark Positioning</w:t>
      </w:r>
    </w:p>
    <w:p>
      <w:r>
        <w:t>Ranges are compiled from publicly available small-business benchmarking sources (RMA Annual Statement Studies category medians, IBISWorld-style industry reports) and are directional only. Being outside a range is context, not automatically a flag.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Company (latest FY)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Benchmark low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Benchmark high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Position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gross margin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40.0%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45.0%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ebitda margin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11.5%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6.0%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current ratio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310.5%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130.0%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240.0%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above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dso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41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55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</w:tbl>
    <w:p>
      <w:pPr>
        <w:pStyle w:val="Heading1"/>
      </w:pPr>
      <w:r>
        <w:t>Customer Concentration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0"/>
              </w:rPr>
              <w:t>FY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Top customer %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Top 3 %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HHI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# Customers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24.0%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3086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26.0%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56.1%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3061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28.0%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57.1%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3053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</w:tbl>
    <w:p>
      <w:pPr>
        <w:pStyle w:val="Heading1"/>
      </w:pPr>
      <w:r>
        <w:t>Methodology and Data Lineage</w:t>
      </w:r>
    </w:p>
    <w:p>
      <w:r>
        <w:t>Source statements were parsed and mapped onto a fixed canonical chart of accounts using exact-match, fuzzy-match, and (where configured) LLM-assisted classification. 1 line item(s) across the reviewed periods were mapped with less than full confidence or require manual review; see mapping_table.csv in this run's output folder for the complete, human-auditable mapping.</w:t>
      </w:r>
    </w:p>
    <w:p>
      <w:r>
        <w:t>The following source labels could not be confidently mapped and were EXCLUDED from the figures above pending manual review: Contract Labor</w:t>
      </w:r>
    </w:p>
    <w:p>
      <w:r>
        <w:t>This memo is a quantitative first pass. It does not substitute for legal review, bank/lender confirmations, tax return reconciliation, or management interviews.</w:t>
      </w:r>
    </w:p>
    <w:p>
      <w:pPr>
        <w:pStyle w:val="Heading1"/>
      </w:pPr>
      <w:r>
        <w:t>Appendix: Full Ratio Backup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FY2023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COGS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$3,618,000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$3,941,200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$3,870,000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Gross profit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$1,782,000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$1,958,800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$2,580,000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Operating expenses (incl. D&amp;A)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$1,519,200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$1,902,700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$1,939,850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assets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$1,671,778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$1,845,038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$2,010,143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liabilities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$555,368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$621,362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$647,290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sales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41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payable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inventory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81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