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PowerPoint_Slide.sldx" ContentType="application/vnd.openxmlformats-officedocument.presentationml.slide"/>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259" w:type="dxa"/>
        <w:jc w:val="right"/>
        <w:tblCellMar>
          <w:left w:w="115" w:type="dxa"/>
          <w:right w:w="115" w:type="dxa"/>
        </w:tblCellMar>
        <w:tblLook w:val="01E0" w:firstRow="1" w:lastRow="1" w:firstColumn="1" w:lastColumn="1" w:noHBand="0" w:noVBand="0"/>
      </w:tblPr>
      <w:tblGrid>
        <w:gridCol w:w="1442"/>
        <w:gridCol w:w="3590"/>
        <w:gridCol w:w="274"/>
        <w:gridCol w:w="4932"/>
        <w:gridCol w:w="21"/>
      </w:tblGrid>
      <w:tr w:rsidR="00E31F67" w:rsidRPr="00FA6CEC" w14:paraId="202E3D71" w14:textId="77777777" w:rsidTr="00B630BE">
        <w:trPr>
          <w:trHeight w:val="557"/>
          <w:jc w:val="right"/>
        </w:trPr>
        <w:tc>
          <w:tcPr>
            <w:tcW w:w="5306" w:type="dxa"/>
            <w:gridSpan w:val="3"/>
          </w:tcPr>
          <w:p w14:paraId="21C85914" w14:textId="77777777" w:rsidR="00E31F67" w:rsidRPr="00FA6CEC" w:rsidRDefault="00E31F67" w:rsidP="0061701F">
            <w:pPr>
              <w:pStyle w:val="TableofFigures"/>
              <w:tabs>
                <w:tab w:val="right" w:leader="dot" w:pos="8296"/>
              </w:tabs>
              <w:bidi/>
              <w:ind w:left="1098" w:hanging="312"/>
              <w:jc w:val="both"/>
              <w:rPr>
                <w:rFonts w:ascii="Arial" w:hAnsi="Arial" w:cs="Arial"/>
                <w:color w:val="1C63AA"/>
                <w:sz w:val="72"/>
                <w:szCs w:val="72"/>
                <w:rtl/>
              </w:rPr>
            </w:pPr>
            <w:r>
              <w:rPr>
                <w:rFonts w:ascii="Arial" w:hAnsi="Arial" w:cs="Arial"/>
                <w:noProof/>
                <w:color w:val="1C63AA"/>
                <w:sz w:val="72"/>
                <w:szCs w:val="72"/>
                <w:lang w:eastAsia="en-US"/>
              </w:rPr>
              <w:lastRenderedPageBreak/>
              <w:drawing>
                <wp:inline distT="0" distB="0" distL="0" distR="0" wp14:anchorId="4C650546" wp14:editId="5A882B7D">
                  <wp:extent cx="2717165" cy="500380"/>
                  <wp:effectExtent l="0" t="0" r="6985" b="0"/>
                  <wp:docPr id="98" name="Picture 98" descr="\\dsp-disk.eng.tau.ac.il\Documents\eeproj\Forms &amp; Important\פרויקטים\הנחיות\Guidelines\Students\ENG_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sp-disk.eng.tau.ac.il\Documents\eeproj\Forms &amp; Important\פרויקטים\הנחיות\Guidelines\Students\ENG_LOGO-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7165" cy="500380"/>
                          </a:xfrm>
                          <a:prstGeom prst="rect">
                            <a:avLst/>
                          </a:prstGeom>
                          <a:noFill/>
                          <a:ln>
                            <a:noFill/>
                          </a:ln>
                        </pic:spPr>
                      </pic:pic>
                    </a:graphicData>
                  </a:graphic>
                </wp:inline>
              </w:drawing>
            </w:r>
          </w:p>
        </w:tc>
        <w:tc>
          <w:tcPr>
            <w:tcW w:w="4953" w:type="dxa"/>
            <w:gridSpan w:val="2"/>
          </w:tcPr>
          <w:p w14:paraId="1E0E2856" w14:textId="77777777" w:rsidR="00E31F67" w:rsidRPr="00FA6CEC" w:rsidRDefault="00E31F67" w:rsidP="00C9601F">
            <w:pPr>
              <w:pStyle w:val="TableofFigures"/>
              <w:tabs>
                <w:tab w:val="right" w:leader="dot" w:pos="8296"/>
              </w:tabs>
              <w:ind w:hanging="588"/>
              <w:jc w:val="both"/>
              <w:rPr>
                <w:rFonts w:ascii="Arial" w:hAnsi="Arial" w:cs="Arial"/>
                <w:b/>
                <w:bCs/>
                <w:color w:val="1C63AA"/>
                <w:sz w:val="32"/>
                <w:szCs w:val="32"/>
              </w:rPr>
            </w:pPr>
            <w:r>
              <w:rPr>
                <w:rFonts w:ascii="Arial" w:hAnsi="Arial" w:cs="Arial"/>
                <w:b/>
                <w:bCs/>
                <w:noProof/>
                <w:color w:val="1C63AA"/>
                <w:sz w:val="32"/>
                <w:szCs w:val="32"/>
                <w:lang w:eastAsia="en-US"/>
              </w:rPr>
              <w:drawing>
                <wp:inline distT="0" distB="0" distL="0" distR="0" wp14:anchorId="34F94B2E" wp14:editId="4D108044">
                  <wp:extent cx="3062605" cy="534670"/>
                  <wp:effectExtent l="0" t="0" r="4445" b="0"/>
                  <wp:docPr id="97" name="Picture 97" descr="\\dsp-disk.eng.tau.ac.il\Documents\eeproj\Forms &amp; Important\פרויקטים\הנחיות\Guidelines\Students\TAU_Engineerin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sp-disk.eng.tau.ac.il\Documents\eeproj\Forms &amp; Important\פרויקטים\הנחיות\Guidelines\Students\TAU_EngineeringE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2605" cy="534670"/>
                          </a:xfrm>
                          <a:prstGeom prst="rect">
                            <a:avLst/>
                          </a:prstGeom>
                          <a:noFill/>
                          <a:ln>
                            <a:noFill/>
                          </a:ln>
                        </pic:spPr>
                      </pic:pic>
                    </a:graphicData>
                  </a:graphic>
                </wp:inline>
              </w:drawing>
            </w:r>
          </w:p>
        </w:tc>
      </w:tr>
      <w:tr w:rsidR="00E71B18" w:rsidRPr="00FA6CEC" w14:paraId="38F40854" w14:textId="77777777" w:rsidTr="00B630BE">
        <w:trPr>
          <w:gridAfter w:val="1"/>
          <w:wAfter w:w="21" w:type="dxa"/>
          <w:trHeight w:val="1552"/>
          <w:jc w:val="right"/>
        </w:trPr>
        <w:tc>
          <w:tcPr>
            <w:tcW w:w="10238" w:type="dxa"/>
            <w:gridSpan w:val="4"/>
          </w:tcPr>
          <w:p w14:paraId="28F7D57E" w14:textId="77777777" w:rsidR="00E31F67" w:rsidRDefault="00E31F67" w:rsidP="00AA4AAA">
            <w:pPr>
              <w:pStyle w:val="TableofFigures"/>
              <w:tabs>
                <w:tab w:val="right" w:leader="dot" w:pos="8296"/>
              </w:tabs>
              <w:bidi/>
              <w:ind w:left="4" w:hanging="4"/>
              <w:jc w:val="center"/>
              <w:rPr>
                <w:rFonts w:ascii="Arial" w:hAnsi="Arial" w:cs="Arial"/>
                <w:sz w:val="72"/>
                <w:szCs w:val="72"/>
                <w:rtl/>
              </w:rPr>
            </w:pPr>
          </w:p>
          <w:p w14:paraId="46C61A84" w14:textId="77777777" w:rsidR="0022533C" w:rsidRPr="00AA4AAA" w:rsidRDefault="0022533C" w:rsidP="0061701F">
            <w:pPr>
              <w:pStyle w:val="TableofFigures"/>
              <w:tabs>
                <w:tab w:val="right" w:leader="dot" w:pos="8296"/>
              </w:tabs>
              <w:bidi/>
              <w:ind w:left="1240" w:hanging="4"/>
              <w:jc w:val="center"/>
              <w:rPr>
                <w:rFonts w:ascii="Arial" w:hAnsi="Arial" w:cs="Arial"/>
                <w:sz w:val="72"/>
                <w:szCs w:val="72"/>
                <w:rtl/>
              </w:rPr>
            </w:pPr>
            <w:r>
              <w:rPr>
                <w:rFonts w:ascii="Arial" w:hAnsi="Arial" w:cs="Arial" w:hint="cs"/>
                <w:sz w:val="72"/>
                <w:szCs w:val="72"/>
                <w:rtl/>
              </w:rPr>
              <w:t>האצת התמרה תיאורטית-מספרית (NTT) על מעבד גרפי (GPU)</w:t>
            </w:r>
            <w:proofErr w:type="spellStart"/>
            <w:r>
              <w:rPr>
                <w:rFonts w:ascii="Arial" w:hAnsi="Arial" w:cs="Arial" w:hint="cs"/>
                <w:sz w:val="72"/>
                <w:szCs w:val="72"/>
                <w:rtl/>
              </w:rPr>
            </w:r>
            <w:r w:rsidR="008C4C3E">
              <w:rPr>
                <w:rFonts w:ascii="Arial" w:hAnsi="Arial" w:cs="Arial" w:hint="cs"/>
                <w:sz w:val="72"/>
                <w:szCs w:val="72"/>
                <w:rtl/>
              </w:rPr>
            </w:r>
            <w:r>
              <w:rPr>
                <w:rFonts w:ascii="Arial" w:hAnsi="Arial" w:cs="Arial" w:hint="cs"/>
                <w:sz w:val="72"/>
                <w:szCs w:val="72"/>
                <w:rtl/>
              </w:rPr>
            </w:r>
            <w:proofErr w:type="spellEnd"/>
            <w:r>
              <w:rPr>
                <w:rFonts w:ascii="Arial" w:hAnsi="Arial" w:cs="Arial" w:hint="cs"/>
                <w:sz w:val="72"/>
                <w:szCs w:val="72"/>
                <w:rtl/>
              </w:rPr>
            </w:r>
          </w:p>
        </w:tc>
      </w:tr>
      <w:tr w:rsidR="00E71B18" w:rsidRPr="00FA6CEC" w14:paraId="7E1D478A" w14:textId="77777777" w:rsidTr="00B630BE">
        <w:trPr>
          <w:gridAfter w:val="1"/>
          <w:wAfter w:w="21" w:type="dxa"/>
          <w:trHeight w:val="845"/>
          <w:jc w:val="right"/>
        </w:trPr>
        <w:tc>
          <w:tcPr>
            <w:tcW w:w="10238" w:type="dxa"/>
            <w:gridSpan w:val="4"/>
          </w:tcPr>
          <w:p w14:paraId="04F05835" w14:textId="77777777" w:rsidR="00E71B18" w:rsidRDefault="00E71B18" w:rsidP="00AA4AAA">
            <w:pPr>
              <w:pStyle w:val="TableofFigures"/>
              <w:tabs>
                <w:tab w:val="right" w:leader="dot" w:pos="8296"/>
              </w:tabs>
              <w:bidi/>
              <w:spacing w:before="120"/>
              <w:ind w:left="0" w:firstLine="0"/>
              <w:jc w:val="center"/>
              <w:rPr>
                <w:rFonts w:ascii="Arial" w:hAnsi="Arial" w:cs="Arial"/>
                <w:sz w:val="40"/>
                <w:szCs w:val="40"/>
              </w:rPr>
            </w:pPr>
            <w:r w:rsidRPr="00FA6CEC">
              <w:rPr>
                <w:rFonts w:ascii="Arial" w:hAnsi="Arial" w:cs="Arial"/>
                <w:sz w:val="40"/>
                <w:szCs w:val="40"/>
                <w:rtl/>
              </w:rPr>
              <w:t>פרויקט מס' 3363</w:t>
            </w:r>
            <w:r w:rsidR="0022533C">
              <w:rPr>
                <w:rFonts w:ascii="Arial" w:hAnsi="Arial" w:cs="Arial" w:hint="cs"/>
                <w:sz w:val="40"/>
                <w:szCs w:val="40"/>
                <w:rtl/>
              </w:rPr>
            </w:r>
            <w:r w:rsidR="0022533C">
              <w:rPr>
                <w:rFonts w:ascii="Arial" w:hAnsi="Arial" w:cs="Arial"/>
                <w:sz w:val="40"/>
                <w:szCs w:val="40"/>
              </w:rPr>
            </w:r>
          </w:p>
          <w:p w14:paraId="1374ACFE" w14:textId="77777777" w:rsidR="0022533C" w:rsidRPr="00AA4AAA" w:rsidRDefault="0022533C" w:rsidP="00AA4AAA">
            <w:pPr>
              <w:bidi/>
              <w:spacing w:before="120"/>
              <w:jc w:val="center"/>
              <w:rPr>
                <w:rFonts w:ascii="Arial" w:hAnsi="Arial" w:cs="Arial"/>
                <w:sz w:val="40"/>
                <w:szCs w:val="40"/>
                <w:rtl/>
                <w:lang w:eastAsia="he-IL"/>
              </w:rPr>
            </w:pPr>
            <w:r w:rsidRPr="0022533C">
              <w:rPr>
                <w:rFonts w:ascii="Arial" w:hAnsi="Arial" w:cs="Arial" w:hint="cs"/>
                <w:sz w:val="40"/>
                <w:szCs w:val="40"/>
                <w:rtl/>
                <w:lang w:eastAsia="he-IL"/>
              </w:rPr>
              <w:t>דו"ח סיכום</w:t>
            </w:r>
          </w:p>
        </w:tc>
      </w:tr>
      <w:tr w:rsidR="00E71B18" w:rsidRPr="00FA6CEC" w14:paraId="0FB75F68" w14:textId="77777777" w:rsidTr="00B630BE">
        <w:trPr>
          <w:gridAfter w:val="1"/>
          <w:wAfter w:w="21" w:type="dxa"/>
          <w:trHeight w:val="546"/>
          <w:jc w:val="right"/>
        </w:trPr>
        <w:tc>
          <w:tcPr>
            <w:tcW w:w="10238" w:type="dxa"/>
            <w:gridSpan w:val="4"/>
          </w:tcPr>
          <w:p w14:paraId="444E6CF9" w14:textId="77777777" w:rsidR="00E71B18" w:rsidRPr="00FA6CEC" w:rsidRDefault="00085903" w:rsidP="0061701F">
            <w:pPr>
              <w:pStyle w:val="TableofFigures"/>
              <w:tabs>
                <w:tab w:val="right" w:leader="dot" w:pos="8296"/>
              </w:tabs>
              <w:bidi/>
              <w:spacing w:before="100" w:beforeAutospacing="1"/>
              <w:ind w:left="1211" w:firstLine="0"/>
              <w:jc w:val="both"/>
              <w:rPr>
                <w:rFonts w:ascii="Arial" w:hAnsi="Arial" w:cs="Arial"/>
                <w:sz w:val="52"/>
                <w:szCs w:val="52"/>
                <w:rtl/>
              </w:rPr>
            </w:pPr>
            <w:r>
              <w:rPr>
                <w:rFonts w:ascii="Arial" w:hAnsi="Arial" w:cs="Arial" w:hint="cs"/>
                <w:sz w:val="32"/>
                <w:szCs w:val="32"/>
                <w:rtl/>
              </w:rPr>
              <w:t xml:space="preserve">      </w:t>
            </w:r>
            <w:r w:rsidR="00E71B18" w:rsidRPr="00FA6CEC">
              <w:rPr>
                <w:rFonts w:ascii="Arial" w:hAnsi="Arial" w:cs="Arial"/>
                <w:sz w:val="32"/>
                <w:szCs w:val="32"/>
                <w:rtl/>
              </w:rPr>
              <w:t xml:space="preserve">מבצעים: </w:t>
            </w:r>
          </w:p>
        </w:tc>
      </w:tr>
      <w:tr w:rsidR="00E71B18" w:rsidRPr="00FA6CEC" w14:paraId="6CEA00CB" w14:textId="77777777" w:rsidTr="00B630BE">
        <w:trPr>
          <w:gridAfter w:val="1"/>
          <w:wAfter w:w="21" w:type="dxa"/>
          <w:cantSplit/>
          <w:trHeight w:val="20"/>
          <w:jc w:val="right"/>
        </w:trPr>
        <w:tc>
          <w:tcPr>
            <w:tcW w:w="1442" w:type="dxa"/>
          </w:tcPr>
          <w:p w14:paraId="08D3CF2F" w14:textId="77777777" w:rsidR="00E71B18" w:rsidRPr="00FA6CEC" w:rsidRDefault="00E71B18" w:rsidP="00AA4AAA">
            <w:pPr>
              <w:pStyle w:val="TableofFigures"/>
              <w:tabs>
                <w:tab w:val="right" w:leader="dot" w:pos="8296"/>
              </w:tabs>
              <w:bidi/>
              <w:spacing w:before="100" w:beforeAutospacing="1"/>
              <w:ind w:left="0" w:firstLine="0"/>
              <w:rPr>
                <w:rFonts w:ascii="Arial" w:hAnsi="Arial" w:cs="Arial"/>
                <w:sz w:val="52"/>
                <w:szCs w:val="52"/>
                <w:rtl/>
              </w:rPr>
            </w:pPr>
          </w:p>
        </w:tc>
        <w:tc>
          <w:tcPr>
            <w:tcW w:w="3590" w:type="dxa"/>
          </w:tcPr>
          <w:p w14:paraId="40BFEC9B" w14:textId="77777777" w:rsidR="00E71B18" w:rsidRPr="00FA6CEC" w:rsidRDefault="00085903" w:rsidP="00AA4AAA">
            <w:pPr>
              <w:pStyle w:val="TableofFigures"/>
              <w:tabs>
                <w:tab w:val="right" w:leader="dot" w:pos="8296"/>
              </w:tabs>
              <w:bidi/>
              <w:spacing w:before="100" w:beforeAutospacing="1"/>
              <w:ind w:left="0" w:firstLine="0"/>
              <w:rPr>
                <w:rFonts w:ascii="Arial" w:hAnsi="Arial" w:cs="Arial"/>
                <w:sz w:val="52"/>
                <w:szCs w:val="52"/>
                <w:rtl/>
              </w:rPr>
            </w:pPr>
            <w:r>
              <w:rPr>
                <w:rFonts w:ascii="Arial" w:hAnsi="Arial" w:cs="Arial" w:hint="cs"/>
                <w:sz w:val="32"/>
                <w:szCs w:val="32"/>
                <w:rtl/>
              </w:rPr>
              <w:t xml:space="preserve">        כרים בוואקני</w:t>
            </w:r>
            <w:r w:rsidR="00E71B18" w:rsidRPr="00FA6CEC">
              <w:rPr>
                <w:rFonts w:ascii="Arial" w:hAnsi="Arial" w:cs="Arial"/>
                <w:sz w:val="32"/>
                <w:szCs w:val="32"/>
                <w:rtl/>
              </w:rPr>
            </w:r>
          </w:p>
        </w:tc>
        <w:tc>
          <w:tcPr>
            <w:tcW w:w="5206" w:type="dxa"/>
            <w:gridSpan w:val="2"/>
          </w:tcPr>
          <w:p w14:paraId="1DE4C86F" w14:textId="77777777" w:rsidR="00E71B18" w:rsidRPr="00FA6CEC" w:rsidRDefault="00E71B18" w:rsidP="00AA4AAA">
            <w:pPr>
              <w:pStyle w:val="TableofFigures"/>
              <w:tabs>
                <w:tab w:val="right" w:leader="dot" w:pos="8296"/>
              </w:tabs>
              <w:bidi/>
              <w:spacing w:before="100" w:beforeAutospacing="1"/>
              <w:ind w:left="0" w:firstLine="0"/>
              <w:rPr>
                <w:rFonts w:ascii="Arial" w:hAnsi="Arial" w:cs="Arial"/>
                <w:sz w:val="52"/>
                <w:szCs w:val="52"/>
                <w:rtl/>
              </w:rPr>
            </w:pPr>
            <w:r w:rsidRPr="00FA6CEC">
              <w:rPr>
                <w:rFonts w:ascii="Arial" w:hAnsi="Arial" w:cs="Arial"/>
                <w:sz w:val="32"/>
                <w:szCs w:val="32"/>
                <w:rtl/>
              </w:rPr>
              <w:t>[ת"ז]</w:t>
            </w:r>
          </w:p>
        </w:tc>
      </w:tr>
      <w:tr w:rsidR="00E71B18" w:rsidRPr="00FA6CEC" w14:paraId="6E48789A" w14:textId="77777777" w:rsidTr="00B630BE">
        <w:trPr>
          <w:gridAfter w:val="1"/>
          <w:wAfter w:w="21" w:type="dxa"/>
          <w:cantSplit/>
          <w:trHeight w:val="20"/>
          <w:jc w:val="right"/>
        </w:trPr>
        <w:tc>
          <w:tcPr>
            <w:tcW w:w="1442" w:type="dxa"/>
          </w:tcPr>
          <w:p w14:paraId="682D6DF8" w14:textId="77777777" w:rsidR="00E71B18" w:rsidRPr="00FA6CEC" w:rsidRDefault="00E71B18" w:rsidP="00AA4AAA">
            <w:pPr>
              <w:pStyle w:val="TableofFigures"/>
              <w:tabs>
                <w:tab w:val="right" w:leader="dot" w:pos="8296"/>
              </w:tabs>
              <w:bidi/>
              <w:spacing w:before="100" w:beforeAutospacing="1"/>
              <w:ind w:left="0" w:firstLine="0"/>
              <w:rPr>
                <w:rFonts w:ascii="Arial" w:hAnsi="Arial" w:cs="Arial"/>
                <w:sz w:val="52"/>
                <w:szCs w:val="52"/>
                <w:rtl/>
              </w:rPr>
            </w:pPr>
          </w:p>
        </w:tc>
        <w:tc>
          <w:tcPr>
            <w:tcW w:w="3590" w:type="dxa"/>
          </w:tcPr>
          <w:p w14:paraId="31E0B79C" w14:textId="77777777" w:rsidR="00E71B18" w:rsidRPr="00FA6CEC" w:rsidRDefault="00085903" w:rsidP="00AA4AAA">
            <w:pPr>
              <w:pStyle w:val="TableofFigures"/>
              <w:tabs>
                <w:tab w:val="right" w:leader="dot" w:pos="8296"/>
              </w:tabs>
              <w:bidi/>
              <w:ind w:left="0" w:firstLine="0"/>
              <w:rPr>
                <w:rFonts w:ascii="Arial" w:hAnsi="Arial" w:cs="Arial"/>
                <w:sz w:val="32"/>
                <w:szCs w:val="32"/>
                <w:rtl/>
              </w:rPr>
            </w:pPr>
            <w:r>
              <w:rPr>
                <w:rFonts w:ascii="Arial" w:hAnsi="Arial" w:cs="Arial" w:hint="cs"/>
                <w:sz w:val="32"/>
                <w:szCs w:val="32"/>
                <w:rtl/>
              </w:rPr>
              <w:t xml:space="preserve">        חכים נג'אר</w:t>
            </w:r>
            <w:r w:rsidR="00E71B18" w:rsidRPr="00FA6CEC">
              <w:rPr>
                <w:rFonts w:ascii="Arial" w:hAnsi="Arial" w:cs="Arial"/>
                <w:sz w:val="32"/>
                <w:szCs w:val="32"/>
                <w:rtl/>
              </w:rPr>
            </w:r>
          </w:p>
        </w:tc>
        <w:tc>
          <w:tcPr>
            <w:tcW w:w="5206" w:type="dxa"/>
            <w:gridSpan w:val="2"/>
          </w:tcPr>
          <w:p w14:paraId="14F0A076" w14:textId="77777777" w:rsidR="00E71B18" w:rsidRPr="00FA6CEC" w:rsidRDefault="00E71B18" w:rsidP="00AA4AAA">
            <w:pPr>
              <w:pStyle w:val="TableofFigures"/>
              <w:tabs>
                <w:tab w:val="right" w:leader="dot" w:pos="8296"/>
              </w:tabs>
              <w:bidi/>
              <w:ind w:left="0" w:firstLine="0"/>
              <w:rPr>
                <w:rFonts w:ascii="Arial" w:hAnsi="Arial" w:cs="Arial"/>
                <w:sz w:val="32"/>
                <w:szCs w:val="32"/>
                <w:rtl/>
              </w:rPr>
            </w:pPr>
            <w:r w:rsidRPr="00FA6CEC">
              <w:rPr>
                <w:rFonts w:ascii="Arial" w:hAnsi="Arial" w:cs="Arial"/>
                <w:sz w:val="32"/>
                <w:szCs w:val="32"/>
                <w:rtl/>
              </w:rPr>
              <w:t>[ת"ז]</w:t>
            </w:r>
          </w:p>
        </w:tc>
      </w:tr>
      <w:tr w:rsidR="00E71B18" w:rsidRPr="00FA6CEC" w14:paraId="6CE4162E" w14:textId="77777777" w:rsidTr="00B630BE">
        <w:trPr>
          <w:gridAfter w:val="1"/>
          <w:wAfter w:w="21" w:type="dxa"/>
          <w:jc w:val="right"/>
        </w:trPr>
        <w:tc>
          <w:tcPr>
            <w:tcW w:w="10238" w:type="dxa"/>
            <w:gridSpan w:val="4"/>
          </w:tcPr>
          <w:p w14:paraId="6D478C73" w14:textId="77777777" w:rsidR="00E71B18" w:rsidRPr="00FA6CEC" w:rsidRDefault="0061701F" w:rsidP="00AA4AAA">
            <w:pPr>
              <w:pStyle w:val="TableofFigures"/>
              <w:tabs>
                <w:tab w:val="right" w:leader="dot" w:pos="8296"/>
              </w:tabs>
              <w:bidi/>
              <w:spacing w:before="100" w:beforeAutospacing="1"/>
              <w:ind w:left="0" w:firstLine="0"/>
              <w:jc w:val="both"/>
              <w:rPr>
                <w:rFonts w:ascii="Arial" w:hAnsi="Arial" w:cs="Arial"/>
                <w:sz w:val="32"/>
                <w:szCs w:val="32"/>
                <w:rtl/>
              </w:rPr>
            </w:pPr>
            <w:r>
              <w:rPr>
                <w:rFonts w:ascii="Arial" w:hAnsi="Arial" w:cs="Arial" w:hint="cs"/>
                <w:sz w:val="32"/>
                <w:szCs w:val="32"/>
                <w:rtl/>
              </w:rPr>
              <w:t xml:space="preserve">             </w:t>
            </w:r>
            <w:r w:rsidR="00085903">
              <w:rPr>
                <w:rFonts w:ascii="Arial" w:hAnsi="Arial" w:cs="Arial" w:hint="cs"/>
                <w:sz w:val="32"/>
                <w:szCs w:val="32"/>
                <w:rtl/>
              </w:rPr>
              <w:t xml:space="preserve">     </w:t>
            </w:r>
            <w:r w:rsidR="00E71B18" w:rsidRPr="00FA6CEC">
              <w:rPr>
                <w:rFonts w:ascii="Arial" w:hAnsi="Arial" w:cs="Arial"/>
                <w:sz w:val="32"/>
                <w:szCs w:val="32"/>
                <w:rtl/>
              </w:rPr>
              <w:t>מנחים:</w:t>
            </w:r>
          </w:p>
        </w:tc>
      </w:tr>
      <w:tr w:rsidR="00E71B18" w:rsidRPr="00FA6CEC" w14:paraId="239068DB" w14:textId="77777777" w:rsidTr="00B630BE">
        <w:trPr>
          <w:gridAfter w:val="1"/>
          <w:wAfter w:w="21" w:type="dxa"/>
          <w:trHeight w:val="504"/>
          <w:jc w:val="right"/>
        </w:trPr>
        <w:tc>
          <w:tcPr>
            <w:tcW w:w="1442" w:type="dxa"/>
          </w:tcPr>
          <w:p w14:paraId="0533CD0A" w14:textId="77777777" w:rsidR="00E71B18" w:rsidRPr="002337CC" w:rsidRDefault="00E71B18" w:rsidP="00AA4AAA">
            <w:pPr>
              <w:pStyle w:val="TableofFigures"/>
              <w:tabs>
                <w:tab w:val="right" w:leader="dot" w:pos="8296"/>
              </w:tabs>
              <w:bidi/>
              <w:spacing w:before="100" w:beforeAutospacing="1"/>
              <w:ind w:left="0" w:firstLine="0"/>
              <w:jc w:val="both"/>
              <w:rPr>
                <w:rFonts w:ascii="Arial" w:hAnsi="Arial" w:cs="Arial"/>
                <w:sz w:val="28"/>
                <w:szCs w:val="28"/>
                <w:rtl/>
              </w:rPr>
            </w:pPr>
          </w:p>
        </w:tc>
        <w:tc>
          <w:tcPr>
            <w:tcW w:w="3590" w:type="dxa"/>
          </w:tcPr>
          <w:p w14:paraId="2F4DA285" w14:textId="77777777" w:rsidR="00E71B18" w:rsidRPr="00FA6CEC" w:rsidRDefault="00085903" w:rsidP="00AA4AAA">
            <w:pPr>
              <w:pStyle w:val="TableofFigures"/>
              <w:tabs>
                <w:tab w:val="right" w:leader="dot" w:pos="8296"/>
              </w:tabs>
              <w:bidi/>
              <w:spacing w:before="100" w:beforeAutospacing="1"/>
              <w:ind w:left="0" w:firstLine="0"/>
              <w:jc w:val="both"/>
              <w:rPr>
                <w:rFonts w:ascii="Arial" w:hAnsi="Arial" w:cs="Arial"/>
                <w:sz w:val="32"/>
                <w:szCs w:val="32"/>
                <w:rtl/>
              </w:rPr>
            </w:pPr>
            <w:r>
              <w:rPr>
                <w:rFonts w:ascii="Arial" w:hAnsi="Arial" w:cs="Arial" w:hint="cs"/>
                <w:sz w:val="32"/>
                <w:szCs w:val="32"/>
                <w:rtl/>
              </w:rPr>
              <w:t xml:space="preserve">     מר אורן גנון </w:t>
            </w:r>
            <w:r w:rsidR="00E71B18" w:rsidRPr="00FA6CEC">
              <w:rPr>
                <w:rFonts w:ascii="Arial" w:hAnsi="Arial" w:cs="Arial"/>
                <w:sz w:val="32"/>
                <w:szCs w:val="32"/>
                <w:rtl/>
              </w:rPr>
            </w:r>
          </w:p>
        </w:tc>
        <w:tc>
          <w:tcPr>
            <w:tcW w:w="5206" w:type="dxa"/>
            <w:gridSpan w:val="2"/>
          </w:tcPr>
          <w:p w14:paraId="50609066" w14:textId="77777777" w:rsidR="00E71B18" w:rsidRPr="00FA6CEC" w:rsidRDefault="00E71B18" w:rsidP="00AA4AAA">
            <w:pPr>
              <w:pStyle w:val="TableofFigures"/>
              <w:tabs>
                <w:tab w:val="right" w:leader="dot" w:pos="8296"/>
              </w:tabs>
              <w:bidi/>
              <w:spacing w:before="100" w:beforeAutospacing="1"/>
              <w:ind w:left="0" w:firstLine="0"/>
              <w:jc w:val="both"/>
              <w:rPr>
                <w:rFonts w:ascii="Arial" w:hAnsi="Arial" w:cs="Arial"/>
                <w:sz w:val="32"/>
                <w:szCs w:val="32"/>
                <w:rtl/>
              </w:rPr>
            </w:pPr>
            <w:r w:rsidRPr="00FA6CEC">
              <w:rPr>
                <w:rFonts w:ascii="Arial" w:hAnsi="Arial" w:cs="Arial"/>
                <w:sz w:val="32"/>
                <w:szCs w:val="32"/>
                <w:rtl/>
              </w:rPr>
              <w:t xml:space="preserve">אוניברסיטת ת"א </w:t>
            </w:r>
          </w:p>
        </w:tc>
      </w:tr>
      <w:tr w:rsidR="00E71B18" w:rsidRPr="00FA6CEC" w14:paraId="166E6315" w14:textId="77777777" w:rsidTr="00B630BE">
        <w:trPr>
          <w:gridAfter w:val="1"/>
          <w:wAfter w:w="21" w:type="dxa"/>
          <w:trHeight w:val="537"/>
          <w:jc w:val="right"/>
        </w:trPr>
        <w:tc>
          <w:tcPr>
            <w:tcW w:w="1442" w:type="dxa"/>
          </w:tcPr>
          <w:p w14:paraId="76135E31" w14:textId="77777777" w:rsidR="00E71B18" w:rsidRPr="002337CC" w:rsidRDefault="00E71B18" w:rsidP="00AA4AAA">
            <w:pPr>
              <w:pStyle w:val="TableofFigures"/>
              <w:tabs>
                <w:tab w:val="right" w:leader="dot" w:pos="8296"/>
              </w:tabs>
              <w:bidi/>
              <w:spacing w:before="100" w:beforeAutospacing="1"/>
              <w:ind w:left="0" w:firstLine="0"/>
              <w:jc w:val="both"/>
              <w:rPr>
                <w:rFonts w:ascii="Arial" w:hAnsi="Arial" w:cs="Arial"/>
                <w:sz w:val="28"/>
                <w:szCs w:val="28"/>
                <w:rtl/>
              </w:rPr>
            </w:pPr>
          </w:p>
        </w:tc>
        <w:tc>
          <w:tcPr>
            <w:tcW w:w="3590" w:type="dxa"/>
          </w:tcPr>
          <w:p w14:paraId="60116653" w14:textId="77777777" w:rsidR="00E71B18" w:rsidRPr="00FA6CEC" w:rsidRDefault="00085903" w:rsidP="00AA4AAA">
            <w:pPr>
              <w:pStyle w:val="TableofFigures"/>
              <w:tabs>
                <w:tab w:val="right" w:leader="dot" w:pos="8296"/>
              </w:tabs>
              <w:bidi/>
              <w:spacing w:before="100" w:beforeAutospacing="1"/>
              <w:ind w:left="0" w:firstLine="0"/>
              <w:jc w:val="both"/>
              <w:rPr>
                <w:rFonts w:ascii="Arial" w:hAnsi="Arial" w:cs="Arial"/>
                <w:sz w:val="32"/>
                <w:szCs w:val="32"/>
                <w:rtl/>
              </w:rPr>
            </w:pPr>
            <w:r>
              <w:rPr>
                <w:rFonts w:ascii="Arial" w:hAnsi="Arial" w:cs="Arial" w:hint="cs"/>
                <w:sz w:val="32"/>
                <w:szCs w:val="32"/>
                <w:rtl/>
              </w:rPr>
              <w:t xml:space="preserve">     </w:t>
            </w:r>
            <w:r w:rsidR="00E71B18" w:rsidRPr="00FA6CEC">
              <w:rPr>
                <w:rFonts w:ascii="Arial" w:hAnsi="Arial" w:cs="Arial"/>
                <w:sz w:val="32"/>
                <w:szCs w:val="32"/>
                <w:rtl/>
              </w:rPr>
            </w:r>
          </w:p>
        </w:tc>
        <w:tc>
          <w:tcPr>
            <w:tcW w:w="5206" w:type="dxa"/>
            <w:gridSpan w:val="2"/>
          </w:tcPr>
          <w:p w14:paraId="168F66FB" w14:textId="77777777" w:rsidR="00E71B18" w:rsidRPr="00FA6CEC" w:rsidRDefault="00E71B18" w:rsidP="00AA4AAA">
            <w:pPr>
              <w:pStyle w:val="TableofFigures"/>
              <w:tabs>
                <w:tab w:val="right" w:leader="dot" w:pos="8296"/>
              </w:tabs>
              <w:bidi/>
              <w:spacing w:before="100" w:beforeAutospacing="1"/>
              <w:ind w:left="0" w:firstLine="0"/>
              <w:jc w:val="both"/>
              <w:rPr>
                <w:rFonts w:ascii="Arial" w:hAnsi="Arial" w:cs="Arial"/>
                <w:sz w:val="32"/>
                <w:szCs w:val="32"/>
                <w:rtl/>
              </w:rPr>
            </w:pPr>
            <w:r w:rsidRPr="00FA6CEC">
              <w:rPr>
                <w:rFonts w:ascii="Arial" w:hAnsi="Arial" w:cs="Arial"/>
                <w:sz w:val="32"/>
                <w:szCs w:val="32"/>
                <w:rtl/>
              </w:rPr>
            </w:r>
          </w:p>
        </w:tc>
      </w:tr>
      <w:tr w:rsidR="00E71B18" w:rsidRPr="00FA6CEC" w14:paraId="61373871" w14:textId="77777777" w:rsidTr="00B630BE">
        <w:trPr>
          <w:gridAfter w:val="1"/>
          <w:wAfter w:w="21" w:type="dxa"/>
          <w:trHeight w:val="432"/>
          <w:jc w:val="right"/>
        </w:trPr>
        <w:tc>
          <w:tcPr>
            <w:tcW w:w="10238" w:type="dxa"/>
            <w:gridSpan w:val="4"/>
          </w:tcPr>
          <w:p w14:paraId="23DBE370" w14:textId="77777777" w:rsidR="0061701F" w:rsidRDefault="0061701F" w:rsidP="00AA4AAA">
            <w:pPr>
              <w:pStyle w:val="TableofFigures"/>
              <w:tabs>
                <w:tab w:val="left" w:pos="935"/>
                <w:tab w:val="right" w:leader="dot" w:pos="8296"/>
              </w:tabs>
              <w:bidi/>
              <w:spacing w:before="100" w:beforeAutospacing="1"/>
              <w:ind w:left="482" w:hanging="482"/>
              <w:jc w:val="both"/>
              <w:rPr>
                <w:rFonts w:ascii="Arial" w:hAnsi="Arial" w:cs="Arial"/>
                <w:sz w:val="32"/>
                <w:szCs w:val="32"/>
                <w:rtl/>
              </w:rPr>
            </w:pPr>
            <w:r>
              <w:rPr>
                <w:rFonts w:ascii="Arial" w:hAnsi="Arial" w:cs="Arial" w:hint="cs"/>
                <w:sz w:val="32"/>
                <w:szCs w:val="32"/>
                <w:rtl/>
              </w:rPr>
              <w:t xml:space="preserve">            </w:t>
            </w:r>
          </w:p>
          <w:p w14:paraId="45B10C1D" w14:textId="77777777" w:rsidR="00E71B18" w:rsidRDefault="0061701F" w:rsidP="0061701F">
            <w:pPr>
              <w:pStyle w:val="TableofFigures"/>
              <w:tabs>
                <w:tab w:val="left" w:pos="935"/>
                <w:tab w:val="right" w:leader="dot" w:pos="8296"/>
              </w:tabs>
              <w:bidi/>
              <w:spacing w:before="100" w:beforeAutospacing="1"/>
              <w:ind w:left="482" w:hanging="482"/>
              <w:jc w:val="both"/>
              <w:rPr>
                <w:rFonts w:ascii="Arial" w:hAnsi="Arial" w:cs="Arial"/>
                <w:sz w:val="32"/>
                <w:szCs w:val="32"/>
                <w:rtl/>
              </w:rPr>
            </w:pPr>
            <w:r>
              <w:rPr>
                <w:rFonts w:ascii="Arial" w:hAnsi="Arial" w:cs="Arial" w:hint="cs"/>
                <w:sz w:val="32"/>
                <w:szCs w:val="32"/>
                <w:rtl/>
              </w:rPr>
              <w:t xml:space="preserve">              </w:t>
            </w:r>
            <w:r w:rsidR="00085903">
              <w:rPr>
                <w:rFonts w:ascii="Arial" w:hAnsi="Arial" w:cs="Arial" w:hint="cs"/>
                <w:sz w:val="32"/>
                <w:szCs w:val="32"/>
                <w:rtl/>
              </w:rPr>
              <w:t xml:space="preserve">           </w:t>
            </w:r>
            <w:r w:rsidR="00E71B18" w:rsidRPr="00FA6CEC">
              <w:rPr>
                <w:rFonts w:ascii="Arial" w:hAnsi="Arial" w:cs="Arial"/>
                <w:sz w:val="32"/>
                <w:szCs w:val="32"/>
                <w:rtl/>
              </w:rPr>
              <w:t>מקום ביצוע הפרויקט:</w:t>
            </w:r>
          </w:p>
          <w:p w14:paraId="342A98DD" w14:textId="77777777" w:rsidR="002337CC" w:rsidRPr="002337CC" w:rsidRDefault="0061701F" w:rsidP="00AA4AAA">
            <w:pPr>
              <w:bidi/>
              <w:spacing w:before="100" w:beforeAutospacing="1"/>
              <w:ind w:left="656"/>
              <w:jc w:val="both"/>
              <w:rPr>
                <w:rtl/>
                <w:lang w:eastAsia="he-IL"/>
              </w:rPr>
            </w:pPr>
            <w:r>
              <w:rPr>
                <w:rFonts w:ascii="Arial" w:hAnsi="Arial" w:cs="Arial" w:hint="cs"/>
                <w:sz w:val="32"/>
                <w:szCs w:val="32"/>
                <w:rtl/>
              </w:rPr>
              <w:t xml:space="preserve">                     הפקולטה להנדסה ע"ש איבי ואלדר פליישמן</w:t>
            </w:r>
            <w:r w:rsidR="00085903">
              <w:rPr>
                <w:rFonts w:ascii="Arial" w:hAnsi="Arial" w:cs="Arial" w:hint="cs"/>
                <w:sz w:val="32"/>
                <w:szCs w:val="32"/>
                <w:rtl/>
              </w:rPr>
            </w:r>
            <w:r>
              <w:rPr>
                <w:rFonts w:ascii="Arial" w:hAnsi="Arial" w:cs="Arial" w:hint="cs"/>
                <w:sz w:val="32"/>
                <w:szCs w:val="32"/>
                <w:rtl/>
              </w:rPr>
            </w:r>
            <w:r w:rsidR="00AA4AAA">
              <w:rPr>
                <w:rFonts w:ascii="Arial" w:hAnsi="Arial" w:cs="Arial" w:hint="cs"/>
                <w:sz w:val="32"/>
                <w:szCs w:val="32"/>
                <w:rtl/>
              </w:rPr>
            </w:r>
          </w:p>
        </w:tc>
      </w:tr>
    </w:tbl>
    <w:p w14:paraId="1E7D1EF2" w14:textId="77777777" w:rsidR="009A337F" w:rsidRDefault="009A337F" w:rsidP="009A337F">
      <w:pPr>
        <w:rPr>
          <w:rFonts w:ascii="Arial" w:hAnsi="Arial" w:cs="Arial"/>
          <w:kern w:val="28"/>
          <w:sz w:val="32"/>
          <w:szCs w:val="32"/>
          <w:rtl/>
        </w:rPr>
      </w:pPr>
      <w:r>
        <w:rPr>
          <w:rtl/>
        </w:rPr>
        <w:br w:type="page"/>
      </w:r>
    </w:p>
    <w:sdt>
      <w:sdtPr>
        <w:rPr>
          <w:rFonts w:ascii="Times New Roman" w:hAnsi="Times New Roman"/>
          <w:b w:val="0"/>
          <w:bCs w:val="0"/>
          <w:color w:val="auto"/>
          <w:sz w:val="24"/>
          <w:szCs w:val="24"/>
          <w:rtl/>
          <w:lang w:bidi="he-IL"/>
        </w:rPr>
        <w:id w:val="-126248199"/>
        <w:docPartObj>
          <w:docPartGallery w:val="Table of Contents"/>
          <w:docPartUnique/>
        </w:docPartObj>
      </w:sdtPr>
      <w:sdtEndPr>
        <w:rPr>
          <w:noProof/>
          <w:rtl w:val="0"/>
        </w:rPr>
      </w:sdtEndPr>
      <w:sdtContent>
        <w:p w14:paraId="4118DFDD" w14:textId="77777777" w:rsidR="009A337F" w:rsidRPr="009A337F" w:rsidRDefault="009A337F" w:rsidP="009A337F">
          <w:pPr>
            <w:pStyle w:val="TOCHeading"/>
            <w:bidi/>
            <w:rPr>
              <w:rFonts w:asciiTheme="minorBidi" w:hAnsiTheme="minorBidi" w:cstheme="minorBidi"/>
              <w:rtl/>
              <w:lang w:bidi="he-IL"/>
            </w:rPr>
          </w:pPr>
          <w:r w:rsidRPr="009A337F">
            <w:rPr>
              <w:rFonts w:asciiTheme="minorBidi" w:hAnsiTheme="minorBidi" w:cstheme="minorBidi"/>
              <w:rtl/>
              <w:lang w:bidi="he-IL"/>
            </w:rPr>
            <w:t>תוכן עניינים</w:t>
          </w:r>
        </w:p>
        <w:p w14:paraId="7250F2BB" w14:textId="77777777" w:rsidR="009A337F" w:rsidRPr="009A337F" w:rsidRDefault="009A337F" w:rsidP="009A337F">
          <w:pPr>
            <w:bidi/>
          </w:pPr>
        </w:p>
        <w:p w14:paraId="267CDAC9" w14:textId="77777777" w:rsidR="00412E6F" w:rsidRDefault="009A337F">
          <w:pPr>
            <w:pStyle w:val="TOC3"/>
            <w:tabs>
              <w:tab w:val="right" w:leader="dot" w:pos="8296"/>
            </w:tabs>
            <w:bidi/>
            <w:rPr>
              <w:rFonts w:asciiTheme="minorHAnsi" w:eastAsiaTheme="minorEastAsia" w:hAnsiTheme="minorHAnsi" w:cstheme="minorBidi"/>
              <w:noProof/>
              <w:rtl/>
              <w:lang w:bidi="he-IL"/>
            </w:rPr>
          </w:pPr>
          <w:r>
            <w:fldChar w:fldCharType="begin"/>
          </w:r>
          <w:r>
            <w:instrText xml:space="preserve"> TOC \o "1-3" \h \z \u </w:instrText>
          </w:r>
          <w:r>
            <w:fldChar w:fldCharType="separate"/>
          </w:r>
          <w:hyperlink w:anchor="_Toc117154806" w:history="1">
            <w:r w:rsidR="00412E6F" w:rsidRPr="00F90F67">
              <w:rPr>
                <w:rStyle w:val="Hyperlink"/>
                <w:noProof/>
                <w:rtl/>
                <w:lang w:bidi="he-IL"/>
              </w:rPr>
              <w:t>ספר הפרויקט</w:t>
            </w:r>
            <w:r w:rsidR="00412E6F">
              <w:rPr>
                <w:noProof/>
                <w:webHidden/>
                <w:rtl/>
              </w:rPr>
              <w:tab/>
            </w:r>
            <w:r w:rsidR="00412E6F">
              <w:rPr>
                <w:rStyle w:val="Hyperlink"/>
                <w:noProof/>
                <w:rtl/>
              </w:rPr>
              <w:fldChar w:fldCharType="begin"/>
            </w:r>
            <w:r w:rsidR="00412E6F">
              <w:rPr>
                <w:noProof/>
                <w:webHidden/>
                <w:rtl/>
              </w:rPr>
              <w:instrText xml:space="preserve"> </w:instrText>
            </w:r>
            <w:r w:rsidR="00412E6F">
              <w:rPr>
                <w:noProof/>
                <w:webHidden/>
              </w:rPr>
              <w:instrText>PAGEREF</w:instrText>
            </w:r>
            <w:r w:rsidR="00412E6F">
              <w:rPr>
                <w:noProof/>
                <w:webHidden/>
                <w:rtl/>
              </w:rPr>
              <w:instrText xml:space="preserve"> _</w:instrText>
            </w:r>
            <w:r w:rsidR="00412E6F">
              <w:rPr>
                <w:noProof/>
                <w:webHidden/>
              </w:rPr>
              <w:instrText>Toc117154806 \h</w:instrText>
            </w:r>
            <w:r w:rsidR="00412E6F">
              <w:rPr>
                <w:noProof/>
                <w:webHidden/>
                <w:rtl/>
              </w:rPr>
              <w:instrText xml:space="preserve"> </w:instrText>
            </w:r>
            <w:r w:rsidR="00412E6F">
              <w:rPr>
                <w:rStyle w:val="Hyperlink"/>
                <w:noProof/>
                <w:rtl/>
              </w:rPr>
            </w:r>
            <w:r w:rsidR="00412E6F">
              <w:rPr>
                <w:rStyle w:val="Hyperlink"/>
                <w:noProof/>
                <w:rtl/>
              </w:rPr>
              <w:fldChar w:fldCharType="separate"/>
            </w:r>
            <w:r w:rsidR="00326042">
              <w:rPr>
                <w:noProof/>
                <w:webHidden/>
                <w:rtl/>
              </w:rPr>
              <w:t>1</w:t>
            </w:r>
            <w:r w:rsidR="00412E6F">
              <w:rPr>
                <w:rStyle w:val="Hyperlink"/>
                <w:noProof/>
                <w:rtl/>
              </w:rPr>
              <w:fldChar w:fldCharType="end"/>
            </w:r>
          </w:hyperlink>
        </w:p>
        <w:p w14:paraId="1EE20566" w14:textId="77777777" w:rsidR="00412E6F" w:rsidRDefault="00412E6F">
          <w:pPr>
            <w:pStyle w:val="TOC1"/>
            <w:rPr>
              <w:rFonts w:asciiTheme="minorHAnsi" w:eastAsiaTheme="minorEastAsia" w:hAnsiTheme="minorHAnsi" w:cstheme="minorBidi"/>
              <w:noProof/>
              <w:rtl/>
              <w:lang w:bidi="he-IL"/>
            </w:rPr>
          </w:pPr>
          <w:hyperlink w:anchor="_Toc117154807" w:history="1">
            <w:r w:rsidRPr="00F90F67">
              <w:rPr>
                <w:rStyle w:val="Hyperlink"/>
                <w:noProof/>
                <w:rtl/>
                <w:lang w:bidi="he-IL"/>
              </w:rPr>
              <w:t>תקציר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Toc117154807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5</w:t>
            </w:r>
            <w:r>
              <w:rPr>
                <w:rStyle w:val="Hyperlink"/>
                <w:noProof/>
                <w:rtl/>
              </w:rPr>
              <w:fldChar w:fldCharType="end"/>
            </w:r>
          </w:hyperlink>
        </w:p>
        <w:p w14:paraId="5FF5CC41"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08" w:history="1">
            <w:r w:rsidRPr="00F90F67">
              <w:rPr>
                <w:rStyle w:val="Hyperlink"/>
                <w:rFonts w:asciiTheme="minorBidi" w:hAnsiTheme="minorBidi"/>
                <w:noProof/>
                <w:rtl/>
              </w:rPr>
              <w:t>1</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הקדמה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Toc117154808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6</w:t>
            </w:r>
            <w:r>
              <w:rPr>
                <w:rStyle w:val="Hyperlink"/>
                <w:noProof/>
                <w:rtl/>
              </w:rPr>
              <w:fldChar w:fldCharType="end"/>
            </w:r>
          </w:hyperlink>
        </w:p>
        <w:p w14:paraId="73A9CE46"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09" w:history="1">
            <w:r w:rsidRPr="00F90F67">
              <w:rPr>
                <w:rStyle w:val="Hyperlink"/>
                <w:rFonts w:asciiTheme="minorBidi" w:hAnsiTheme="minorBidi"/>
                <w:noProof/>
                <w:rtl/>
              </w:rPr>
              <w:t>2</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רקע תיאורטי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Toc117154809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6</w:t>
            </w:r>
            <w:r>
              <w:rPr>
                <w:rStyle w:val="Hyperlink"/>
                <w:noProof/>
                <w:rtl/>
              </w:rPr>
              <w:fldChar w:fldCharType="end"/>
            </w:r>
          </w:hyperlink>
        </w:p>
        <w:p w14:paraId="545B4C83"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10" w:history="1">
            <w:r w:rsidRPr="00F90F67">
              <w:rPr>
                <w:rStyle w:val="Hyperlink"/>
                <w:rFonts w:asciiTheme="minorBidi" w:hAnsiTheme="minorBidi"/>
                <w:noProof/>
                <w:rtl/>
              </w:rPr>
              <w:t>3</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סימולציה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Toc117154810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6</w:t>
            </w:r>
            <w:r>
              <w:rPr>
                <w:rStyle w:val="Hyperlink"/>
                <w:noProof/>
                <w:rtl/>
              </w:rPr>
              <w:fldChar w:fldCharType="end"/>
            </w:r>
          </w:hyperlink>
        </w:p>
        <w:p w14:paraId="4D932BCF"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11" w:history="1">
            <w:r w:rsidRPr="00F90F67">
              <w:rPr>
                <w:rStyle w:val="Hyperlink"/>
                <w:rFonts w:asciiTheme="minorBidi" w:hAnsiTheme="minorBidi"/>
                <w:noProof/>
                <w:rtl/>
              </w:rPr>
              <w:t>4</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מימוש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Toc117154811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6</w:t>
            </w:r>
            <w:r>
              <w:rPr>
                <w:rStyle w:val="Hyperlink"/>
                <w:noProof/>
                <w:rtl/>
              </w:rPr>
              <w:fldChar w:fldCharType="end"/>
            </w:r>
          </w:hyperlink>
        </w:p>
        <w:p w14:paraId="22048575" w14:textId="77777777" w:rsidR="00412E6F" w:rsidRDefault="00412E6F">
          <w:pPr>
            <w:pStyle w:val="TOC2"/>
            <w:tabs>
              <w:tab w:val="left" w:pos="1100"/>
            </w:tabs>
            <w:rPr>
              <w:rFonts w:asciiTheme="minorHAnsi" w:eastAsiaTheme="minorEastAsia" w:hAnsiTheme="minorHAnsi" w:cstheme="minorBidi"/>
              <w:noProof/>
              <w:rtl/>
              <w:lang w:bidi="he-IL"/>
            </w:rPr>
          </w:pPr>
          <w:hyperlink w:anchor="_Toc117154812" w:history="1">
            <w:r w:rsidRPr="00F90F67">
              <w:rPr>
                <w:rStyle w:val="Hyperlink"/>
                <w:rFonts w:asciiTheme="minorBidi" w:hAnsiTheme="minorBidi"/>
                <w:noProof/>
              </w:rPr>
              <w:t>4.1</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תיאור חמרה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Toc117154812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6</w:t>
            </w:r>
            <w:r>
              <w:rPr>
                <w:rStyle w:val="Hyperlink"/>
                <w:noProof/>
                <w:rtl/>
              </w:rPr>
              <w:fldChar w:fldCharType="end"/>
            </w:r>
          </w:hyperlink>
        </w:p>
        <w:p w14:paraId="2280AA81" w14:textId="77777777" w:rsidR="00412E6F" w:rsidRDefault="00412E6F">
          <w:pPr>
            <w:pStyle w:val="TOC2"/>
            <w:tabs>
              <w:tab w:val="left" w:pos="1100"/>
            </w:tabs>
            <w:rPr>
              <w:rFonts w:asciiTheme="minorHAnsi" w:eastAsiaTheme="minorEastAsia" w:hAnsiTheme="minorHAnsi" w:cstheme="minorBidi"/>
              <w:noProof/>
              <w:rtl/>
              <w:lang w:bidi="he-IL"/>
            </w:rPr>
          </w:pPr>
          <w:hyperlink w:anchor="_Toc117154813" w:history="1">
            <w:r w:rsidRPr="00F90F67">
              <w:rPr>
                <w:rStyle w:val="Hyperlink"/>
                <w:rFonts w:asciiTheme="minorBidi" w:hAnsiTheme="minorBidi"/>
                <w:noProof/>
                <w:rtl/>
              </w:rPr>
              <w:t>4.2</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תיאור תוכנה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Toc117154813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7</w:t>
            </w:r>
            <w:r>
              <w:rPr>
                <w:rStyle w:val="Hyperlink"/>
                <w:noProof/>
                <w:rtl/>
              </w:rPr>
              <w:fldChar w:fldCharType="end"/>
            </w:r>
          </w:hyperlink>
        </w:p>
        <w:p w14:paraId="3D19D7E7"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14" w:history="1">
            <w:r w:rsidRPr="00F90F67">
              <w:rPr>
                <w:rStyle w:val="Hyperlink"/>
                <w:rFonts w:asciiTheme="minorBidi" w:hAnsiTheme="minorBidi"/>
                <w:noProof/>
                <w:rtl/>
              </w:rPr>
              <w:t>5</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ניתוח תוצאות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Toc117154814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7</w:t>
            </w:r>
            <w:r>
              <w:rPr>
                <w:rStyle w:val="Hyperlink"/>
                <w:noProof/>
                <w:rtl/>
              </w:rPr>
              <w:fldChar w:fldCharType="end"/>
            </w:r>
          </w:hyperlink>
        </w:p>
        <w:p w14:paraId="237C85DF" w14:textId="77777777" w:rsidR="00412E6F" w:rsidRDefault="00412E6F">
          <w:pPr>
            <w:pStyle w:val="TOC2"/>
            <w:tabs>
              <w:tab w:val="left" w:pos="1100"/>
            </w:tabs>
            <w:rPr>
              <w:rFonts w:asciiTheme="minorHAnsi" w:eastAsiaTheme="minorEastAsia" w:hAnsiTheme="minorHAnsi" w:cstheme="minorBidi"/>
              <w:noProof/>
              <w:rtl/>
              <w:lang w:bidi="he-IL"/>
            </w:rPr>
          </w:pPr>
          <w:hyperlink w:anchor="_Toc117154815" w:history="1">
            <w:r w:rsidRPr="00F90F67">
              <w:rPr>
                <w:rStyle w:val="Hyperlink"/>
                <w:rFonts w:asciiTheme="minorBidi" w:hAnsiTheme="minorBidi"/>
                <w:noProof/>
              </w:rPr>
              <w:t>5.1</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השוואות בין תוצאות הסימולציה לעבודה בזמן אמת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Toc117154815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7</w:t>
            </w:r>
            <w:r>
              <w:rPr>
                <w:rStyle w:val="Hyperlink"/>
                <w:noProof/>
                <w:rtl/>
              </w:rPr>
              <w:fldChar w:fldCharType="end"/>
            </w:r>
          </w:hyperlink>
        </w:p>
        <w:p w14:paraId="7B288464" w14:textId="77777777" w:rsidR="00412E6F" w:rsidRDefault="00412E6F">
          <w:pPr>
            <w:pStyle w:val="TOC2"/>
            <w:tabs>
              <w:tab w:val="left" w:pos="1100"/>
            </w:tabs>
            <w:rPr>
              <w:rFonts w:asciiTheme="minorHAnsi" w:eastAsiaTheme="minorEastAsia" w:hAnsiTheme="minorHAnsi" w:cstheme="minorBidi"/>
              <w:noProof/>
              <w:rtl/>
              <w:lang w:bidi="he-IL"/>
            </w:rPr>
          </w:pPr>
          <w:hyperlink w:anchor="_Toc117154816" w:history="1">
            <w:r w:rsidRPr="00F90F67">
              <w:rPr>
                <w:rStyle w:val="Hyperlink"/>
                <w:rFonts w:asciiTheme="minorBidi" w:hAnsiTheme="minorBidi"/>
                <w:noProof/>
              </w:rPr>
              <w:t>5.2</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ביצועי המערכת מבחינת זמן אמת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Toc117154816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7</w:t>
            </w:r>
            <w:r>
              <w:rPr>
                <w:rStyle w:val="Hyperlink"/>
                <w:noProof/>
                <w:rtl/>
              </w:rPr>
              <w:fldChar w:fldCharType="end"/>
            </w:r>
          </w:hyperlink>
        </w:p>
        <w:p w14:paraId="5C6BDC00"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17" w:history="1">
            <w:r w:rsidRPr="00F90F67">
              <w:rPr>
                <w:rStyle w:val="Hyperlink"/>
                <w:rFonts w:asciiTheme="minorBidi" w:hAnsiTheme="minorBidi"/>
                <w:noProof/>
                <w:rtl/>
              </w:rPr>
              <w:t>6</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סיכום</w:t>
            </w:r>
            <w:r w:rsidRPr="00F90F67">
              <w:rPr>
                <w:rStyle w:val="Hyperlink"/>
                <w:rFonts w:asciiTheme="minorBidi" w:hAnsiTheme="minorBidi"/>
                <w:noProof/>
                <w:rtl/>
              </w:rPr>
              <w:t xml:space="preserve">, </w:t>
            </w:r>
            <w:r w:rsidRPr="00F90F67">
              <w:rPr>
                <w:rStyle w:val="Hyperlink"/>
                <w:rFonts w:asciiTheme="minorBidi" w:hAnsiTheme="minorBidi"/>
                <w:noProof/>
                <w:rtl/>
                <w:lang w:bidi="he-IL"/>
              </w:rPr>
              <w:t>מסקנות והצעות להמשך</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Toc117154817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7</w:t>
            </w:r>
            <w:r>
              <w:rPr>
                <w:rStyle w:val="Hyperlink"/>
                <w:noProof/>
                <w:rtl/>
              </w:rPr>
              <w:fldChar w:fldCharType="end"/>
            </w:r>
          </w:hyperlink>
        </w:p>
        <w:p w14:paraId="30E3C697" w14:textId="77777777" w:rsidR="00412E6F" w:rsidRDefault="00412E6F">
          <w:pPr>
            <w:pStyle w:val="TOC1"/>
            <w:tabs>
              <w:tab w:val="left" w:pos="880"/>
            </w:tabs>
            <w:rPr>
              <w:rFonts w:asciiTheme="minorHAnsi" w:eastAsiaTheme="minorEastAsia" w:hAnsiTheme="minorHAnsi" w:cstheme="minorBidi"/>
              <w:noProof/>
              <w:rtl/>
              <w:lang w:bidi="he-IL"/>
            </w:rPr>
          </w:pPr>
          <w:hyperlink w:anchor="_Toc117154818" w:history="1">
            <w:r w:rsidRPr="00F90F67">
              <w:rPr>
                <w:rStyle w:val="Hyperlink"/>
                <w:rFonts w:asciiTheme="minorBidi" w:hAnsiTheme="minorBidi"/>
                <w:noProof/>
                <w:rtl/>
              </w:rPr>
              <w:t>7</w:t>
            </w:r>
            <w:r>
              <w:rPr>
                <w:rFonts w:asciiTheme="minorHAnsi" w:eastAsiaTheme="minorEastAsia" w:hAnsiTheme="minorHAnsi" w:cstheme="minorBidi"/>
                <w:noProof/>
                <w:rtl/>
                <w:lang w:bidi="he-IL"/>
              </w:rPr>
              <w:tab/>
            </w:r>
            <w:r w:rsidRPr="00F90F67">
              <w:rPr>
                <w:rStyle w:val="Hyperlink"/>
                <w:rFonts w:asciiTheme="minorBidi" w:hAnsiTheme="minorBidi"/>
                <w:noProof/>
                <w:rtl/>
                <w:lang w:bidi="he-IL"/>
              </w:rPr>
              <w:t>תיעוד הפרויקט</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Toc117154818 \h</w:instrText>
            </w:r>
            <w:r>
              <w:rPr>
                <w:noProof/>
                <w:webHidden/>
                <w:rtl/>
              </w:rPr>
              <w:instrText xml:space="preserve"> </w:instrText>
            </w:r>
            <w:r>
              <w:rPr>
                <w:rStyle w:val="Hyperlink"/>
                <w:noProof/>
                <w:rtl/>
              </w:rPr>
            </w:r>
            <w:r>
              <w:rPr>
                <w:rStyle w:val="Hyperlink"/>
                <w:noProof/>
                <w:rtl/>
              </w:rPr>
              <w:fldChar w:fldCharType="separate"/>
            </w:r>
            <w:r w:rsidR="00326042">
              <w:rPr>
                <w:noProof/>
                <w:webHidden/>
                <w:rtl/>
              </w:rPr>
              <w:t>8</w:t>
            </w:r>
            <w:r>
              <w:rPr>
                <w:rStyle w:val="Hyperlink"/>
                <w:noProof/>
                <w:rtl/>
              </w:rPr>
              <w:fldChar w:fldCharType="end"/>
            </w:r>
          </w:hyperlink>
        </w:p>
        <w:p w14:paraId="2D46597C" w14:textId="77777777" w:rsidR="009A337F" w:rsidRDefault="009A337F">
          <w:pPr>
            <w:rPr>
              <w:b/>
              <w:bCs/>
              <w:noProof/>
            </w:rPr>
          </w:pPr>
          <w:r>
            <w:rPr>
              <w:rFonts w:ascii="Calibri" w:hAnsi="Calibri" w:cs="Arial"/>
              <w:sz w:val="22"/>
              <w:szCs w:val="22"/>
              <w:lang w:bidi="ar-SA"/>
            </w:rPr>
            <w:fldChar w:fldCharType="end"/>
          </w:r>
        </w:p>
      </w:sdtContent>
    </w:sdt>
    <w:p w14:paraId="7EE3C096" w14:textId="77777777" w:rsidR="009A337F" w:rsidRDefault="009A337F" w:rsidP="009A337F">
      <w:pPr>
        <w:rPr>
          <w:noProof/>
        </w:rPr>
      </w:pPr>
      <w:r>
        <w:rPr>
          <w:noProof/>
        </w:rPr>
        <w:br w:type="page"/>
      </w:r>
    </w:p>
    <w:p>
      <w:pPr>
        <w:bidi/>
        <w:spacing w:after="200"/>
        <w:jc w:val="right"/>
      </w:pPr>
      <w:r>
        <w:rPr>
          <w:b/>
          <w:sz w:val="30"/>
        </w:rPr>
        <w:t>תוכן עניינים</w:t>
      </w:r>
    </w:p>
    <w:p>
      <w:pPr>
        <w:bidi/>
        <w:spacing w:after="120"/>
        <w:jc w:val="right"/>
      </w:pPr>
      <w:r>
        <w:fldChar w:fldCharType="begin"/>
        <w:instrText xml:space="preserve">TOC \o "1-2" \h \z \u</w:instrText>
        <w:fldChar w:fldCharType="separate"/>
        <w:t>לחצו לחיצה ימנית ובחרו „עדכן שדה” ליצירת הרשימה.</w:t>
        <w:fldChar w:fldCharType="end"/>
      </w:r>
    </w:p>
    <w:p>
      <w:r>
        <w:br w:type="page"/>
      </w:r>
    </w:p>
    <w:p>
      <w:pPr>
        <w:bidi/>
        <w:spacing w:after="200"/>
        <w:jc w:val="right"/>
      </w:pPr>
      <w:r>
        <w:rPr>
          <w:b/>
          <w:sz w:val="30"/>
        </w:rPr>
        <w:t>רשימת איורים</w:t>
      </w:r>
    </w:p>
    <w:p>
      <w:pPr>
        <w:bidi/>
        <w:spacing w:after="120"/>
        <w:jc w:val="right"/>
      </w:pPr>
      <w:r>
        <w:fldChar w:fldCharType="begin"/>
        <w:instrText xml:space="preserve">TOC \h \z \c "Figure"</w:instrText>
        <w:fldChar w:fldCharType="separate"/>
        <w:t>לחצו לחיצה ימנית ובחרו „עדכן שדה” ליצירת הרשימה.</w:t>
        <w:fldChar w:fldCharType="end"/>
      </w:r>
    </w:p>
    <w:p>
      <w:pPr>
        <w:bidi/>
        <w:spacing w:after="200"/>
        <w:jc w:val="right"/>
      </w:pPr>
      <w:r>
        <w:rPr>
          <w:b/>
          <w:sz w:val="30"/>
        </w:rPr>
        <w:t>רשימת טבלאות</w:t>
      </w:r>
    </w:p>
    <w:p>
      <w:pPr>
        <w:bidi/>
        <w:spacing w:after="120"/>
        <w:jc w:val="right"/>
      </w:pPr>
      <w:r>
        <w:fldChar w:fldCharType="begin"/>
        <w:instrText xml:space="preserve">TOC \h \z \c "Table"</w:instrText>
        <w:fldChar w:fldCharType="separate"/>
        <w:t>לחצו לחיצה ימנית ובחרו „עדכן שדה” ליצירת הרשימה.</w:t>
        <w:fldChar w:fldCharType="end"/>
      </w:r>
    </w:p>
    <w:p>
      <w:r>
        <w:br w:type="page"/>
      </w:r>
    </w:p>
    <w:p>
      <w:pPr>
        <w:bidi/>
        <w:pStyle w:val="Title"/>
        <w:spacing w:after="120"/>
        <w:jc w:val="right"/>
      </w:pPr>
      <w:r>
        <w:t>תקציר</w:t>
      </w:r>
    </w:p>
    <w:p>
      <w:pPr>
        <w:bidi/>
        <w:spacing w:after="120"/>
        <w:jc w:val="right"/>
      </w:pPr>
      <w:r>
        <w:t>ההתמרה התיאורטית-מספרית (Number Theoretic Transform, NTT) היא המקבילה של התמרת פורייה המהירה (FFT) באריתמטיקה מודולרית, והיא הליבה החישובית של קריפטוגרפיה מבוססת סריגים (קריפטוגרפיה פוסט-קוונטית), הצפנה הומומורפית ומערכות הוכחות אפס-ידע — תחומים שבהם יש לחשב מיליוני התמרות שוב ושוב. מטרת הפרויקט הייתה להאיץ את חישוב ה-NTT על מעבד גרפי (GPU) מתוך הבנת המבנה החישובי של ההתמרה, זיהוי צוואר הבקבוק החוסם את הביצועים בכל משטר עבודה, ומיפוי ההתמרה אל החומרה בהתאם. בהמשך לשלב פיתוח מוקדם (Python←C++←PyTorch←Triton), פיתחנו וכיווננו משפחת גרעיני CUDA מודעי-ארכיטקטורה עבור כרטיס NVIDIA RTX 2080 Ti (Turing, sm_75), והשווינו אותם ראש-בראש — על אותו GPU ובאותה מערכת מדידה — מול ספריית הקוד-הפתוח המובילה GPU-NTT („Merge NTT”).</w:t>
      </w:r>
    </w:p>
    <w:p>
      <w:pPr>
        <w:bidi/>
        <w:spacing w:after="120"/>
        <w:jc w:val="right"/>
      </w:pPr>
      <w:r>
        <w:t>ארבע טכניקות מניעות את התוצאה: גרעין warp-shuffle המריץ את חמשת שלבי הפרפר הראשונים כולם ברגיסטרים, ללא תעבורת זיכרון משותף וללא מחסומי סנכרון; כפל מודולרי בשיטת Shoup המקצר את שרשרת התלות של כל פרפר; פריסת זיכרון משותף מרופדת נטולת התנגשויות-בנקים עבור התמרות בינוניות; ופירוק „4-step” רב-בלוקי הפורש התמרה גדולה בודדת על פני כל 68 המעבדים הזרמיים (SMs). שכבת ניתוב מבוססת-טבלה, מהודרת ומורצת, בוחרת עבור כל גודל בעיה את הגרעין המהיר ביותר שנמדד. על פני 74 תצורות (גודל, אצווה) שאומתו בהרצה, הגרעינים שלנו מהירים יותר מ-GPU-NTT ב-48 מקרים (שוויון בטווח 3% בעוד ארבעה), עד פי 1.93, כאשר הבורר לעולם אינו נחות מהספרייה המקצועית באף תא שנמדד. אל מול בסיסי-ההשוואה של המעבד (CPU) והשלב הגרפי הקודם, השיפור גדול בהרבה — עד פי 58.6 מעל מימוש C++ יעיל על CPU. כל הגרעינים עוברים בדיקת נכונות מדויקת-סיביות לפני כל מדידה. תוצר הפרויקט הוא מערכת NTT אדפטיבית פרוסה ומאומתת, לצד ניתוח כמותי של מקום התרומה של כל אופטימיזציה וסיבתה.</w:t>
      </w:r>
    </w:p>
    <w:p>
      <w:pPr>
        <w:jc w:val="center"/>
      </w:pPr>
      <w:r>
        <w:drawing>
          <wp:inline xmlns:a="http://schemas.openxmlformats.org/drawingml/2006/main" xmlns:pic="http://schemas.openxmlformats.org/drawingml/2006/picture">
            <wp:extent cx="5669280" cy="3000064"/>
            <wp:docPr id="99" name="Picture 99"/>
            <wp:cNvGraphicFramePr>
              <a:graphicFrameLocks noChangeAspect="1"/>
            </wp:cNvGraphicFramePr>
            <a:graphic>
              <a:graphicData uri="http://schemas.openxmlformats.org/drawingml/2006/picture">
                <pic:pic>
                  <pic:nvPicPr>
                    <pic:cNvPr id="0" name="system_block_diagram.png"/>
                    <pic:cNvPicPr/>
                  </pic:nvPicPr>
                  <pic:blipFill>
                    <a:blip r:embed="rId23"/>
                    <a:stretch>
                      <a:fillRect/>
                    </a:stretch>
                  </pic:blipFill>
                  <pic:spPr>
                    <a:xfrm>
                      <a:off x="0" y="0"/>
                      <a:ext cx="5669280" cy="3000064"/>
                    </a:xfrm>
                    <a:prstGeom prst="rect"/>
                  </pic:spPr>
                </pic:pic>
              </a:graphicData>
            </a:graphic>
          </wp:inline>
        </w:drawing>
      </w:r>
    </w:p>
    <w:p>
      <w:pPr>
        <w:bidi/>
        <w:pStyle w:val="Caption"/>
        <w:jc w:val="center"/>
      </w:pPr>
      <w:r>
        <w:t>איור 1: דיאגרמת בלוקים של מערכת ה-NTT האדפטיבית. שכבת ניתוב מבוססת-טבלה מפנה כל בקשת (N, אצווה) אל הגרעין המהיר ביותר שנמדד; GPU-NTT נשמרת כגיבוי עבור משטר רוויית ה-DRAM.</w:t>
      </w:r>
    </w:p>
    <w:p>
      <w:r>
        <w:br w:type="page"/>
      </w:r>
    </w:p>
    <w:p>
      <w:pPr>
        <w:bidi/>
        <w:pStyle w:val="Heading1"/>
        <w:spacing w:after="120"/>
        <w:jc w:val="right"/>
      </w:pPr>
      <w:r>
        <w:t>הקדמה</w:t>
      </w:r>
    </w:p>
    <w:p>
      <w:pPr>
        <w:bidi/>
        <w:spacing w:after="120"/>
        <w:jc w:val="right"/>
      </w:pPr>
      <w:r>
        <w:t>פרק זה מציג את מטרות הפרויקט, המוטיבציה להאצת ה-NTT על חומרה גרפית, הגישה לפתרון, וההשוואה מול מימושים קיימים.</w:t>
      </w:r>
    </w:p>
    <w:p>
      <w:pPr>
        <w:bidi/>
        <w:pStyle w:val="Heading2"/>
        <w:spacing w:after="120"/>
        <w:jc w:val="right"/>
      </w:pPr>
      <w:r>
        <w:t>מטרות הפרויקט</w:t>
      </w:r>
    </w:p>
    <w:p>
      <w:pPr>
        <w:bidi/>
        <w:spacing w:after="120"/>
        <w:jc w:val="right"/>
      </w:pPr>
      <w:r>
        <w:t>המטרה הייתה לממש את ה-NTT המחזורי הישיר (מודולוס q = 998244353, שורש פרימיטיבי g = 3, גדלים N = 256–16384, אצוות 1–8192) כגרעיני CUDA ייעודיים ל-RTX 2080 Ti; להבין מתוך מדידה איזה משאב חומרה חוסם את הביצועים בכל משטר; לייעל כל משטר בטכניקה ייחודית-לארכיטקטורה; ולהשוות באופן הוגן מול ספריית CUDA חיצונית ששוחזרה על אותו GPU, אותו מודולוס ואותה מערכת מדידה, כאשר הנכונות נבדקת לפני כל מדידה.</w:t>
      </w:r>
    </w:p>
    <w:p>
      <w:pPr>
        <w:bidi/>
        <w:pStyle w:val="Heading2"/>
        <w:spacing w:after="120"/>
        <w:jc w:val="right"/>
      </w:pPr>
      <w:r>
        <w:t>מוטיבציה</w:t>
      </w:r>
    </w:p>
    <w:p>
      <w:pPr>
        <w:bidi/>
        <w:spacing w:after="120"/>
        <w:jc w:val="right"/>
      </w:pPr>
      <w:r>
        <w:t>קריפטוגרפיה מבוססת סריגים (ML-KEM/Kyber, Dilithium), הצפנה הומומורפית (BFV, CKKS) ומערכות הוכחות אפס-ידע — כולן מצמצמות את הלולאה הפנימית שלהן לכפל פולינומים מעל Z_q, וה-NTT הופך כפל זה מ-O(n²) ל-O(n log n). בעומסים אלו מחושבות אלפי עד מיליוני התמרות שוב ושוב, כך שהתפוקה וההשהיה של NTT בודד קובעות ישירות את ביצועי המערכת. ההתמרה גם מקבילית במבנה — כל אחד מ-N/2·log₂N הפרפרים בלתי-תלוי בתוך שלב — מה שהופך את ה-GPU ליעד הטבעי, ובלבד שהחישוב ממופה נכון אל היררכיית הזיכרון ואל יחידות הביצוע.</w:t>
      </w:r>
    </w:p>
    <w:p>
      <w:pPr>
        <w:bidi/>
        <w:pStyle w:val="Heading2"/>
        <w:spacing w:after="120"/>
        <w:jc w:val="right"/>
      </w:pPr>
      <w:r>
        <w:t>הגישה לפתרון</w:t>
      </w:r>
    </w:p>
    <w:p>
      <w:pPr>
        <w:bidi/>
        <w:spacing w:after="120"/>
        <w:jc w:val="right"/>
      </w:pPr>
      <w:r>
        <w:t>במקום לחפש גרעין „טוב ביותר” יחיד, התייחסנו ל-NTT כאל אוסף משטרי-ביצועים נבדלים. ניסויים מבוקרים (בדיקת שיטוח מול אצווה, בדיקת נייטרליות אריתמטית, ובדיקת קנה-מידה מול מספר בלוקים) שימשו לייחוס כל משטר לצוואר הבקבוק החומרתי שלו — השהיה, התנגשויות-בנקים בזיכרון משותף, תפוסת הרשת, או רוחב פס של DRAM — ואז נכתב גרעין ייעודי התוקף בדיוק אילוץ זה. טבלת ניתוב מבוססת-מדידה מלכדת לבסוף את הגרעינים למערכת פרוסה אחת. כל טענת ביצועים מתחקה למדידה גולמית מתועדת, וכל גרעין מאומת מדויק-סיביות לפני שהוא נמדד.</w:t>
      </w:r>
    </w:p>
    <w:p>
      <w:pPr>
        <w:bidi/>
        <w:pStyle w:val="Heading2"/>
        <w:spacing w:after="120"/>
        <w:jc w:val="right"/>
      </w:pPr>
      <w:r>
        <w:t>השוואה מול עבודות קיימות</w:t>
      </w:r>
    </w:p>
    <w:p>
      <w:pPr>
        <w:bidi/>
        <w:spacing w:after="120"/>
        <w:jc w:val="right"/>
      </w:pPr>
      <w:r>
        <w:t>בסיס-ההשוואה החיצוני העיקרי הוא GPU-NTT („Merge NTT”, Özcan &amp; Savaş), ספריית CUDA מוערכת בקוד פתוח, אותה בנינו מחדש מהמקור על אותו מפרט חומרה ואותם דגלי הידור ומודולוס. זו ספריית ה-CUDA החיצונית היחידה ששוחזרה ניסויית בהיקף התמרות זה על חומרה זו. מערכות אחרות נשקלו ונפסלו מסיבות מתועדות: ICICLE מספקת עורף NTT סגור-קוד המקובע לשדה אחר; cuPQC מיועדת לחומרת sm_80+ ואינה רצה על כרטיס sm_75 זה; ועבודות Kyber מבוססות tensor-core משתמשות במודל אריתמטי שונה. מספרים שפורסמו עבור מערכות אלו מגיעים מ-GPU-ים ושדות אחרים ולכן אינם מצוטטים כאילו נמדדו כאן.</w:t>
      </w:r>
    </w:p>
    <w:p>
      <w:r>
        <w:br w:type="page"/>
      </w:r>
    </w:p>
    <w:p>
      <w:pPr>
        <w:bidi/>
        <w:pStyle w:val="Heading1"/>
        <w:spacing w:after="120"/>
        <w:jc w:val="right"/>
      </w:pPr>
      <w:r>
        <w:t>רקע תיאורטי</w:t>
      </w:r>
    </w:p>
    <w:p>
      <w:pPr>
        <w:bidi/>
        <w:pStyle w:val="Heading2"/>
        <w:spacing w:after="120"/>
        <w:jc w:val="right"/>
      </w:pPr>
      <w:r>
        <w:t>ההתמרה התיאורטית-מספרית</w:t>
      </w:r>
    </w:p>
    <w:p>
      <w:pPr>
        <w:bidi/>
        <w:spacing w:after="120"/>
        <w:jc w:val="right"/>
      </w:pPr>
      <w:r>
        <w:t>ה-NTT היא התמרת פורייה הבדידה המבוצעת בשדה סופי Z_q במקום מעל המרוכבים. עבור ראשוני q = c·2^k + 1 קיים שורש-יחידה פרימיטיבי מסדר N לכל N המחלק את 2^k, וההתמרה הישירה של סדרה באורך N היא X[k] = Σ_n x[n]·ω^{nk} mod q. מכיוון שהאריתמטיקה היא שלמה ומדויקת, אין ל-NTT שגיאת עיגול כמו ל-FFT — תכונה חיונית לקריפטוגרפיה. בפרויקט זה q = 998244353 = 119·2^23 + 1, ראשוני ידידותי-NTT בן 30 סיביות עם שורש פרימיטיבי g = 3.</w:t>
      </w:r>
    </w:p>
    <w:p>
      <w:pPr>
        <w:bidi/>
        <w:spacing w:after="120"/>
        <w:jc w:val="right"/>
      </w:pPr>
      <w:r>
        <w:t>כמו ה-FFT, ה-NTT מחושב בפירוק Cooley–Tukey מבסיס-2 של log₂N שלבי פרפר. כל פרפר קורא זוג מקדמים, כופל אחד מהם בגורם-פיתול ω^j (כפל מודולרי), ומבצע חיבור וחיסור מודולריים. התמרה באורך N מבצעת אפוא (N/2)·log₂N פרפרים, והאלגוריתם נשלט בעיקר בעלות הכפל המודולרי ובחילופי הנתונים בין השלבים.</w:t>
      </w:r>
    </w:p>
    <w:p>
      <w:pPr>
        <w:bidi/>
        <w:pStyle w:val="Heading2"/>
        <w:spacing w:after="120"/>
        <w:jc w:val="right"/>
      </w:pPr>
      <w:r>
        <w:t>צמצום מודולרי</w:t>
      </w:r>
    </w:p>
    <w:p>
      <w:pPr>
        <w:bidi/>
        <w:spacing w:after="120"/>
        <w:jc w:val="right"/>
      </w:pPr>
      <w:r>
        <w:t>הכפל המודולרי שעל המסלול הקריטי הוא הפעולה האריתמטית החשובה ביותר. חישוב תמים (u64)a·b % q מתקמפל לרצף ארוך של פעולות שלמות תלויות. שתי טכניקות מקצרות אותו. צמצום Barrett מחליף את החילוק בהופכי מחושב-מראש ובשני כפלים. שיטת Shoup (Harvey) מנצלת את העובדה שב-NTT אחד האופרנדים בכל כפל הוא גורם-פיתול קבוע הידוע בזמן בניית הטבלה: היא מחשבת מראש מנה נלווית w' = ⌊w·2^32 / q⌋ לכל גורם-פיתול, כך שבזמן ריצה הצמצום הוא כפל-עליון אחד, כפל-חיסור אחד, וחיסור מותנה בודד — הכול באריתמטיקת 32 סיביות. Shoup מקצרת את שרשרת התלות במחיר הכפלת טבלת גורמי-הפיתול, וזוהי בדיוק ההחלפה הנכונה במשטר חסום-ההשהיה.</w:t>
      </w:r>
    </w:p>
    <w:p>
      <w:pPr>
        <w:bidi/>
        <w:pStyle w:val="Heading2"/>
        <w:spacing w:after="120"/>
        <w:jc w:val="right"/>
      </w:pPr>
      <w:r>
        <w:t>NTT על מעבד גרפי</w:t>
      </w:r>
    </w:p>
    <w:p>
      <w:pPr>
        <w:bidi/>
        <w:spacing w:after="120"/>
        <w:jc w:val="right"/>
      </w:pPr>
      <w:r>
        <w:t>על GPU צווארי הבקבוק המעשיים של ה-NTT הם: (א) שרשרת התלות של הכפל המודולרי; (ב) התנגשויות-בנקים בזיכרון המשותף בחילוף המדורג בין השלבים; (ג) סנכרון ברמת הבלוק כאשר הנתונים כבר אינם נכנסים בתוך warp; (ד) תפוסת הרשת כאשר התמרה בודדת ממופה לבלוק יחיד; ו-(ה) רוחב הפס של DRAM כשהאצוות גדולות. מכריע במיוחד שאין גרעין יחיד אופטימלי על פני כל (N, אצווה) — האילוץ החוסם משתנה עם המשטר. תובנה זו היא עקרון-התכן המרכזי של הפרויקט, והיא המניעה שימוש במשפחת גרעינים ייעודיים מאחורי טבלת ניתוב מבוססת-מדידה.</w:t>
      </w:r>
    </w:p>
    <w:p>
      <w:r>
        <w:br w:type="page"/>
      </w:r>
    </w:p>
    <w:p>
      <w:pPr>
        <w:bidi/>
        <w:pStyle w:val="Heading1"/>
        <w:spacing w:after="120"/>
        <w:jc w:val="right"/>
      </w:pPr>
      <w:r>
        <w:t>מודלים אנליטיים ופרופיילינג</w:t>
      </w:r>
    </w:p>
    <w:p>
      <w:pPr>
        <w:bidi/>
        <w:spacing w:after="120"/>
        <w:jc w:val="right"/>
      </w:pPr>
      <w:r>
        <w:t>לצד המימוש שימשו שני מודלים אנליטיים לחיזוי היכן יושקע הזמן ולהכוונת התכן. הם ממלאים את תפקיד „הסימולציה” של הפרויקט: מודלי-עלות קלים המאומתים מול מדידה.</w:t>
      </w:r>
    </w:p>
    <w:p>
      <w:pPr>
        <w:bidi/>
        <w:pStyle w:val="Heading2"/>
        <w:spacing w:after="120"/>
        <w:jc w:val="right"/>
      </w:pPr>
      <w:r>
        <w:t>מודל מספר שיגורי הגרעינים</w:t>
      </w:r>
    </w:p>
    <w:p>
      <w:pPr>
        <w:bidi/>
        <w:spacing w:after="120"/>
        <w:jc w:val="right"/>
      </w:pPr>
      <w:r>
        <w:t>מימוש שמריץ שלב-פרפר בכל שיגור מפיק שיגור אחד או יותר לכל שלב, כך שמספר השיגורים גדל עם log₂N. מימוש ה-PyTorch המיטבי המוקדם שיגר כשבע פעולות מסגרת לכל שלב (71–99 שיגורים ל-N = 1024–16384), ואילו גרעין ממוזג מפיק שיגור בודד לכל התמרה — צמצום של פי 6.5 בתקורת השיגור. המודל חזה נכונה שהתמרות קטנות יישלטו בהשהיית שיגור ותלות ולא באריתמטיקה, ושמיזוג שלבים הוא הרווח מסדר-ראשון.</w:t>
      </w:r>
    </w:p>
    <w:p>
      <w:pPr>
        <w:bidi/>
        <w:pStyle w:val="Heading2"/>
        <w:spacing w:after="120"/>
        <w:jc w:val="right"/>
      </w:pPr>
      <w:r>
        <w:t>מודל תעבורת-זיכרון ו-roofline</w:t>
      </w:r>
    </w:p>
    <w:p>
      <w:pPr>
        <w:bidi/>
        <w:spacing w:after="120"/>
        <w:jc w:val="right"/>
      </w:pPr>
      <w:r>
        <w:t>התמרת NTT ישירה אחת קוראת וכותבת 8 בתים לכל מקדם במצב יציב, כאשר טבלת גורמי-הפיתול (≤64KB) שוכנת במטמון L2 בגודל 5.5MB. גג ה-DRAM של ה-RTX 2080 Ti הוא 616GB/s תיאורטי, ומכאן תקרת רוחב-הפס של 616/(8N) התמרות לשנייה באצווה גדולה. המודל מבחין בין שני משטרים: ב-N קטן קבוצת-העבודה נכנסת ל-L2 והגרעין חסום-השהיה/שיגור (רוחב פס אפקטיבי נמוך מעצם התכן); ב-N גדול ואצווה גדולה הגרעין חסום-DRAM ושני הצדדים (הגרעינים שלנו ו-GPU-NTT) מתייצבים סביב 30–39% מהשיא התיאורטי. רוחב הפס האפקטיבי מדווח כאומדן (בתים ידועים ÷ זמן נמדד), ובמפורש אינו מונה ניצולת של מעבד.</w:t>
      </w:r>
    </w:p>
    <w:p>
      <w:pPr>
        <w:bidi/>
        <w:spacing w:after="120"/>
        <w:jc w:val="right"/>
      </w:pPr>
      <w:r>
        <w:t>מגבלה מוצהרת מראש: באשכול המדידה אין Nsight Compute או nvprof, כך שתפוסה מושגת, אחוז SM פעיל, וסיבות עצירה לא נמדדו ישירות. במקום זאת התפוסה התיאורטית נגזרת משימוש הרגיסטרים והזיכרון המשותף כפי שדווח על-ידי המהדר, והאילוץ החוסם בכל משטר מיוחס באמצעות ניסויים מבוקרים. כל מדד מסומן כנמדד, מדווח-מהדר, נגזר-אנליטית, או מוערך.</w:t>
      </w:r>
    </w:p>
    <w:p>
      <w:r>
        <w:br w:type="page"/>
      </w:r>
    </w:p>
    <w:p>
      <w:pPr>
        <w:bidi/>
        <w:pStyle w:val="Heading1"/>
        <w:spacing w:after="120"/>
        <w:jc w:val="right"/>
      </w:pPr>
      <w:r>
        <w:t>מימוש</w:t>
      </w:r>
    </w:p>
    <w:p>
      <w:pPr>
        <w:bidi/>
        <w:spacing w:after="120"/>
        <w:jc w:val="right"/>
      </w:pPr>
      <w:r>
        <w:t>פרק זה מתאר את פלטפורמת החומרה, משפחת גרעיני ה-CUDA, ומנוע הריצה האדפטיבי המלכד אותם. המבנה הכולל מוצג באיור 1: בקשה להתמרת (N, אצווה) מנותבת על-ידי טבלה מהודרת אל הגרעין שנמדד כמהיר ביותר עבור אותו משטר, הנכונות נבדקת לפני המדידה, וסדר הפלט הוא חוזה מפורש לכל קריאה.</w:t>
      </w:r>
    </w:p>
    <w:p>
      <w:pPr>
        <w:bidi/>
        <w:pStyle w:val="Heading2"/>
        <w:spacing w:after="120"/>
        <w:jc w:val="right"/>
      </w:pPr>
      <w:r>
        <w:t>תיאור חומרה</w:t>
      </w:r>
    </w:p>
    <w:p>
      <w:pPr>
        <w:bidi/>
        <w:spacing w:after="120"/>
        <w:jc w:val="right"/>
      </w:pPr>
      <w:r>
        <w:t>כל הפיתוח והמדידה בוצעו על כרטיס NVIDIA GeForce RTX 2080 Ti יחיד (Turing TU102, יכולת חישוב 7.5) על צומת מנוהל-SLURM, מנהל-התקן 550.120, CUDA 12.4, בהידור nvcc -O3 -std=c++17 -gencode arch=compute_75,code=sm_75. תכונות החומרה המרכזיות, וההחלטה התכנונית שכל אחת מניעה, מסוכמות בטבלה 1. ארכיטקטורת Turing חושפת נתיב INT32 ברוחב 64 נפרד ומקבילי בכל SM, כך שהפרפרים המודולריים רצים כשרשראות IMAD שלמות בעוד ליבות ה-FP32 בטלות; דור sm_75 חסר cp.async ונתיב tensor-core שלם, ולכן התכן מכוון לחומרת SIMT-שלמה טהורה.</w:t>
      </w:r>
    </w:p>
    <w:p>
      <w:pPr>
        <w:bidi/>
        <w:pStyle w:val="Caption"/>
        <w:jc w:val="center"/>
      </w:pPr>
      <w:r>
        <w:t>טבלה 1: פרופיל החומרה של RTX 2080 Ti והשלכותיו על תכן הגרעינים.</w:t>
      </w:r>
    </w:p>
    <w:tbl>
      <w:tblPr>
        <w:tblStyle w:val="TableGrid"/>
        <w:tblW w:type="auto" w:w="0"/>
        <w:jc w:val="center"/>
        <w:tblLayout w:type="fixed"/>
        <w:tblLook w:firstColumn="1" w:firstRow="1" w:lastColumn="0" w:lastRow="0" w:noHBand="0" w:noVBand="1" w:val="04A0"/>
        <w:bidiVisual/>
      </w:tblPr>
      <w:tblGrid>
        <w:gridCol w:w="2769"/>
        <w:gridCol w:w="2769"/>
        <w:gridCol w:w="2769"/>
      </w:tblGrid>
      <w:tr>
        <w:tc>
          <w:tcPr>
            <w:tcW w:type="dxa" w:w="4752"/>
            <w:shd w:val="clear" w:fill="1F3864"/>
          </w:tcPr>
          <w:p>
            <w:r/>
            <w:r>
              <w:rPr>
                <w:b/>
                <w:color w:val="FFFFFF"/>
                <w:sz w:val="16"/>
              </w:rPr>
              <w:t>השלכה על תכן ה-NTT</w:t>
            </w:r>
          </w:p>
        </w:tc>
        <w:tc>
          <w:tcPr>
            <w:tcW w:type="dxa" w:w="2448"/>
            <w:shd w:val="clear" w:fill="1F3864"/>
          </w:tcPr>
          <w:p>
            <w:r/>
            <w:r>
              <w:rPr>
                <w:b/>
                <w:color w:val="FFFFFF"/>
                <w:sz w:val="16"/>
              </w:rPr>
              <w:t>ערך</w:t>
            </w:r>
          </w:p>
        </w:tc>
        <w:tc>
          <w:tcPr>
            <w:tcW w:type="dxa" w:w="1728"/>
            <w:shd w:val="clear" w:fill="1F3864"/>
          </w:tcPr>
          <w:p>
            <w:r/>
            <w:r>
              <w:rPr>
                <w:b/>
                <w:color w:val="FFFFFF"/>
                <w:sz w:val="16"/>
              </w:rPr>
              <w:t>תכונה</w:t>
            </w:r>
          </w:p>
        </w:tc>
      </w:tr>
      <w:tr>
        <w:tc>
          <w:tcPr>
            <w:tcW w:type="dxa" w:w="4752"/>
          </w:tcPr>
          <w:p>
            <w:r/>
            <w:r>
              <w:rPr>
                <w:sz w:val="16"/>
              </w:rPr>
              <w:t>תכן SIMT-INT32 טהור; ללא cp.async ו-tensor-core</w:t>
            </w:r>
          </w:p>
        </w:tc>
        <w:tc>
          <w:tcPr>
            <w:tcW w:type="dxa" w:w="2448"/>
          </w:tcPr>
          <w:p>
            <w:r/>
            <w:r>
              <w:rPr>
                <w:sz w:val="16"/>
              </w:rPr>
              <w:t>Turing TU102, sm_75</w:t>
            </w:r>
          </w:p>
        </w:tc>
        <w:tc>
          <w:tcPr>
            <w:tcW w:type="dxa" w:w="1728"/>
          </w:tcPr>
          <w:p>
            <w:r/>
            <w:r>
              <w:rPr>
                <w:sz w:val="16"/>
              </w:rPr>
              <w:t>ארכיטקטורה</w:t>
            </w:r>
          </w:p>
        </w:tc>
      </w:tr>
      <w:tr>
        <w:tc>
          <w:tcPr>
            <w:tcW w:type="dxa" w:w="4752"/>
          </w:tcPr>
          <w:p>
            <w:r/>
            <w:r>
              <w:rPr>
                <w:sz w:val="16"/>
              </w:rPr>
              <w:t>בלוק לכל התמרה מנצל 1/68 מה-GPU ← גרעין רב-בלוקי ל-N גדול</w:t>
            </w:r>
          </w:p>
        </w:tc>
        <w:tc>
          <w:tcPr>
            <w:tcW w:type="dxa" w:w="2448"/>
          </w:tcPr>
          <w:p>
            <w:r/>
            <w:r>
              <w:rPr>
                <w:sz w:val="16"/>
              </w:rPr>
              <w:t>68</w:t>
            </w:r>
          </w:p>
        </w:tc>
        <w:tc>
          <w:tcPr>
            <w:tcW w:type="dxa" w:w="1728"/>
          </w:tcPr>
          <w:p>
            <w:r/>
            <w:r>
              <w:rPr>
                <w:sz w:val="16"/>
              </w:rPr>
              <w:t>מספר SMs</w:t>
            </w:r>
          </w:p>
        </w:tc>
      </w:tr>
      <w:tr>
        <w:tc>
          <w:tcPr>
            <w:tcW w:type="dxa" w:w="4752"/>
          </w:tcPr>
          <w:p>
            <w:r/>
            <w:r>
              <w:rPr>
                <w:sz w:val="16"/>
              </w:rPr>
              <w:t>הפרפרים המודולריים הם שרשראות IMAD על יחידות ה-INT32</w:t>
            </w:r>
          </w:p>
        </w:tc>
        <w:tc>
          <w:tcPr>
            <w:tcW w:type="dxa" w:w="2448"/>
          </w:tcPr>
          <w:p>
            <w:r/>
            <w:r>
              <w:rPr>
                <w:sz w:val="16"/>
              </w:rPr>
              <w:t>64 ברוחב לכל SM</w:t>
            </w:r>
          </w:p>
        </w:tc>
        <w:tc>
          <w:tcPr>
            <w:tcW w:type="dxa" w:w="1728"/>
          </w:tcPr>
          <w:p>
            <w:r/>
            <w:r>
              <w:rPr>
                <w:sz w:val="16"/>
              </w:rPr>
              <w:t>נתיב INT32</w:t>
            </w:r>
          </w:p>
        </w:tc>
      </w:tr>
      <w:tr>
        <w:tc>
          <w:tcPr>
            <w:tcW w:type="dxa" w:w="4752"/>
          </w:tcPr>
          <w:p>
            <w:r/>
            <w:r>
              <w:rPr>
                <w:sz w:val="16"/>
              </w:rPr>
              <w:t>5 שלבי פרפר (m=1..16) נכנסים ב-warp אחד ← חילוף ללא מחסומים</w:t>
            </w:r>
          </w:p>
        </w:tc>
        <w:tc>
          <w:tcPr>
            <w:tcW w:type="dxa" w:w="2448"/>
          </w:tcPr>
          <w:p>
            <w:r/>
            <w:r>
              <w:rPr>
                <w:sz w:val="16"/>
              </w:rPr>
              <w:t>32 מסלולים, 32 warps/SM</w:t>
            </w:r>
          </w:p>
        </w:tc>
        <w:tc>
          <w:tcPr>
            <w:tcW w:type="dxa" w:w="1728"/>
          </w:tcPr>
          <w:p>
            <w:r/>
            <w:r>
              <w:rPr>
                <w:sz w:val="16"/>
              </w:rPr>
              <w:t>Warp</w:t>
            </w:r>
          </w:p>
        </w:tc>
      </w:tr>
      <w:tr>
        <w:tc>
          <w:tcPr>
            <w:tcW w:type="dxa" w:w="4752"/>
          </w:tcPr>
          <w:p>
            <w:r/>
            <w:r>
              <w:rPr>
                <w:sz w:val="16"/>
              </w:rPr>
              <w:t>≤32 רגיסטרים/חוט ← תפוסה תיאורטית 100%; אופרנד Shoup חינם</w:t>
            </w:r>
          </w:p>
        </w:tc>
        <w:tc>
          <w:tcPr>
            <w:tcW w:type="dxa" w:w="2448"/>
          </w:tcPr>
          <w:p>
            <w:r/>
            <w:r>
              <w:rPr>
                <w:sz w:val="16"/>
              </w:rPr>
              <w:t>64K רגיסטרים/SM</w:t>
            </w:r>
          </w:p>
        </w:tc>
        <w:tc>
          <w:tcPr>
            <w:tcW w:type="dxa" w:w="1728"/>
          </w:tcPr>
          <w:p>
            <w:r/>
            <w:r>
              <w:rPr>
                <w:sz w:val="16"/>
              </w:rPr>
              <w:t>קובץ רגיסטרים</w:t>
            </w:r>
          </w:p>
        </w:tc>
      </w:tr>
      <w:tr>
        <w:tc>
          <w:tcPr>
            <w:tcW w:type="dxa" w:w="4752"/>
          </w:tcPr>
          <w:p>
            <w:r/>
            <w:r>
              <w:rPr>
                <w:sz w:val="16"/>
              </w:rPr>
              <w:t>N=16384×4B = 64KB תקרת בלוק-יחיד; 32 בנקים ← כלל ריפוד</w:t>
            </w:r>
          </w:p>
        </w:tc>
        <w:tc>
          <w:tcPr>
            <w:tcW w:type="dxa" w:w="2448"/>
          </w:tcPr>
          <w:p>
            <w:r/>
            <w:r>
              <w:rPr>
                <w:sz w:val="16"/>
              </w:rPr>
              <w:t>64KB/SM (96KB מאוחד L1)</w:t>
            </w:r>
          </w:p>
        </w:tc>
        <w:tc>
          <w:tcPr>
            <w:tcW w:type="dxa" w:w="1728"/>
          </w:tcPr>
          <w:p>
            <w:r/>
            <w:r>
              <w:rPr>
                <w:sz w:val="16"/>
              </w:rPr>
              <w:t>זיכרון משותף</w:t>
            </w:r>
          </w:p>
        </w:tc>
      </w:tr>
      <w:tr>
        <w:tc>
          <w:tcPr>
            <w:tcW w:type="dxa" w:w="4752"/>
          </w:tcPr>
          <w:p>
            <w:r/>
            <w:r>
              <w:rPr>
                <w:sz w:val="16"/>
              </w:rPr>
              <w:t>טבלאות פיתול (≤64KB) שוכנות ב-L2 ← רק תעבורת הנתונים קובעת</w:t>
            </w:r>
          </w:p>
        </w:tc>
        <w:tc>
          <w:tcPr>
            <w:tcW w:type="dxa" w:w="2448"/>
          </w:tcPr>
          <w:p>
            <w:r/>
            <w:r>
              <w:rPr>
                <w:sz w:val="16"/>
              </w:rPr>
              <w:t>5.5MB</w:t>
            </w:r>
          </w:p>
        </w:tc>
        <w:tc>
          <w:tcPr>
            <w:tcW w:type="dxa" w:w="1728"/>
          </w:tcPr>
          <w:p>
            <w:r/>
            <w:r>
              <w:rPr>
                <w:sz w:val="16"/>
              </w:rPr>
              <w:t>מטמון L2</w:t>
            </w:r>
          </w:p>
        </w:tc>
      </w:tr>
      <w:tr>
        <w:tc>
          <w:tcPr>
            <w:tcW w:type="dxa" w:w="4752"/>
          </w:tcPr>
          <w:p>
            <w:r/>
            <w:r>
              <w:rPr>
                <w:sz w:val="16"/>
              </w:rPr>
              <w:t>גג ה-DRAM; תאים רוויים נמדדו ≈30–39% ממנו</w:t>
            </w:r>
          </w:p>
        </w:tc>
        <w:tc>
          <w:tcPr>
            <w:tcW w:type="dxa" w:w="2448"/>
          </w:tcPr>
          <w:p>
            <w:r/>
            <w:r>
              <w:rPr>
                <w:sz w:val="16"/>
              </w:rPr>
              <w:t>GDDR6, 352-bit ← 616GB/s</w:t>
            </w:r>
          </w:p>
        </w:tc>
        <w:tc>
          <w:tcPr>
            <w:tcW w:type="dxa" w:w="1728"/>
          </w:tcPr>
          <w:p>
            <w:r/>
            <w:r>
              <w:rPr>
                <w:sz w:val="16"/>
              </w:rPr>
              <w:t>זיכרון</w:t>
            </w:r>
          </w:p>
        </w:tc>
      </w:tr>
    </w:tbl>
    <w:p>
      <w:pPr>
        <w:bidi/>
        <w:spacing w:after="120"/>
        <w:jc w:val="right"/>
      </w:pPr>
    </w:p>
    <w:p>
      <w:pPr>
        <w:bidi/>
        <w:pStyle w:val="Heading2"/>
        <w:spacing w:after="120"/>
        <w:jc w:val="right"/>
      </w:pPr>
      <w:r>
        <w:t>תיאור תוכנה</w:t>
      </w:r>
    </w:p>
    <w:p>
      <w:pPr>
        <w:bidi/>
        <w:spacing w:after="120"/>
        <w:jc w:val="right"/>
      </w:pPr>
      <w:r>
        <w:t>המערכת כתובה ב-CUDA C++ כאוסף גרעיני NTT ישירים ייעודיים בתוספת שכבת ניתוב מהודרת. כל הגרעינים הנבחרים הם ללא גלישת רגיסטרים (מאומת ב-ptxas), משתמשים ב-19–45 רגיסטרים לחוט, ומבצעים שיגור בודד לכל אצוות התמרות (הגרעין הרב-בלוקי — שניים). היפוך-הסיביות מקופל אל הטעינה הראשונית כך שהפלט מופק בסדר טבעי ללא מעבר נוסף. משפחות הגרעינים מסוכמות בטבלה 2.</w:t>
      </w:r>
    </w:p>
    <w:p>
      <w:pPr>
        <w:bidi/>
        <w:pStyle w:val="Caption"/>
        <w:jc w:val="center"/>
      </w:pPr>
      <w:r>
        <w:t>טבלה 2: משפחות גרעיני ה-CUDA והמשטר שכל אחת מכוונת אליו.</w:t>
      </w:r>
    </w:p>
    <w:tbl>
      <w:tblPr>
        <w:tblStyle w:val="TableGrid"/>
        <w:tblW w:type="auto" w:w="0"/>
        <w:jc w:val="center"/>
        <w:tblLayout w:type="fixed"/>
        <w:tblLook w:firstColumn="1" w:firstRow="1" w:lastColumn="0" w:lastRow="0" w:noHBand="0" w:noVBand="1" w:val="04A0"/>
        <w:bidiVisual/>
      </w:tblPr>
      <w:tblGrid>
        <w:gridCol w:w="2076"/>
        <w:gridCol w:w="2076"/>
        <w:gridCol w:w="2076"/>
        <w:gridCol w:w="2076"/>
      </w:tblGrid>
      <w:tr>
        <w:tc>
          <w:tcPr>
            <w:tcW w:type="dxa" w:w="1800"/>
            <w:shd w:val="clear" w:fill="1F3864"/>
          </w:tcPr>
          <w:p>
            <w:r/>
            <w:r>
              <w:rPr>
                <w:b/>
                <w:color w:val="FFFFFF"/>
                <w:sz w:val="16"/>
              </w:rPr>
              <w:t>רגיסטרים / גלישות</w:t>
            </w:r>
          </w:p>
        </w:tc>
        <w:tc>
          <w:tcPr>
            <w:tcW w:type="dxa" w:w="3744"/>
            <w:shd w:val="clear" w:fill="1F3864"/>
          </w:tcPr>
          <w:p>
            <w:r/>
            <w:r>
              <w:rPr>
                <w:b/>
                <w:color w:val="FFFFFF"/>
                <w:sz w:val="16"/>
              </w:rPr>
              <w:t>רעיון מרכזי</w:t>
            </w:r>
          </w:p>
        </w:tc>
        <w:tc>
          <w:tcPr>
            <w:tcW w:type="dxa" w:w="1944"/>
            <w:shd w:val="clear" w:fill="1F3864"/>
          </w:tcPr>
          <w:p>
            <w:r/>
            <w:r>
              <w:rPr>
                <w:b/>
                <w:color w:val="FFFFFF"/>
                <w:sz w:val="16"/>
              </w:rPr>
              <w:t>משטר יעד</w:t>
            </w:r>
          </w:p>
        </w:tc>
        <w:tc>
          <w:tcPr>
            <w:tcW w:type="dxa" w:w="2304"/>
            <w:shd w:val="clear" w:fill="1F3864"/>
          </w:tcPr>
          <w:p>
            <w:r/>
            <w:r>
              <w:rPr>
                <w:b/>
                <w:color w:val="FFFFFF"/>
                <w:sz w:val="16"/>
              </w:rPr>
              <w:t>משפחת גרעין</w:t>
            </w:r>
          </w:p>
        </w:tc>
      </w:tr>
      <w:tr>
        <w:tc>
          <w:tcPr>
            <w:tcW w:type="dxa" w:w="1800"/>
          </w:tcPr>
          <w:p>
            <w:r/>
            <w:r>
              <w:rPr>
                <w:sz w:val="16"/>
              </w:rPr>
              <w:t>19–22 / 0</w:t>
            </w:r>
          </w:p>
        </w:tc>
        <w:tc>
          <w:tcPr>
            <w:tcW w:type="dxa" w:w="3744"/>
          </w:tcPr>
          <w:p>
            <w:r/>
            <w:r>
              <w:rPr>
                <w:sz w:val="16"/>
              </w:rPr>
              <w:t>5 שלבי פרפר ברגיסטרים דרך __shfl_xor_sync</w:t>
            </w:r>
          </w:p>
        </w:tc>
        <w:tc>
          <w:tcPr>
            <w:tcW w:type="dxa" w:w="1944"/>
          </w:tcPr>
          <w:p>
            <w:r/>
            <w:r>
              <w:rPr>
                <w:sz w:val="16"/>
              </w:rPr>
              <w:t>N ≤ 1024</w:t>
            </w:r>
          </w:p>
        </w:tc>
        <w:tc>
          <w:tcPr>
            <w:tcW w:type="dxa" w:w="2304"/>
          </w:tcPr>
          <w:p>
            <w:r/>
            <w:r>
              <w:rPr>
                <w:sz w:val="16"/>
              </w:rPr>
              <w:t>Warp-shuffle (+Shoup)</w:t>
            </w:r>
          </w:p>
        </w:tc>
      </w:tr>
      <w:tr>
        <w:tc>
          <w:tcPr>
            <w:tcW w:type="dxa" w:w="1800"/>
          </w:tcPr>
          <w:p>
            <w:r/>
            <w:r>
              <w:rPr>
                <w:sz w:val="16"/>
              </w:rPr>
              <w:t>27–34 / 0</w:t>
            </w:r>
          </w:p>
        </w:tc>
        <w:tc>
          <w:tcPr>
            <w:tcW w:type="dxa" w:w="3744"/>
          </w:tcPr>
          <w:p>
            <w:r/>
            <w:r>
              <w:rPr>
                <w:sz w:val="16"/>
              </w:rPr>
              <w:t>פריסה נטולת-התנגשויות SPAD(i)=i+⌊i/32⌋</w:t>
            </w:r>
          </w:p>
        </w:tc>
        <w:tc>
          <w:tcPr>
            <w:tcW w:type="dxa" w:w="1944"/>
          </w:tcPr>
          <w:p>
            <w:r/>
            <w:r>
              <w:rPr>
                <w:sz w:val="16"/>
              </w:rPr>
              <w:t>N = 2048–8192</w:t>
            </w:r>
          </w:p>
        </w:tc>
        <w:tc>
          <w:tcPr>
            <w:tcW w:type="dxa" w:w="2304"/>
          </w:tcPr>
          <w:p>
            <w:r/>
            <w:r>
              <w:rPr>
                <w:sz w:val="16"/>
              </w:rPr>
              <w:t>זיכרון משותף מרופד (+Shoup)</w:t>
            </w:r>
          </w:p>
        </w:tc>
      </w:tr>
      <w:tr>
        <w:tc>
          <w:tcPr>
            <w:tcW w:type="dxa" w:w="1800"/>
          </w:tcPr>
          <w:p>
            <w:r/>
            <w:r>
              <w:rPr>
                <w:sz w:val="16"/>
              </w:rPr>
              <w:t>45+37 / 0</w:t>
            </w:r>
          </w:p>
        </w:tc>
        <w:tc>
          <w:tcPr>
            <w:tcW w:type="dxa" w:w="3744"/>
          </w:tcPr>
          <w:p>
            <w:r/>
            <w:r>
              <w:rPr>
                <w:sz w:val="16"/>
              </w:rPr>
              <w:t>פיצול N = N₁·N₂ על 128+ בלוקים</w:t>
            </w:r>
          </w:p>
        </w:tc>
        <w:tc>
          <w:tcPr>
            <w:tcW w:type="dxa" w:w="1944"/>
          </w:tcPr>
          <w:p>
            <w:r/>
            <w:r>
              <w:rPr>
                <w:sz w:val="16"/>
              </w:rPr>
              <w:t>N גדול, אצווה 1–8</w:t>
            </w:r>
          </w:p>
        </w:tc>
        <w:tc>
          <w:tcPr>
            <w:tcW w:type="dxa" w:w="2304"/>
          </w:tcPr>
          <w:p>
            <w:r/>
            <w:r>
              <w:rPr>
                <w:sz w:val="16"/>
              </w:rPr>
              <w:t>רב-בלוקי 4-step</w:t>
            </w:r>
          </w:p>
        </w:tc>
      </w:tr>
      <w:tr>
        <w:tc>
          <w:tcPr>
            <w:tcW w:type="dxa" w:w="1800"/>
          </w:tcPr>
          <w:p>
            <w:r/>
            <w:r>
              <w:rPr>
                <w:sz w:val="16"/>
              </w:rPr>
              <w:t>—</w:t>
            </w:r>
          </w:p>
        </w:tc>
        <w:tc>
          <w:tcPr>
            <w:tcW w:type="dxa" w:w="3744"/>
          </w:tcPr>
          <w:p>
            <w:r/>
            <w:r>
              <w:rPr>
                <w:sz w:val="16"/>
              </w:rPr>
              <w:t>גרעיני הזרמה לפי שלב (גיבוי)</w:t>
            </w:r>
          </w:p>
        </w:tc>
        <w:tc>
          <w:tcPr>
            <w:tcW w:type="dxa" w:w="1944"/>
          </w:tcPr>
          <w:p>
            <w:r/>
            <w:r>
              <w:rPr>
                <w:sz w:val="16"/>
              </w:rPr>
              <w:t>תאים רוויי-DRAM</w:t>
            </w:r>
          </w:p>
        </w:tc>
        <w:tc>
          <w:tcPr>
            <w:tcW w:type="dxa" w:w="2304"/>
          </w:tcPr>
          <w:p>
            <w:r/>
            <w:r>
              <w:rPr>
                <w:sz w:val="16"/>
              </w:rPr>
              <w:t>GPU-NTT (חיצוני)</w:t>
            </w:r>
          </w:p>
        </w:tc>
      </w:tr>
    </w:tbl>
    <w:p>
      <w:pPr>
        <w:bidi/>
        <w:spacing w:after="120"/>
        <w:jc w:val="right"/>
      </w:pPr>
    </w:p>
    <w:p>
      <w:pPr>
        <w:bidi/>
        <w:spacing w:after="120"/>
        <w:jc w:val="right"/>
      </w:pPr>
      <w:r>
        <w:t>גרעין warp-shuffle (N קטן). בהתמרת decimation-in-time, שלב st מזווג איברים במרחק m = 2^st. עבור m &lt; 32 שני האופרנדים של הפרפר שוכנים באותו warp, ולכן מסלול מחליף את בן-זוגו ברגיסטרים באמצעות __shfl_xor_sync, וחמשת השלבים הראשונים רצים ללא תעבורת זיכרון משותף, ללא התנגשויות-בנקים וללא __syncthreads(). התמרת N = 256 מלאה משלמת אפוא שלושה מחסומים בלבד במקום שמונה. מאחר ש-N קטן חסום-השהיה, סילוק המעבר בזיכרון המשותף תוקף בדיוק את המסלול הקריטי; הגרעין מגיע לרצפת השהיה של 4.5 מיקרו-שניות ולשיפור של עד פי 1.93 מעל GPU-NTT.</w:t>
      </w:r>
    </w:p>
    <w:p>
      <w:pPr>
        <w:bidi/>
        <w:spacing w:after="120"/>
        <w:jc w:val="right"/>
      </w:pPr>
      <w:r>
        <w:t>כפל Shoup. כל מכפיל-פרפר הוא גורם-פיתול הידוע בזמן בניית הטבלה, ולכן המנה הנלווית מחושבת מראש והצמצום בזמן ריצה מתקצר לרצף 32-סיביות קצר. קובץ ה-64K רגיסטרים בולע את האופרנד הנוסף (22 רגיסטרים לגרעין ה-shuffle, 27–29 למרופד) בתפוסה תיאורטית 100%. Shoup הוחלה רק על שני הגרעינים שהמערכת אכן בוחרת, שכן החלתה על גרעין לא-דומיננטי לא שינתה דבר ברמת המערכת.</w:t>
      </w:r>
    </w:p>
    <w:p>
      <w:pPr>
        <w:bidi/>
        <w:spacing w:after="120"/>
        <w:jc w:val="right"/>
      </w:pPr>
      <w:r>
        <w:t>גרעין זיכרון משותף מרופד (N בינוני). עבור N = 2048–8192 ההתמרה מבוצעת בזיכרון משותף. החילוף המדורג גורם לחוטי warp לפגוע בכתובות שקולות מודולו 32 ולהיסדר בטור (התנגשויות-בנקים). הכנסת מילת-ריפוד אחת לכל 32 איברים (SPAD(i) = i + ⌊i/32⌋) מסיטה כל קבוצה לבנקים נבדלים בכל השלבים, במחיר של כ-3% זיכרון משותף נוסף. הריפוד לבדו מניב עד פי 1.23/1.27/1.32/1.29 ב-N = 1024/2048/4096/8192.</w:t>
      </w:r>
    </w:p>
    <w:p>
      <w:pPr>
        <w:bidi/>
        <w:spacing w:after="120"/>
        <w:jc w:val="right"/>
      </w:pPr>
      <w:r>
        <w:t>גרעין רב-בלוקי 4-step (N גדול, אצווה קטנה). גרעין חד-בלוקי ל-N גדול מנצל את כל תקציב החוטים של SM אחד, כך שבאצווה 1 שאר 67 ה-SM בטלים — מקור הפער במקרה הגרוע. הפירוק 4-step מפרק N = N₁·N₂ (למשל 128×128 ב-N = 16384) ומריץ N₁ תת-התמרות, כפל-פיתול ממוזג, ואז N₂ תת-התמרות — הופך התמרה אחת ל-128+ בלוקים הממלאים את כל 68 ה-SM. כך צומצם הפער ב-N = 16384, אצווה 1, מפי 4.31 עד שוויון. שני מעברי-הזיכרון הגלובליים גורמים לו להפסיד באצווה גבוהה, ולכן הבורר מנתב אליו רק אצוות 1–8.</w:t>
      </w:r>
    </w:p>
    <w:p>
      <w:pPr>
        <w:bidi/>
        <w:spacing w:after="120"/>
        <w:jc w:val="right"/>
      </w:pPr>
      <w:r>
        <w:t>הבורר האדפטיבי. הבורר הוא שכבת ניתוב מהודרת ומורצת, לא argmin לא-מקוון על גיליון: טבלה לכל תא לפי (log₂N−8, log₂batch) מחזיקה את הגרעין הטוב-ביותר שנמדד, ומתג-אינדקס בודד משגר אותו. תקורת החיפוש הנמדדת היא 1.25 ננו-שנייה, זניחה מול התמרה של ≥4.5 מיקרו-שניות. מכיוון ש-GPU-NTT היא אחד הגרעינים, המערכת הפרוסה לעולם אינה נחותה מהספרייה המקצועית באף תא שנמדד. ה-API הציבורי מחייב כל אי-התאמת סדר-פלט (טבעי מול היפוך-סיביות) בגרעין הזקוק לתמורה.</w:t>
      </w:r>
    </w:p>
    <w:p>
      <w:pPr>
        <w:jc w:val="center"/>
      </w:pPr>
      <w:r>
        <w:drawing>
          <wp:inline xmlns:a="http://schemas.openxmlformats.org/drawingml/2006/main" xmlns:pic="http://schemas.openxmlformats.org/drawingml/2006/picture">
            <wp:extent cx="5303520" cy="2791326"/>
            <wp:docPr id="100" name="Picture 100"/>
            <wp:cNvGraphicFramePr>
              <a:graphicFrameLocks noChangeAspect="1"/>
            </wp:cNvGraphicFramePr>
            <a:graphic>
              <a:graphicData uri="http://schemas.openxmlformats.org/drawingml/2006/picture">
                <pic:pic>
                  <pic:nvPicPr>
                    <pic:cNvPr id="0" name="backend_selection_map.png"/>
                    <pic:cNvPicPr/>
                  </pic:nvPicPr>
                  <pic:blipFill>
                    <a:blip r:embed="rId24"/>
                    <a:stretch>
                      <a:fillRect/>
                    </a:stretch>
                  </pic:blipFill>
                  <pic:spPr>
                    <a:xfrm>
                      <a:off x="0" y="0"/>
                      <a:ext cx="5303520" cy="2791326"/>
                    </a:xfrm>
                    <a:prstGeom prst="rect"/>
                  </pic:spPr>
                </pic:pic>
              </a:graphicData>
            </a:graphic>
          </wp:inline>
        </w:drawing>
      </w:r>
    </w:p>
    <w:p>
      <w:pPr>
        <w:bidi/>
        <w:pStyle w:val="Caption"/>
        <w:jc w:val="center"/>
      </w:pPr>
      <w:r>
        <w:t>איור 2: הגרעין שנבחר על-ידי מנוע הריצה לכל תא (N, אצווה) — מבנה המשטרים הנמדד. N קטן/בינוני נזכה בגרעיני ה-shuffle והמרופד, N גדול באצווה נמוכה בגרעין הרב-בלוקי, ותאים רוויים בגיבוי GPU-NTT.</w:t>
      </w:r>
    </w:p>
    <w:p>
      <w:r>
        <w:br w:type="page"/>
      </w:r>
    </w:p>
    <w:p>
      <w:pPr>
        <w:bidi/>
        <w:pStyle w:val="Heading1"/>
        <w:spacing w:after="120"/>
        <w:jc w:val="right"/>
      </w:pPr>
      <w:r>
        <w:t>ניתוח תוצאות</w:t>
      </w:r>
    </w:p>
    <w:p>
      <w:pPr>
        <w:bidi/>
        <w:spacing w:after="120"/>
        <w:jc w:val="right"/>
      </w:pPr>
      <w:r>
        <w:t>כל התוצאות שלהלן הן חישוב-בלבד (נתונים תושבי-GPU, גורמי-פיתול בנויים מראש), נמדדות באירועי CUDA לאחר חימום, ונכונותן נבדקת לפני המדידה על קלטי-קצה (אפסים, one-hot, כל-(q−1), אקראי) בתוספת מחזור הופכי, על פני N = 256–16384. מוסכמת ההתמרה אומתה פורמלית: הפלט בסדר טבעי מדויק-סיביות מול ה-DFT הישיר ב-ω = 3^((q−1)/N) ושווה לתמורת היפוך-הסיביות של פלט GPU-NTT. רשת ההשוואה היא 74 תאי (N, אצווה); ההרצה הסמכותית (job 153) הריצה את הגרעין הנבחר לכל תא ב-100 חזרות כאשר הערכים והסדר נבדקו (74/74 עברו).</w:t>
      </w:r>
    </w:p>
    <w:p>
      <w:pPr>
        <w:bidi/>
        <w:pStyle w:val="Heading2"/>
        <w:spacing w:after="120"/>
        <w:jc w:val="right"/>
      </w:pPr>
      <w:r>
        <w:t>השוואה ראש-בראש מול GPU-NTT</w:t>
      </w:r>
    </w:p>
    <w:p>
      <w:pPr>
        <w:bidi/>
        <w:spacing w:after="120"/>
        <w:jc w:val="right"/>
      </w:pPr>
      <w:r>
        <w:t>תחת חוזה הסדר-הטבעי הגולמי (כל ספרייה בסדר-הפלט שלה — ההגדרה ההוגנת לצינורות NTT→כפל-נקודתי→INTT), הגרעינים שלנו מנצחים את GPU-NTT ב-48 מתוך 74 תאים, שווים בטווח 3% בארבעה, ואיטיים יותר ב-22 — משטר רוויית ה-DRAM שהבורר מנתב אליו בכוונה חזרה ל-GPU-NTT. השיפור המרבי הוא פי 1.93, והשיאים לפי גודל הם פי 1.93 (N=256), 1.62 (512), 1.48 (1024), 1.38 (2048), 1.34 (4096) ו-1.18 (8192). האזור החזק ביותר הוא N ≤ 1024 באצוות 1–2048 — בדיוק המשטר חסום-ההשהיה והתפוקה-הבינונית של עומסי הקריפטוגרפיה מבוססת-הסריגים. הרצה שנייה של אותה רשת נתנה 49/7/18 ושיא פי 2.14; תאי-גבול מתחלפים בתוך רעש של ±3% בין הרצות, בכיוון יציב.</w:t>
      </w:r>
    </w:p>
    <w:p>
      <w:pPr>
        <w:jc w:val="center"/>
      </w:pPr>
      <w:r>
        <w:drawing>
          <wp:inline xmlns:a="http://schemas.openxmlformats.org/drawingml/2006/main" xmlns:pic="http://schemas.openxmlformats.org/drawingml/2006/picture">
            <wp:extent cx="5394960" cy="2839453"/>
            <wp:docPr id="101" name="Picture 101"/>
            <wp:cNvGraphicFramePr>
              <a:graphicFrameLocks noChangeAspect="1"/>
            </wp:cNvGraphicFramePr>
            <a:graphic>
              <a:graphicData uri="http://schemas.openxmlformats.org/drawingml/2006/picture">
                <pic:pic>
                  <pic:nvPicPr>
                    <pic:cNvPr id="0" name="speedup_vs_gpu_ntt_heatmap.png"/>
                    <pic:cNvPicPr/>
                  </pic:nvPicPr>
                  <pic:blipFill>
                    <a:blip r:embed="rId25"/>
                    <a:stretch>
                      <a:fillRect/>
                    </a:stretch>
                  </pic:blipFill>
                  <pic:spPr>
                    <a:xfrm>
                      <a:off x="0" y="0"/>
                      <a:ext cx="5394960" cy="2839453"/>
                    </a:xfrm>
                    <a:prstGeom prst="rect"/>
                  </pic:spPr>
                </pic:pic>
              </a:graphicData>
            </a:graphic>
          </wp:inline>
        </w:drawing>
      </w:r>
    </w:p>
    <w:p>
      <w:pPr>
        <w:bidi/>
        <w:pStyle w:val="Caption"/>
        <w:jc w:val="center"/>
      </w:pPr>
      <w:r>
        <w:t>איור 3: שיפור לכל תא של הגרעינים שלנו מעל GPU-NTT (כחול = אנו מהירים יותר, אדום = GPU-NTT מהירה יותר). הגרעינים שלנו שולטים ב-N קטן/בינוני באצווה נמוכה-בינונית; GPU-NTT מנצחת בתאים רוויי-DRAM שהמערכת מפנה אליה.</w:t>
      </w:r>
    </w:p>
    <w:p>
      <w:pPr>
        <w:bidi/>
        <w:spacing w:after="120"/>
        <w:jc w:val="right"/>
      </w:pPr>
      <w:r>
        <w:t>טבלה 3 מציגה נקודות-עבודה מייצגות על פני המשטרים. תפוקת-השיא של הגרעינים שלנו היא 110.9 מיליון התמרות לשנייה ב-N = 256, אצווה = 8192 (warp-shuffle + Shoup, ≈227GB/s, 37% מהשיא התיאורטי); בתא רווי זה GPU-NTT מהירה בכ-5%, ולכן המערכת בוחרת נכונה ב-GPU-NTT שם.</w:t>
      </w:r>
    </w:p>
    <w:p>
      <w:pPr>
        <w:bidi/>
        <w:pStyle w:val="Caption"/>
        <w:jc w:val="center"/>
      </w:pPr>
      <w:r>
        <w:t>טבלה 3: תפוקה מייצגת של הגרעין הנבחר (job 153, סדר טבעי גולמי). GB/s אפקטיבי הוא אומדן תעבורה, לא מונה ניצולת.</w:t>
      </w:r>
    </w:p>
    <w:tbl>
      <w:tblPr>
        <w:tblStyle w:val="TableGrid"/>
        <w:tblW w:type="auto" w:w="0"/>
        <w:jc w:val="center"/>
        <w:tblLook w:firstColumn="1" w:firstRow="1" w:lastColumn="0" w:lastRow="0" w:noHBand="0" w:noVBand="1" w:val="04A0"/>
        <w:bidiVisual/>
      </w:tblPr>
      <w:tblGrid>
        <w:gridCol w:w="1038"/>
        <w:gridCol w:w="1038"/>
        <w:gridCol w:w="1038"/>
        <w:gridCol w:w="1038"/>
        <w:gridCol w:w="1038"/>
        <w:gridCol w:w="1038"/>
        <w:gridCol w:w="1038"/>
        <w:gridCol w:w="1038"/>
      </w:tblGrid>
      <w:tr>
        <w:tc>
          <w:tcPr>
            <w:tcW w:type="dxa" w:w="1038"/>
            <w:shd w:val="clear" w:fill="1F3864"/>
          </w:tcPr>
          <w:p>
            <w:r/>
            <w:r>
              <w:rPr>
                <w:b/>
                <w:color w:val="FFFFFF"/>
                <w:sz w:val="16"/>
              </w:rPr>
              <w:t>מול GPU-NTT</w:t>
            </w:r>
          </w:p>
        </w:tc>
        <w:tc>
          <w:tcPr>
            <w:tcW w:type="dxa" w:w="1038"/>
            <w:shd w:val="clear" w:fill="1F3864"/>
          </w:tcPr>
          <w:p>
            <w:r/>
            <w:r>
              <w:rPr>
                <w:b/>
                <w:color w:val="FFFFFF"/>
                <w:sz w:val="16"/>
              </w:rPr>
              <w:t>GB/s מוערך</w:t>
            </w:r>
          </w:p>
        </w:tc>
        <w:tc>
          <w:tcPr>
            <w:tcW w:type="dxa" w:w="1038"/>
            <w:shd w:val="clear" w:fill="1F3864"/>
          </w:tcPr>
          <w:p>
            <w:r/>
            <w:r>
              <w:rPr>
                <w:b/>
                <w:color w:val="FFFFFF"/>
                <w:sz w:val="16"/>
              </w:rPr>
              <w:t>NTT/s</w:t>
            </w:r>
          </w:p>
        </w:tc>
        <w:tc>
          <w:tcPr>
            <w:tcW w:type="dxa" w:w="1038"/>
            <w:shd w:val="clear" w:fill="1F3864"/>
          </w:tcPr>
          <w:p>
            <w:r/>
            <w:r>
              <w:rPr>
                <w:b/>
                <w:color w:val="FFFFFF"/>
                <w:sz w:val="16"/>
              </w:rPr>
              <w:t>µs/NTT</w:t>
            </w:r>
          </w:p>
        </w:tc>
        <w:tc>
          <w:tcPr>
            <w:tcW w:type="dxa" w:w="1038"/>
            <w:shd w:val="clear" w:fill="1F3864"/>
          </w:tcPr>
          <w:p>
            <w:r/>
            <w:r>
              <w:rPr>
                <w:b/>
                <w:color w:val="FFFFFF"/>
                <w:sz w:val="16"/>
              </w:rPr>
              <w:t>גרעין</w:t>
            </w:r>
          </w:p>
        </w:tc>
        <w:tc>
          <w:tcPr>
            <w:tcW w:type="dxa" w:w="1038"/>
            <w:shd w:val="clear" w:fill="1F3864"/>
          </w:tcPr>
          <w:p>
            <w:r/>
            <w:r>
              <w:rPr>
                <w:b/>
                <w:color w:val="FFFFFF"/>
                <w:sz w:val="16"/>
              </w:rPr>
              <w:t>אצווה</w:t>
            </w:r>
          </w:p>
        </w:tc>
        <w:tc>
          <w:tcPr>
            <w:tcW w:type="dxa" w:w="1038"/>
            <w:shd w:val="clear" w:fill="1F3864"/>
          </w:tcPr>
          <w:p>
            <w:r/>
            <w:r>
              <w:rPr>
                <w:b/>
                <w:color w:val="FFFFFF"/>
                <w:sz w:val="16"/>
              </w:rPr>
              <w:t>N</w:t>
            </w:r>
          </w:p>
        </w:tc>
        <w:tc>
          <w:tcPr>
            <w:tcW w:type="dxa" w:w="1038"/>
            <w:shd w:val="clear" w:fill="1F3864"/>
          </w:tcPr>
          <w:p>
            <w:r/>
            <w:r>
              <w:rPr>
                <w:b/>
                <w:color w:val="FFFFFF"/>
                <w:sz w:val="16"/>
              </w:rPr>
              <w:t>עומס עבודה</w:t>
            </w:r>
          </w:p>
        </w:tc>
      </w:tr>
      <w:tr>
        <w:tc>
          <w:tcPr>
            <w:tcW w:type="dxa" w:w="1038"/>
          </w:tcPr>
          <w:p>
            <w:r/>
            <w:r>
              <w:rPr>
                <w:sz w:val="16"/>
              </w:rPr>
              <w:t>×1.93</w:t>
            </w:r>
          </w:p>
        </w:tc>
        <w:tc>
          <w:tcPr>
            <w:tcW w:type="dxa" w:w="1038"/>
          </w:tcPr>
          <w:p>
            <w:r/>
            <w:r>
              <w:rPr>
                <w:sz w:val="16"/>
              </w:rPr>
              <w:t>0.4</w:t>
            </w:r>
          </w:p>
        </w:tc>
        <w:tc>
          <w:tcPr>
            <w:tcW w:type="dxa" w:w="1038"/>
          </w:tcPr>
          <w:p>
            <w:r/>
            <w:r>
              <w:rPr>
                <w:sz w:val="16"/>
              </w:rPr>
              <w:t>0.219M</w:t>
            </w:r>
          </w:p>
        </w:tc>
        <w:tc>
          <w:tcPr>
            <w:tcW w:type="dxa" w:w="1038"/>
          </w:tcPr>
          <w:p>
            <w:r/>
            <w:r>
              <w:rPr>
                <w:sz w:val="16"/>
              </w:rPr>
              <w:t>4.58</w:t>
            </w:r>
          </w:p>
        </w:tc>
        <w:tc>
          <w:tcPr>
            <w:tcW w:type="dxa" w:w="1038"/>
          </w:tcPr>
          <w:p>
            <w:r/>
            <w:r>
              <w:rPr>
                <w:sz w:val="16"/>
              </w:rPr>
              <w:t>shuffle+Shoup</w:t>
            </w:r>
          </w:p>
        </w:tc>
        <w:tc>
          <w:tcPr>
            <w:tcW w:type="dxa" w:w="1038"/>
          </w:tcPr>
          <w:p>
            <w:r/>
            <w:r>
              <w:rPr>
                <w:sz w:val="16"/>
              </w:rPr>
              <w:t>1</w:t>
            </w:r>
          </w:p>
        </w:tc>
        <w:tc>
          <w:tcPr>
            <w:tcW w:type="dxa" w:w="1038"/>
          </w:tcPr>
          <w:p>
            <w:r/>
            <w:r>
              <w:rPr>
                <w:sz w:val="16"/>
              </w:rPr>
              <w:t>256</w:t>
            </w:r>
          </w:p>
        </w:tc>
        <w:tc>
          <w:tcPr>
            <w:tcW w:type="dxa" w:w="1038"/>
          </w:tcPr>
          <w:p>
            <w:r/>
            <w:r>
              <w:rPr>
                <w:sz w:val="16"/>
              </w:rPr>
              <w:t>N קטן, אצווה נמוכה</w:t>
            </w:r>
          </w:p>
        </w:tc>
      </w:tr>
      <w:tr>
        <w:tc>
          <w:tcPr>
            <w:tcW w:type="dxa" w:w="1038"/>
          </w:tcPr>
          <w:p>
            <w:r/>
            <w:r>
              <w:rPr>
                <w:sz w:val="16"/>
              </w:rPr>
              <w:t>×1.08</w:t>
            </w:r>
          </w:p>
        </w:tc>
        <w:tc>
          <w:tcPr>
            <w:tcW w:type="dxa" w:w="1038"/>
          </w:tcPr>
          <w:p>
            <w:r/>
            <w:r>
              <w:rPr>
                <w:sz w:val="16"/>
              </w:rPr>
              <w:t>197</w:t>
            </w:r>
          </w:p>
        </w:tc>
        <w:tc>
          <w:tcPr>
            <w:tcW w:type="dxa" w:w="1038"/>
          </w:tcPr>
          <w:p>
            <w:r/>
            <w:r>
              <w:rPr>
                <w:sz w:val="16"/>
              </w:rPr>
              <w:t>96.2M</w:t>
            </w:r>
          </w:p>
        </w:tc>
        <w:tc>
          <w:tcPr>
            <w:tcW w:type="dxa" w:w="1038"/>
          </w:tcPr>
          <w:p>
            <w:r/>
            <w:r>
              <w:rPr>
                <w:sz w:val="16"/>
              </w:rPr>
              <w:t>0.010</w:t>
            </w:r>
          </w:p>
        </w:tc>
        <w:tc>
          <w:tcPr>
            <w:tcW w:type="dxa" w:w="1038"/>
          </w:tcPr>
          <w:p>
            <w:r/>
            <w:r>
              <w:rPr>
                <w:sz w:val="16"/>
              </w:rPr>
              <w:t>shuffle+Shoup</w:t>
            </w:r>
          </w:p>
        </w:tc>
        <w:tc>
          <w:tcPr>
            <w:tcW w:type="dxa" w:w="1038"/>
          </w:tcPr>
          <w:p>
            <w:r/>
            <w:r>
              <w:rPr>
                <w:sz w:val="16"/>
              </w:rPr>
              <w:t>2048</w:t>
            </w:r>
          </w:p>
        </w:tc>
        <w:tc>
          <w:tcPr>
            <w:tcW w:type="dxa" w:w="1038"/>
          </w:tcPr>
          <w:p>
            <w:r/>
            <w:r>
              <w:rPr>
                <w:sz w:val="16"/>
              </w:rPr>
              <w:t>256</w:t>
            </w:r>
          </w:p>
        </w:tc>
        <w:tc>
          <w:tcPr>
            <w:tcW w:type="dxa" w:w="1038"/>
          </w:tcPr>
          <w:p>
            <w:r/>
            <w:r>
              <w:rPr>
                <w:sz w:val="16"/>
              </w:rPr>
              <w:t>N קטן, טרום-רוויה</w:t>
            </w:r>
          </w:p>
        </w:tc>
      </w:tr>
      <w:tr>
        <w:tc>
          <w:tcPr>
            <w:tcW w:type="dxa" w:w="1038"/>
          </w:tcPr>
          <w:p>
            <w:r/>
            <w:r>
              <w:rPr>
                <w:sz w:val="16"/>
              </w:rPr>
              <w:t>0.95</w:t>
            </w:r>
          </w:p>
        </w:tc>
        <w:tc>
          <w:tcPr>
            <w:tcW w:type="dxa" w:w="1038"/>
          </w:tcPr>
          <w:p>
            <w:r/>
            <w:r>
              <w:rPr>
                <w:sz w:val="16"/>
              </w:rPr>
              <w:t>240</w:t>
            </w:r>
          </w:p>
        </w:tc>
        <w:tc>
          <w:tcPr>
            <w:tcW w:type="dxa" w:w="1038"/>
          </w:tcPr>
          <w:p>
            <w:r/>
            <w:r>
              <w:rPr>
                <w:sz w:val="16"/>
              </w:rPr>
              <w:t>117.2M</w:t>
            </w:r>
          </w:p>
        </w:tc>
        <w:tc>
          <w:tcPr>
            <w:tcW w:type="dxa" w:w="1038"/>
          </w:tcPr>
          <w:p>
            <w:r/>
            <w:r>
              <w:rPr>
                <w:sz w:val="16"/>
              </w:rPr>
              <w:t>0.009</w:t>
            </w:r>
          </w:p>
        </w:tc>
        <w:tc>
          <w:tcPr>
            <w:tcW w:type="dxa" w:w="1038"/>
          </w:tcPr>
          <w:p>
            <w:r/>
            <w:r>
              <w:rPr>
                <w:sz w:val="16"/>
              </w:rPr>
              <w:t>GPU-NTT</w:t>
            </w:r>
          </w:p>
        </w:tc>
        <w:tc>
          <w:tcPr>
            <w:tcW w:type="dxa" w:w="1038"/>
          </w:tcPr>
          <w:p>
            <w:r/>
            <w:r>
              <w:rPr>
                <w:sz w:val="16"/>
              </w:rPr>
              <w:t>8192</w:t>
            </w:r>
          </w:p>
        </w:tc>
        <w:tc>
          <w:tcPr>
            <w:tcW w:type="dxa" w:w="1038"/>
          </w:tcPr>
          <w:p>
            <w:r/>
            <w:r>
              <w:rPr>
                <w:sz w:val="16"/>
              </w:rPr>
              <w:t>256</w:t>
            </w:r>
          </w:p>
        </w:tc>
        <w:tc>
          <w:tcPr>
            <w:tcW w:type="dxa" w:w="1038"/>
          </w:tcPr>
          <w:p>
            <w:r/>
            <w:r>
              <w:rPr>
                <w:sz w:val="16"/>
              </w:rPr>
              <w:t>N קטן, רוויה</w:t>
            </w:r>
          </w:p>
        </w:tc>
      </w:tr>
      <w:tr>
        <w:tc>
          <w:tcPr>
            <w:tcW w:type="dxa" w:w="1038"/>
          </w:tcPr>
          <w:p>
            <w:r/>
            <w:r>
              <w:rPr>
                <w:sz w:val="16"/>
              </w:rPr>
              <w:t>×1.33</w:t>
            </w:r>
          </w:p>
        </w:tc>
        <w:tc>
          <w:tcPr>
            <w:tcW w:type="dxa" w:w="1038"/>
          </w:tcPr>
          <w:p>
            <w:r/>
            <w:r>
              <w:rPr>
                <w:sz w:val="16"/>
              </w:rPr>
              <w:t>59</w:t>
            </w:r>
          </w:p>
        </w:tc>
        <w:tc>
          <w:tcPr>
            <w:tcW w:type="dxa" w:w="1038"/>
          </w:tcPr>
          <w:p>
            <w:r/>
            <w:r>
              <w:rPr>
                <w:sz w:val="16"/>
              </w:rPr>
              <w:t>3.57M</w:t>
            </w:r>
          </w:p>
        </w:tc>
        <w:tc>
          <w:tcPr>
            <w:tcW w:type="dxa" w:w="1038"/>
          </w:tcPr>
          <w:p>
            <w:r/>
            <w:r>
              <w:rPr>
                <w:sz w:val="16"/>
              </w:rPr>
              <w:t>0.280</w:t>
            </w:r>
          </w:p>
        </w:tc>
        <w:tc>
          <w:tcPr>
            <w:tcW w:type="dxa" w:w="1038"/>
          </w:tcPr>
          <w:p>
            <w:r/>
            <w:r>
              <w:rPr>
                <w:sz w:val="16"/>
              </w:rPr>
              <w:t>padded+Shoup</w:t>
            </w:r>
          </w:p>
        </w:tc>
        <w:tc>
          <w:tcPr>
            <w:tcW w:type="dxa" w:w="1038"/>
          </w:tcPr>
          <w:p>
            <w:r/>
            <w:r>
              <w:rPr>
                <w:sz w:val="16"/>
              </w:rPr>
              <w:t>32</w:t>
            </w:r>
          </w:p>
        </w:tc>
        <w:tc>
          <w:tcPr>
            <w:tcW w:type="dxa" w:w="1038"/>
          </w:tcPr>
          <w:p>
            <w:r/>
            <w:r>
              <w:rPr>
                <w:sz w:val="16"/>
              </w:rPr>
              <w:t>2048</w:t>
            </w:r>
          </w:p>
        </w:tc>
        <w:tc>
          <w:tcPr>
            <w:tcW w:type="dxa" w:w="1038"/>
          </w:tcPr>
          <w:p>
            <w:r/>
            <w:r>
              <w:rPr>
                <w:sz w:val="16"/>
              </w:rPr>
              <w:t>N בינוני</w:t>
            </w:r>
          </w:p>
        </w:tc>
      </w:tr>
      <w:tr>
        <w:tc>
          <w:tcPr>
            <w:tcW w:type="dxa" w:w="1038"/>
          </w:tcPr>
          <w:p>
            <w:r/>
            <w:r>
              <w:rPr>
                <w:sz w:val="16"/>
              </w:rPr>
              <w:t>0.97</w:t>
            </w:r>
          </w:p>
        </w:tc>
        <w:tc>
          <w:tcPr>
            <w:tcW w:type="dxa" w:w="1038"/>
          </w:tcPr>
          <w:p>
            <w:r/>
            <w:r>
              <w:rPr>
                <w:sz w:val="16"/>
              </w:rPr>
              <w:t>13</w:t>
            </w:r>
          </w:p>
        </w:tc>
        <w:tc>
          <w:tcPr>
            <w:tcW w:type="dxa" w:w="1038"/>
          </w:tcPr>
          <w:p>
            <w:r/>
            <w:r>
              <w:rPr>
                <w:sz w:val="16"/>
              </w:rPr>
              <w:t>98K</w:t>
            </w:r>
          </w:p>
        </w:tc>
        <w:tc>
          <w:tcPr>
            <w:tcW w:type="dxa" w:w="1038"/>
          </w:tcPr>
          <w:p>
            <w:r/>
            <w:r>
              <w:rPr>
                <w:sz w:val="16"/>
              </w:rPr>
              <w:t>10.24</w:t>
            </w:r>
          </w:p>
        </w:tc>
        <w:tc>
          <w:tcPr>
            <w:tcW w:type="dxa" w:w="1038"/>
          </w:tcPr>
          <w:p>
            <w:r/>
            <w:r>
              <w:rPr>
                <w:sz w:val="16"/>
              </w:rPr>
              <w:t>GPU-NTT</w:t>
            </w:r>
          </w:p>
        </w:tc>
        <w:tc>
          <w:tcPr>
            <w:tcW w:type="dxa" w:w="1038"/>
          </w:tcPr>
          <w:p>
            <w:r/>
            <w:r>
              <w:rPr>
                <w:sz w:val="16"/>
              </w:rPr>
              <w:t>1</w:t>
            </w:r>
          </w:p>
        </w:tc>
        <w:tc>
          <w:tcPr>
            <w:tcW w:type="dxa" w:w="1038"/>
          </w:tcPr>
          <w:p>
            <w:r/>
            <w:r>
              <w:rPr>
                <w:sz w:val="16"/>
              </w:rPr>
              <w:t>16384</w:t>
            </w:r>
          </w:p>
        </w:tc>
        <w:tc>
          <w:tcPr>
            <w:tcW w:type="dxa" w:w="1038"/>
          </w:tcPr>
          <w:p>
            <w:r/>
            <w:r>
              <w:rPr>
                <w:sz w:val="16"/>
              </w:rPr>
              <w:t>N גדול, אצווה נמוכה</w:t>
            </w:r>
          </w:p>
        </w:tc>
      </w:tr>
      <w:tr>
        <w:tc>
          <w:tcPr>
            <w:tcW w:type="dxa" w:w="1038"/>
          </w:tcPr>
          <w:p>
            <w:r/>
            <w:r>
              <w:rPr>
                <w:sz w:val="16"/>
              </w:rPr>
              <w:t>0.82</w:t>
            </w:r>
          </w:p>
        </w:tc>
        <w:tc>
          <w:tcPr>
            <w:tcW w:type="dxa" w:w="1038"/>
          </w:tcPr>
          <w:p>
            <w:r/>
            <w:r>
              <w:rPr>
                <w:sz w:val="16"/>
              </w:rPr>
              <w:t>187</w:t>
            </w:r>
          </w:p>
        </w:tc>
        <w:tc>
          <w:tcPr>
            <w:tcW w:type="dxa" w:w="1038"/>
          </w:tcPr>
          <w:p>
            <w:r/>
            <w:r>
              <w:rPr>
                <w:sz w:val="16"/>
              </w:rPr>
              <w:t>1.43M</w:t>
            </w:r>
          </w:p>
        </w:tc>
        <w:tc>
          <w:tcPr>
            <w:tcW w:type="dxa" w:w="1038"/>
          </w:tcPr>
          <w:p>
            <w:r/>
            <w:r>
              <w:rPr>
                <w:sz w:val="16"/>
              </w:rPr>
              <w:t>0.701</w:t>
            </w:r>
          </w:p>
        </w:tc>
        <w:tc>
          <w:tcPr>
            <w:tcW w:type="dxa" w:w="1038"/>
          </w:tcPr>
          <w:p>
            <w:r/>
            <w:r>
              <w:rPr>
                <w:sz w:val="16"/>
              </w:rPr>
              <w:t>GPU-NTT</w:t>
            </w:r>
          </w:p>
        </w:tc>
        <w:tc>
          <w:tcPr>
            <w:tcW w:type="dxa" w:w="1038"/>
          </w:tcPr>
          <w:p>
            <w:r/>
            <w:r>
              <w:rPr>
                <w:sz w:val="16"/>
              </w:rPr>
              <w:t>128</w:t>
            </w:r>
          </w:p>
        </w:tc>
        <w:tc>
          <w:tcPr>
            <w:tcW w:type="dxa" w:w="1038"/>
          </w:tcPr>
          <w:p>
            <w:r/>
            <w:r>
              <w:rPr>
                <w:sz w:val="16"/>
              </w:rPr>
              <w:t>16384</w:t>
            </w:r>
          </w:p>
        </w:tc>
        <w:tc>
          <w:tcPr>
            <w:tcW w:type="dxa" w:w="1038"/>
          </w:tcPr>
          <w:p>
            <w:r/>
            <w:r>
              <w:rPr>
                <w:sz w:val="16"/>
              </w:rPr>
              <w:t>N גדול, אצווה גבוהה</w:t>
            </w:r>
          </w:p>
        </w:tc>
      </w:tr>
    </w:tbl>
    <w:p>
      <w:pPr>
        <w:bidi/>
        <w:spacing w:after="120"/>
        <w:jc w:val="right"/>
      </w:pPr>
    </w:p>
    <w:p>
      <w:pPr>
        <w:bidi/>
        <w:pStyle w:val="Heading2"/>
        <w:spacing w:after="120"/>
        <w:jc w:val="right"/>
      </w:pPr>
      <w:r>
        <w:t>תרומת האופטימיזציות</w:t>
      </w:r>
    </w:p>
    <w:p>
      <w:pPr>
        <w:bidi/>
        <w:spacing w:after="120"/>
        <w:jc w:val="right"/>
      </w:pPr>
      <w:r>
        <w:t>טבלה 4 מבודדת את תרומת כל אופטימיזציה מול בסיס-ההשוואה שלה, ואיור 4 משרטט את ההתקדמות. כל טכניקה נפרסת רק במשטר שבו נמדד שהיא מסייעת.</w:t>
      </w:r>
    </w:p>
    <w:p>
      <w:pPr>
        <w:bidi/>
        <w:pStyle w:val="Caption"/>
        <w:jc w:val="center"/>
      </w:pPr>
      <w:r>
        <w:t>טבלה 4: תרומת כל אופטימיזציה, כל אחת מול בסיס-ההשוואה שלה.</w:t>
      </w:r>
    </w:p>
    <w:tbl>
      <w:tblPr>
        <w:tblStyle w:val="TableGrid"/>
        <w:tblW w:type="auto" w:w="0"/>
        <w:jc w:val="center"/>
        <w:tblLook w:firstColumn="1" w:firstRow="1" w:lastColumn="0" w:lastRow="0" w:noHBand="0" w:noVBand="1" w:val="04A0"/>
        <w:bidiVisual/>
      </w:tblPr>
      <w:tblGrid>
        <w:gridCol w:w="2076"/>
        <w:gridCol w:w="2076"/>
        <w:gridCol w:w="2076"/>
        <w:gridCol w:w="2076"/>
      </w:tblGrid>
      <w:tr>
        <w:tc>
          <w:tcPr>
            <w:tcW w:type="dxa" w:w="2076"/>
            <w:shd w:val="clear" w:fill="1F3864"/>
          </w:tcPr>
          <w:p>
            <w:r/>
            <w:r>
              <w:rPr>
                <w:b/>
                <w:color w:val="FFFFFF"/>
                <w:sz w:val="16"/>
              </w:rPr>
              <w:t>היכן</w:t>
            </w:r>
          </w:p>
        </w:tc>
        <w:tc>
          <w:tcPr>
            <w:tcW w:type="dxa" w:w="2076"/>
            <w:shd w:val="clear" w:fill="1F3864"/>
          </w:tcPr>
          <w:p>
            <w:r/>
            <w:r>
              <w:rPr>
                <w:b/>
                <w:color w:val="FFFFFF"/>
                <w:sz w:val="16"/>
              </w:rPr>
              <w:t>מול מה</w:t>
            </w:r>
          </w:p>
        </w:tc>
        <w:tc>
          <w:tcPr>
            <w:tcW w:type="dxa" w:w="2076"/>
            <w:shd w:val="clear" w:fill="1F3864"/>
          </w:tcPr>
          <w:p>
            <w:r/>
            <w:r>
              <w:rPr>
                <w:b/>
                <w:color w:val="FFFFFF"/>
                <w:sz w:val="16"/>
              </w:rPr>
              <w:t>שיפור נמדד</w:t>
            </w:r>
          </w:p>
        </w:tc>
        <w:tc>
          <w:tcPr>
            <w:tcW w:type="dxa" w:w="2076"/>
            <w:shd w:val="clear" w:fill="1F3864"/>
          </w:tcPr>
          <w:p>
            <w:r/>
            <w:r>
              <w:rPr>
                <w:b/>
                <w:color w:val="FFFFFF"/>
                <w:sz w:val="16"/>
              </w:rPr>
              <w:t>אופטימיזציה</w:t>
            </w:r>
          </w:p>
        </w:tc>
      </w:tr>
      <w:tr>
        <w:tc>
          <w:tcPr>
            <w:tcW w:type="dxa" w:w="2076"/>
          </w:tcPr>
          <w:p>
            <w:r/>
            <w:r>
              <w:rPr>
                <w:sz w:val="16"/>
              </w:rPr>
              <w:t>N≤1024, אצווה קטנה</w:t>
            </w:r>
          </w:p>
        </w:tc>
        <w:tc>
          <w:tcPr>
            <w:tcW w:type="dxa" w:w="2076"/>
          </w:tcPr>
          <w:p>
            <w:r/>
            <w:r>
              <w:rPr>
                <w:sz w:val="16"/>
              </w:rPr>
              <w:t>GPU-NTT</w:t>
            </w:r>
          </w:p>
        </w:tc>
        <w:tc>
          <w:tcPr>
            <w:tcW w:type="dxa" w:w="2076"/>
          </w:tcPr>
          <w:p>
            <w:r/>
            <w:r>
              <w:rPr>
                <w:sz w:val="16"/>
              </w:rPr>
              <w:t>עד ×1.61</w:t>
            </w:r>
          </w:p>
        </w:tc>
        <w:tc>
          <w:tcPr>
            <w:tcW w:type="dxa" w:w="2076"/>
          </w:tcPr>
          <w:p>
            <w:r/>
            <w:r>
              <w:rPr>
                <w:sz w:val="16"/>
              </w:rPr>
              <w:t>ביצוע warp-shuffle</w:t>
            </w:r>
          </w:p>
        </w:tc>
      </w:tr>
      <w:tr>
        <w:tc>
          <w:tcPr>
            <w:tcW w:type="dxa" w:w="2076"/>
          </w:tcPr>
          <w:p>
            <w:r/>
            <w:r>
              <w:rPr>
                <w:sz w:val="16"/>
              </w:rPr>
              <w:t>הגרעינים הנבחרים בלבד</w:t>
            </w:r>
          </w:p>
        </w:tc>
        <w:tc>
          <w:tcPr>
            <w:tcW w:type="dxa" w:w="2076"/>
          </w:tcPr>
          <w:p>
            <w:r/>
            <w:r>
              <w:rPr>
                <w:sz w:val="16"/>
              </w:rPr>
              <w:t>אותו גרעין, ללא Shoup</w:t>
            </w:r>
          </w:p>
        </w:tc>
        <w:tc>
          <w:tcPr>
            <w:tcW w:type="dxa" w:w="2076"/>
          </w:tcPr>
          <w:p>
            <w:r/>
            <w:r>
              <w:rPr>
                <w:sz w:val="16"/>
              </w:rPr>
              <w:t>עד ≈×1.20</w:t>
            </w:r>
          </w:p>
        </w:tc>
        <w:tc>
          <w:tcPr>
            <w:tcW w:type="dxa" w:w="2076"/>
          </w:tcPr>
          <w:p>
            <w:r/>
            <w:r>
              <w:rPr>
                <w:sz w:val="16"/>
              </w:rPr>
              <w:t>+ פרפר Shoup</w:t>
            </w:r>
          </w:p>
        </w:tc>
      </w:tr>
      <w:tr>
        <w:tc>
          <w:tcPr>
            <w:tcW w:type="dxa" w:w="2076"/>
          </w:tcPr>
          <w:p>
            <w:r/>
            <w:r>
              <w:rPr>
                <w:sz w:val="16"/>
              </w:rPr>
              <w:t>N = 1024–8192</w:t>
            </w:r>
          </w:p>
        </w:tc>
        <w:tc>
          <w:tcPr>
            <w:tcW w:type="dxa" w:w="2076"/>
          </w:tcPr>
          <w:p>
            <w:r/>
            <w:r>
              <w:rPr>
                <w:sz w:val="16"/>
              </w:rPr>
              <w:t>אותו גרעין, ללא ריפוד</w:t>
            </w:r>
          </w:p>
        </w:tc>
        <w:tc>
          <w:tcPr>
            <w:tcW w:type="dxa" w:w="2076"/>
          </w:tcPr>
          <w:p>
            <w:r/>
            <w:r>
              <w:rPr>
                <w:sz w:val="16"/>
              </w:rPr>
              <w:t>×1.23–1.32</w:t>
            </w:r>
          </w:p>
        </w:tc>
        <w:tc>
          <w:tcPr>
            <w:tcW w:type="dxa" w:w="2076"/>
          </w:tcPr>
          <w:p>
            <w:r/>
            <w:r>
              <w:rPr>
                <w:sz w:val="16"/>
              </w:rPr>
              <w:t>ריפוד זיכרון משותף</w:t>
            </w:r>
          </w:p>
        </w:tc>
      </w:tr>
      <w:tr>
        <w:tc>
          <w:tcPr>
            <w:tcW w:type="dxa" w:w="2076"/>
          </w:tcPr>
          <w:p>
            <w:r/>
            <w:r>
              <w:rPr>
                <w:sz w:val="16"/>
              </w:rPr>
              <w:t>N = 4096–16384, אצווה 1</w:t>
            </w:r>
          </w:p>
        </w:tc>
        <w:tc>
          <w:tcPr>
            <w:tcW w:type="dxa" w:w="2076"/>
          </w:tcPr>
          <w:p>
            <w:r/>
            <w:r>
              <w:rPr>
                <w:sz w:val="16"/>
              </w:rPr>
              <w:t>החד-בלוקי הקודם</w:t>
            </w:r>
          </w:p>
        </w:tc>
        <w:tc>
          <w:tcPr>
            <w:tcW w:type="dxa" w:w="2076"/>
          </w:tcPr>
          <w:p>
            <w:r/>
            <w:r>
              <w:rPr>
                <w:sz w:val="16"/>
              </w:rPr>
              <w:t>×1.49–3.60</w:t>
            </w:r>
          </w:p>
        </w:tc>
        <w:tc>
          <w:tcPr>
            <w:tcW w:type="dxa" w:w="2076"/>
          </w:tcPr>
          <w:p>
            <w:r/>
            <w:r>
              <w:rPr>
                <w:sz w:val="16"/>
              </w:rPr>
              <w:t>רב-בלוקי 4-step</w:t>
            </w:r>
          </w:p>
        </w:tc>
      </w:tr>
      <w:tr>
        <w:tc>
          <w:tcPr>
            <w:tcW w:type="dxa" w:w="2076"/>
          </w:tcPr>
          <w:p>
            <w:r/>
            <w:r>
              <w:rPr>
                <w:sz w:val="16"/>
              </w:rPr>
              <w:t>גבולות המשטרים</w:t>
            </w:r>
          </w:p>
        </w:tc>
        <w:tc>
          <w:tcPr>
            <w:tcW w:type="dxa" w:w="2076"/>
          </w:tcPr>
          <w:p>
            <w:r/>
            <w:r>
              <w:rPr>
                <w:sz w:val="16"/>
              </w:rPr>
              <w:t>בורר מרווח 10%</w:t>
            </w:r>
          </w:p>
        </w:tc>
        <w:tc>
          <w:tcPr>
            <w:tcW w:type="dxa" w:w="2076"/>
          </w:tcPr>
          <w:p>
            <w:r/>
            <w:r>
              <w:rPr>
                <w:sz w:val="16"/>
              </w:rPr>
              <w:t>7 תאים, עד ×1.15</w:t>
            </w:r>
          </w:p>
        </w:tc>
        <w:tc>
          <w:tcPr>
            <w:tcW w:type="dxa" w:w="2076"/>
          </w:tcPr>
          <w:p>
            <w:r/>
            <w:r>
              <w:rPr>
                <w:sz w:val="16"/>
              </w:rPr>
              <w:t>בורר argmin</w:t>
            </w:r>
          </w:p>
        </w:tc>
      </w:tr>
      <w:tr>
        <w:tc>
          <w:tcPr>
            <w:tcW w:type="dxa" w:w="2076"/>
          </w:tcPr>
          <w:p>
            <w:r/>
            <w:r>
              <w:rPr>
                <w:sz w:val="16"/>
              </w:rPr>
              <w:t>פריסה טבעית</w:t>
            </w:r>
          </w:p>
        </w:tc>
        <w:tc>
          <w:tcPr>
            <w:tcW w:type="dxa" w:w="2076"/>
          </w:tcPr>
          <w:p>
            <w:r/>
            <w:r>
              <w:rPr>
                <w:sz w:val="16"/>
              </w:rPr>
              <w:t>GPU-NTT</w:t>
            </w:r>
          </w:p>
        </w:tc>
        <w:tc>
          <w:tcPr>
            <w:tcW w:type="dxa" w:w="2076"/>
          </w:tcPr>
          <w:p>
            <w:r/>
            <w:r>
              <w:rPr>
                <w:sz w:val="16"/>
              </w:rPr>
              <w:t>48/74, שיא ×1.93</w:t>
            </w:r>
          </w:p>
        </w:tc>
        <w:tc>
          <w:tcPr>
            <w:tcW w:type="dxa" w:w="2076"/>
          </w:tcPr>
          <w:p>
            <w:r/>
            <w:r>
              <w:rPr>
                <w:sz w:val="16"/>
              </w:rPr>
              <w:t>המערכת המשולבת</w:t>
            </w:r>
          </w:p>
        </w:tc>
      </w:tr>
    </w:tbl>
    <w:p>
      <w:pPr>
        <w:bidi/>
        <w:spacing w:after="120"/>
        <w:jc w:val="right"/>
      </w:pPr>
    </w:p>
    <w:p>
      <w:pPr>
        <w:jc w:val="center"/>
      </w:pPr>
      <w:r>
        <w:drawing>
          <wp:inline xmlns:a="http://schemas.openxmlformats.org/drawingml/2006/main" xmlns:pic="http://schemas.openxmlformats.org/drawingml/2006/picture">
            <wp:extent cx="5394960" cy="2981425"/>
            <wp:docPr id="102" name="Picture 102"/>
            <wp:cNvGraphicFramePr>
              <a:graphicFrameLocks noChangeAspect="1"/>
            </wp:cNvGraphicFramePr>
            <a:graphic>
              <a:graphicData uri="http://schemas.openxmlformats.org/drawingml/2006/picture">
                <pic:pic>
                  <pic:nvPicPr>
                    <pic:cNvPr id="0" name="optimization_progression.png"/>
                    <pic:cNvPicPr/>
                  </pic:nvPicPr>
                  <pic:blipFill>
                    <a:blip r:embed="rId26"/>
                    <a:stretch>
                      <a:fillRect/>
                    </a:stretch>
                  </pic:blipFill>
                  <pic:spPr>
                    <a:xfrm>
                      <a:off x="0" y="0"/>
                      <a:ext cx="5394960" cy="2981425"/>
                    </a:xfrm>
                    <a:prstGeom prst="rect"/>
                  </pic:spPr>
                </pic:pic>
              </a:graphicData>
            </a:graphic>
          </wp:inline>
        </w:drawing>
      </w:r>
    </w:p>
    <w:p>
      <w:pPr>
        <w:bidi/>
        <w:pStyle w:val="Caption"/>
        <w:jc w:val="center"/>
      </w:pPr>
      <w:r>
        <w:t>איור 4: התקדמות האופטימיזציה. כל שלב נמדד מול בסיס-ההשוואה המוצהר שלו (לא מצטבר); הגרעינים ייעודיים-למשטר מעצם התכן.</w:t>
      </w:r>
    </w:p>
    <w:p>
      <w:pPr>
        <w:bidi/>
        <w:pStyle w:val="Heading2"/>
        <w:spacing w:after="120"/>
        <w:jc w:val="right"/>
      </w:pPr>
      <w:r>
        <w:t>חוזה סדר-הפלט</w:t>
      </w:r>
    </w:p>
    <w:p>
      <w:pPr>
        <w:bidi/>
        <w:spacing w:after="120"/>
        <w:jc w:val="right"/>
      </w:pPr>
      <w:r>
        <w:t>הגרעינים שלנו מפיקים פלט בסדר טבעי באופן טבעי; GPU-NTT מפיקה פלט בהיפוך-סיביות. שניהם מחשבים את אותם ערכי-התמרה. מכיוון שבחירת חוזה-הפלט משנה את ההשוואה, כל כותרת מציינת את היקפה. תחת חוזה הפריסה-הטבעית העיקרי אנו מנצחים 48/74; אם צרכן דורש פלט בסדר טבעי (כך ש-GPU-NTT חייבת לשלם מעבר תמורה) אנו מנצחים 69/74 עד פי 2.75; ובאופן סימטרי GPU-NTT חזקה בהרבה כשהממשק הנדרש הוא פלט בהיפוך-סיביות. סדר טבעי הוא אפוא תכונה אמיתית של הגרעינים שלנו, והמערכת חושפת אותה כדגל-פריסה מפורש לכל קריאה.</w:t>
      </w:r>
    </w:p>
    <w:p>
      <w:pPr>
        <w:jc w:val="center"/>
      </w:pPr>
      <w:r>
        <w:drawing>
          <wp:inline xmlns:a="http://schemas.openxmlformats.org/drawingml/2006/main" xmlns:pic="http://schemas.openxmlformats.org/drawingml/2006/picture">
            <wp:extent cx="5029200" cy="2235200"/>
            <wp:docPr id="103" name="Picture 103"/>
            <wp:cNvGraphicFramePr>
              <a:graphicFrameLocks noChangeAspect="1"/>
            </wp:cNvGraphicFramePr>
            <a:graphic>
              <a:graphicData uri="http://schemas.openxmlformats.org/drawingml/2006/picture">
                <pic:pic>
                  <pic:nvPicPr>
                    <pic:cNvPr id="0" name="output_contract_win_breakdown.png"/>
                    <pic:cNvPicPr/>
                  </pic:nvPicPr>
                  <pic:blipFill>
                    <a:blip r:embed="rId27"/>
                    <a:stretch>
                      <a:fillRect/>
                    </a:stretch>
                  </pic:blipFill>
                  <pic:spPr>
                    <a:xfrm>
                      <a:off x="0" y="0"/>
                      <a:ext cx="5029200" cy="2235200"/>
                    </a:xfrm>
                    <a:prstGeom prst="rect"/>
                  </pic:spPr>
                </pic:pic>
              </a:graphicData>
            </a:graphic>
          </wp:inline>
        </w:drawing>
      </w:r>
    </w:p>
    <w:p>
      <w:pPr>
        <w:bidi/>
        <w:pStyle w:val="Caption"/>
        <w:jc w:val="center"/>
      </w:pPr>
      <w:r>
        <w:t>איור 5: פילוח ניצחון/שוויון/הפסד תחת שלושת חוזי-הפלט. בחירת החוזה שולטת בהשוואה, ולכן כל תוצאה מציינת את היקפה.</w:t>
      </w:r>
    </w:p>
    <w:p>
      <w:pPr>
        <w:bidi/>
        <w:pStyle w:val="Heading2"/>
        <w:spacing w:after="120"/>
        <w:jc w:val="right"/>
      </w:pPr>
      <w:r>
        <w:t>רוחב פס אפקטיבי וגבול הרוויה</w:t>
      </w:r>
    </w:p>
    <w:p>
      <w:pPr>
        <w:bidi/>
        <w:spacing w:after="120"/>
        <w:jc w:val="right"/>
      </w:pPr>
      <w:r>
        <w:t>איור 6 מציג רוחב פס אפקטיבי מוערך לכל משטר מייצג. תאי N-קטן-אצווה-נמוכה רצים הרחק מתחת לגג ה-DRAM מעצם התכן (חסומי-השהיה), בעוד תאים רוויים מתקרבים ל-30–39% מהשיא של 616GB/s בשני הצדדים — משטר חסום-התעבורה שבו שום שינוי אריתמטי אינו מסייע. זהו בדיוק הגבול שהבורר לומד מהמדידה ובו הוא מעביר לספרייה המקצועית. איכות הבורר נמדדת ב-regret (p50 שהורץ ÷ הטוב-ביותר שנמדד בנפרד): חציון 0.998, ממוצע 0.997, גרוע-ביותר 1.051 — כלומר ההאטה הגרועה-ביותר שנצפתה היא כ-5.1% עם חציון בשוויון, ונכונות 74/74.</w:t>
      </w:r>
    </w:p>
    <w:p>
      <w:pPr>
        <w:jc w:val="center"/>
      </w:pPr>
      <w:r>
        <w:drawing>
          <wp:inline xmlns:a="http://schemas.openxmlformats.org/drawingml/2006/main" xmlns:pic="http://schemas.openxmlformats.org/drawingml/2006/picture">
            <wp:extent cx="5394960" cy="2500104"/>
            <wp:docPr id="104" name="Picture 104"/>
            <wp:cNvGraphicFramePr>
              <a:graphicFrameLocks noChangeAspect="1"/>
            </wp:cNvGraphicFramePr>
            <a:graphic>
              <a:graphicData uri="http://schemas.openxmlformats.org/drawingml/2006/picture">
                <pic:pic>
                  <pic:nvPicPr>
                    <pic:cNvPr id="0" name="effective_bandwidth_regimes.png"/>
                    <pic:cNvPicPr/>
                  </pic:nvPicPr>
                  <pic:blipFill>
                    <a:blip r:embed="rId28"/>
                    <a:stretch>
                      <a:fillRect/>
                    </a:stretch>
                  </pic:blipFill>
                  <pic:spPr>
                    <a:xfrm>
                      <a:off x="0" y="0"/>
                      <a:ext cx="5394960" cy="2500104"/>
                    </a:xfrm>
                    <a:prstGeom prst="rect"/>
                  </pic:spPr>
                </pic:pic>
              </a:graphicData>
            </a:graphic>
          </wp:inline>
        </w:drawing>
      </w:r>
    </w:p>
    <w:p>
      <w:pPr>
        <w:bidi/>
        <w:pStyle w:val="Caption"/>
        <w:jc w:val="center"/>
      </w:pPr>
      <w:r>
        <w:t>איור 6: רוחב פס אפקטיבי מוערך (% מהשיא התיאורטי 616GB/s) לכל משטר מייצג. זהו אומדן מבוסס-תעבורה, ובמפורש אינו מונה ניצולת של GPU.</w:t>
      </w:r>
    </w:p>
    <w:p>
      <w:r>
        <w:br w:type="page"/>
      </w:r>
    </w:p>
    <w:p>
      <w:pPr>
        <w:bidi/>
        <w:pStyle w:val="Heading1"/>
        <w:spacing w:after="120"/>
        <w:jc w:val="right"/>
      </w:pPr>
      <w:r>
        <w:t>סיכום, מסקנות והצעות להמשך</w:t>
      </w:r>
    </w:p>
    <w:p>
      <w:pPr>
        <w:bidi/>
        <w:spacing w:after="120"/>
        <w:jc w:val="right"/>
      </w:pPr>
      <w:r>
        <w:t>הפרויקט יצא לדרך במטרה להאיץ את ה-NTT על GPU מתוך הבנה ואז ניצול של החומרה, והצליח. מול המטרות שהוגדרו מלכתחילה:</w:t>
      </w:r>
    </w:p>
    <w:p>
      <w:pPr>
        <w:bidi/>
        <w:pStyle w:val="ListParagraph"/>
        <w:jc w:val="right"/>
        <w:numPr>
          <w:ilvl w:val="0"/>
          <w:numId w:val="3"/>
        </w:numPr>
      </w:pPr>
      <w:r>
        <w:t>ההתמרה מופתה אל ארכיטקטורת ה-RTX 2080 Ti משטר-אחר-משטר: חילוף ברגיסטרים ברמת warp ל-N קטן, זיכרון משותף נטול-התנגשויות ל-N בינוני, ופירוק רב-בלוקי ל-N גדול באצווה נמוכה.</w:t>
      </w:r>
    </w:p>
    <w:p>
      <w:pPr>
        <w:bidi/>
        <w:pStyle w:val="ListParagraph"/>
        <w:jc w:val="right"/>
        <w:numPr>
          <w:ilvl w:val="0"/>
          <w:numId w:val="3"/>
        </w:numPr>
      </w:pPr>
      <w:r>
        <w:t>כל אופטימיזציה הניבה שיפור נמדד במשטר שלה — עד פי 1.61 מ-warp-shuffle, עד פי 1.32 מריפוד, ועד פי 3.60 מהגרעין הרב-בלוקי מעל התכן החד-בלוקי הקודם.</w:t>
      </w:r>
    </w:p>
    <w:p>
      <w:pPr>
        <w:bidi/>
        <w:pStyle w:val="ListParagraph"/>
        <w:jc w:val="right"/>
        <w:numPr>
          <w:ilvl w:val="0"/>
          <w:numId w:val="3"/>
        </w:numPr>
      </w:pPr>
      <w:r>
        <w:t>אל מול ספריית ה-GPU-NTT המובילה, המערכת המשולבת מנצחת ב-48 מתוך 74 תצורות שאומתו בהרצה, עד פי 1.93, ובאמצעות הבורר — לעולם אינה נחותה מהספרייה באף תא שנמדד.</w:t>
      </w:r>
    </w:p>
    <w:p>
      <w:pPr>
        <w:bidi/>
        <w:pStyle w:val="ListParagraph"/>
        <w:jc w:val="right"/>
        <w:numPr>
          <w:ilvl w:val="0"/>
          <w:numId w:val="3"/>
        </w:numPr>
      </w:pPr>
      <w:r>
        <w:t>אל מול בסיסי ה-CPU והשלב הגרפי הקודם, המימוש הגרפי מהיר דרמטית: עד פי 58.6 מעל בסיס C++ יעיל על CPU, כאשר הגרעין המותאם מגיע ל-82% מרוחב הפס בשיא בגדלים גדולים.</w:t>
      </w:r>
    </w:p>
    <w:p>
      <w:pPr>
        <w:bidi/>
        <w:pStyle w:val="ListParagraph"/>
        <w:jc w:val="right"/>
        <w:numPr>
          <w:ilvl w:val="0"/>
          <w:numId w:val="3"/>
        </w:numPr>
      </w:pPr>
      <w:r>
        <w:t>הנכונות מעולם לא הוקרבה לטובת המהירות: כל גרעין עובר בדיקות קצה, אקראי ומחזור-הופכי, ומוסכמת הפלט אומתה פורמלית.</w:t>
      </w:r>
    </w:p>
    <w:p>
      <w:pPr>
        <w:bidi/>
        <w:spacing w:after="120"/>
        <w:jc w:val="right"/>
      </w:pPr>
      <w:r>
        <w:t>ההתפשרויות המרכזיות מובנות, ובהקשרן זניחות ביחס לרווחים. התכן החד-גרעיני שלנו מנצח עד רוויית ה-DRAM ואז מפסיד להזרמה לפי-שלב של GPU-NTT; במקום להסתיר זאת, הבורר מודד את הגבול ומעביר, כך שההפסד הופך להבטחה של אי-נחיתות מול הספרייה הבשלה. סדר-הפלט הוא חוזה ולא רווח חינם, אך פלט בסדר טבעי הוא כשלעצמו תכונה נדרשת. Shoup מכפילה את טבלת הפיתול והרב-בלוקי מכפיל תעבורה גלובלית, ולכן כל אחד נפרס רק במשטר הניצחון שלו. התקרה הכנה היחידה היא פרופיילינג: ללא Nsight Compute באשכול, תפוסה מושגת ופילוח עצירות נגזרו ויוחסו ולא נמדדו ישירות.</w:t>
      </w:r>
    </w:p>
    <w:p>
      <w:pPr>
        <w:bidi/>
        <w:pStyle w:val="Heading2"/>
        <w:spacing w:after="120"/>
        <w:jc w:val="right"/>
      </w:pPr>
      <w:r>
        <w:t>הצעות להמשך</w:t>
      </w:r>
    </w:p>
    <w:p>
      <w:pPr>
        <w:bidi/>
        <w:pStyle w:val="ListParagraph"/>
        <w:jc w:val="right"/>
        <w:numPr>
          <w:ilvl w:val="0"/>
          <w:numId w:val="3"/>
        </w:numPr>
      </w:pPr>
      <w:r>
        <w:t>מגה-גרעין קבוע ל-N קטן השומר התמרות רבות תושבות כדי לפרוץ את רצפת-השיגור הנוכחית.</w:t>
      </w:r>
    </w:p>
    <w:p>
      <w:pPr>
        <w:bidi/>
        <w:pStyle w:val="ListParagraph"/>
        <w:jc w:val="right"/>
        <w:numPr>
          <w:ilvl w:val="0"/>
          <w:numId w:val="3"/>
        </w:numPr>
      </w:pPr>
      <w:r>
        <w:t>הסבה ל-sm_80+ עם double-buffering מבוסס cp.async לגרעין המרופד, ובחינת נתיב ה-tensor-core השלם לכפל המודולרי.</w:t>
      </w:r>
    </w:p>
    <w:p>
      <w:pPr>
        <w:bidi/>
        <w:pStyle w:val="ListParagraph"/>
        <w:jc w:val="right"/>
        <w:numPr>
          <w:ilvl w:val="0"/>
          <w:numId w:val="3"/>
        </w:numPr>
      </w:pPr>
      <w:r>
        <w:t>הרחבה אוטומטית של טבלת הניתוב בהרצה הראשונה כך שהמערכת תכייל את עצמה ל-GPU חדש.</w:t>
      </w:r>
    </w:p>
    <w:p>
      <w:pPr>
        <w:bidi/>
        <w:pStyle w:val="ListParagraph"/>
        <w:jc w:val="right"/>
        <w:numPr>
          <w:ilvl w:val="0"/>
          <w:numId w:val="3"/>
        </w:numPr>
      </w:pPr>
      <w:r>
        <w:t>החלת אותם עקרונות בקנה-מידה של פרוטוקול: מקרה-מבחן מוקדם של Kyber (q = 3329) כבר מראה שיפור פי 12.3 בליבה האריתמטית משימוש חוזר בהתמרה, מיזוג גרעינים וצבירה במרחב ה-NTT — המצביע על צינור ML-KEM מלא כצעד הבא הטבעי.</w:t>
      </w:r>
    </w:p>
    <w:p>
      <w:r>
        <w:br w:type="page"/>
      </w:r>
    </w:p>
    <w:p>
      <w:pPr>
        <w:bidi/>
        <w:pStyle w:val="Heading1"/>
        <w:spacing w:after="120"/>
        <w:jc w:val="right"/>
      </w:pPr>
      <w:r>
        <w:t>תיעוד הפרויקט</w:t>
      </w:r>
    </w:p>
    <w:p>
      <w:pPr>
        <w:bidi/>
        <w:spacing w:after="120"/>
        <w:jc w:val="right"/>
      </w:pPr>
      <w:r>
        <w:t>כל חומרי הפרויקט — קוד המקור של כל גרעין, מנוע הריצה האדפטיבי, מערכות הבנייה והנכונות, קובצי ה-CSV הגולמיים של המדידות, וסקריפטי השרטוט — נשמרים תחת בקרת גרסאות. הדו“ח מפנה אליהם אך אינו משכפל קטעי קוד או דפי נתונים גולמיים.</w:t>
      </w:r>
    </w:p>
    <w:p>
      <w:pPr>
        <w:bidi/>
        <w:pStyle w:val="ListParagraph"/>
        <w:jc w:val="right"/>
        <w:numPr>
          <w:ilvl w:val="0"/>
          <w:numId w:val="3"/>
        </w:numPr>
      </w:pPr>
      <w:r>
        <w:t>מאגר: [להוסיף קישור GitHub/GitLab].</w:t>
      </w:r>
    </w:p>
    <w:p>
      <w:pPr>
        <w:bidi/>
        <w:pStyle w:val="ListParagraph"/>
        <w:jc w:val="right"/>
        <w:numPr>
          <w:ilvl w:val="0"/>
          <w:numId w:val="3"/>
        </w:numPr>
      </w:pPr>
      <w:r>
        <w:t>קוד מקור (tools/): גרעיני warp-shuffle, Shoup, זיכרון משותף מרופד, רב-בלוקי ו-low-latency; שכבת הניתוב של מנוע הריצה; ומערכת בדיקות הנכונות והמוסכמה.</w:t>
      </w:r>
    </w:p>
    <w:p>
      <w:pPr>
        <w:bidi/>
        <w:pStyle w:val="ListParagraph"/>
        <w:jc w:val="right"/>
        <w:numPr>
          <w:ilvl w:val="0"/>
          <w:numId w:val="3"/>
        </w:numPr>
      </w:pPr>
      <w:r>
        <w:t>בסיס חיצוני (external/GPU-NTT): ספריית Merge NTT המשוחזרת, commit ויומן בנייה מקובעים, מודולוס מקובע ל-998244353.</w:t>
      </w:r>
    </w:p>
    <w:p>
      <w:pPr>
        <w:bidi/>
        <w:pStyle w:val="ListParagraph"/>
        <w:jc w:val="right"/>
        <w:numPr>
          <w:ilvl w:val="0"/>
          <w:numId w:val="3"/>
        </w:numPr>
      </w:pPr>
      <w:r>
        <w:t>תוצאות (results/raw/): קובצי CSV מתועדים להשוואת 74 התאים, מפת הגרעינים, עלויות סדר-הפלט, הרצת הבורר, והתפוקה המייצגת.</w:t>
      </w:r>
    </w:p>
    <w:p>
      <w:pPr>
        <w:bidi/>
        <w:pStyle w:val="ListParagraph"/>
        <w:jc w:val="right"/>
        <w:numPr>
          <w:ilvl w:val="0"/>
          <w:numId w:val="3"/>
        </w:numPr>
      </w:pPr>
      <w:r>
        <w:t>איורים (results/plots/): השרטוטים המשוחזרים בדו“ח, שנוצרו מחדש מן ה-CSV הגולמי על-ידי סקריפטי השרטוט.</w:t>
      </w:r>
    </w:p>
    <w:p>
      <w:r>
        <w:br w:type="page"/>
      </w:r>
    </w:p>
    <w:p>
      <w:pPr>
        <w:bidi/>
        <w:pStyle w:val="Heading1"/>
        <w:spacing w:after="120"/>
        <w:jc w:val="right"/>
      </w:pPr>
      <w:r>
        <w:t>מקורות</w:t>
      </w:r>
    </w:p>
    <w:p>
      <w:pPr>
        <w:bidi/>
        <w:pStyle w:val="ListParagraph"/>
        <w:jc w:val="right"/>
      </w:pPr>
      <w:r>
        <w:rPr>
          <w:b/>
        </w:rPr>
        <w:t xml:space="preserve">[1] </w:t>
      </w:r>
      <w:r>
        <w:t>J. W. Cooley and J. W. Tukey, “An algorithm for the machine calculation of complex Fourier series,” Mathematics of Computation, vol. 19, no. 90, pp. 297–301, 1965.</w:t>
      </w:r>
    </w:p>
    <w:p>
      <w:pPr>
        <w:bidi/>
        <w:pStyle w:val="ListParagraph"/>
        <w:jc w:val="right"/>
      </w:pPr>
      <w:r>
        <w:rPr>
          <w:b/>
        </w:rPr>
        <w:t xml:space="preserve">[2] </w:t>
      </w:r>
      <w:r>
        <w:t>V. Shoup, “A Computational Introduction to Number Theory and Algebra,” Cambridge University Press, 2nd ed., 2009.</w:t>
      </w:r>
    </w:p>
    <w:p>
      <w:pPr>
        <w:bidi/>
        <w:pStyle w:val="ListParagraph"/>
        <w:jc w:val="right"/>
      </w:pPr>
      <w:r>
        <w:rPr>
          <w:b/>
        </w:rPr>
        <w:t xml:space="preserve">[3] </w:t>
      </w:r>
      <w:r>
        <w:t>D. Harvey, “Faster arithmetic for number-theoretic transforms,” Journal of Symbolic Computation, vol. 60, pp. 113–119, 2014.</w:t>
      </w:r>
    </w:p>
    <w:p>
      <w:pPr>
        <w:bidi/>
        <w:pStyle w:val="ListParagraph"/>
        <w:jc w:val="right"/>
      </w:pPr>
      <w:r>
        <w:rPr>
          <w:b/>
        </w:rPr>
        <w:t xml:space="preserve">[4] </w:t>
      </w:r>
      <w:r>
        <w:t>P. Barrett, “Implementing the RSA public key encryption algorithm on a standard digital signal processor,” CRYPTO 1986, LNCS 263, pp. 311–323.</w:t>
      </w:r>
    </w:p>
    <w:p>
      <w:pPr>
        <w:bidi/>
        <w:pStyle w:val="ListParagraph"/>
        <w:jc w:val="right"/>
      </w:pPr>
      <w:r>
        <w:rPr>
          <w:b/>
        </w:rPr>
        <w:t xml:space="preserve">[5] </w:t>
      </w:r>
      <w:r>
        <w:t>A. Özcan and E. Savaş, “GPU-NTT: An Efficient GPU Implementation of the Number Theoretic Transform” (Merge NTT), github.com/Alisah-Ozcan/GPU-NTT.</w:t>
      </w:r>
    </w:p>
    <w:p>
      <w:pPr>
        <w:bidi/>
        <w:pStyle w:val="ListParagraph"/>
        <w:jc w:val="right"/>
      </w:pPr>
      <w:r>
        <w:rPr>
          <w:b/>
        </w:rPr>
        <w:t xml:space="preserve">[6] </w:t>
      </w:r>
      <w:r>
        <w:t>P. Longa and M. Naehrig, “Speeding up the Number Theoretic Transform for Faster Ideal Lattice-Based Cryptography,” CANS 2016, LNCS 10052, pp. 124–139.</w:t>
      </w:r>
    </w:p>
    <w:p>
      <w:pPr>
        <w:bidi/>
        <w:pStyle w:val="ListParagraph"/>
        <w:jc w:val="right"/>
      </w:pPr>
      <w:r>
        <w:rPr>
          <w:b/>
        </w:rPr>
        <w:t xml:space="preserve">[7] </w:t>
      </w:r>
      <w:r>
        <w:t>R. Avanzi et al., “CRYSTALS-Kyber Algorithm Specifications (ML-KEM / FIPS 203),” NIST Post-Quantum Cryptography Standardization, 2024.</w:t>
      </w:r>
    </w:p>
    <w:p>
      <w:pPr>
        <w:bidi/>
        <w:pStyle w:val="ListParagraph"/>
        <w:jc w:val="right"/>
      </w:pPr>
      <w:r>
        <w:rPr>
          <w:b/>
        </w:rPr>
        <w:t xml:space="preserve">[8] </w:t>
      </w:r>
      <w:r>
        <w:t>Ingonyama, “ICICLE: a GPU library for zero-knowledge acceleration,” github.com/ingonyama-zk/icicle.</w:t>
      </w:r>
    </w:p>
    <w:p>
      <w:pPr>
        <w:bidi/>
        <w:pStyle w:val="ListParagraph"/>
        <w:jc w:val="right"/>
      </w:pPr>
      <w:r>
        <w:rPr>
          <w:b/>
        </w:rPr>
        <w:t xml:space="preserve">[9] </w:t>
      </w:r>
      <w:r>
        <w:t>NVIDIA, “CUDA C++ Programming Guide” and “Turing Tuning Guide,” NVIDIA Corporation, 2024.</w:t>
      </w:r>
    </w:p>
    <w:sectPr w:rsidR="00FE51E0" w:rsidRPr="001302AF" w:rsidSect="0061701F">
      <w:footerReference w:type="default" r:id="rId20"/>
      <w:pgSz w:w="11906" w:h="16838"/>
      <w:pgMar w:top="1440" w:right="1800" w:bottom="1440" w:left="180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3296B" w14:textId="77777777" w:rsidR="00A301F3" w:rsidRDefault="00A301F3">
      <w:r>
        <w:separator/>
      </w:r>
    </w:p>
  </w:endnote>
  <w:endnote w:type="continuationSeparator" w:id="0">
    <w:p w14:paraId="602C5C94" w14:textId="77777777" w:rsidR="00A301F3" w:rsidRDefault="00A30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88E2" w14:textId="77777777" w:rsidR="002F6D7D" w:rsidRDefault="00AD4BB2">
    <w:pPr>
      <w:pStyle w:val="Footer"/>
      <w:jc w:val="center"/>
    </w:pPr>
    <w:r>
      <w:fldChar w:fldCharType="begin"/>
    </w:r>
    <w:r>
      <w:instrText xml:space="preserve"> PAGE   \* MERGEFORMAT </w:instrText>
    </w:r>
    <w:r>
      <w:fldChar w:fldCharType="separate"/>
    </w:r>
    <w:r w:rsidR="00CF1A93">
      <w:rPr>
        <w:noProof/>
      </w:rPr>
      <w:t>9</w:t>
    </w:r>
    <w:r>
      <w:rPr>
        <w:noProof/>
      </w:rPr>
      <w:fldChar w:fldCharType="end"/>
    </w:r>
  </w:p>
  <w:p w14:paraId="77400E1B" w14:textId="77777777" w:rsidR="002F6D7D" w:rsidRDefault="002F6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A76B" w14:textId="77777777" w:rsidR="00A301F3" w:rsidRDefault="00A301F3">
      <w:r>
        <w:separator/>
      </w:r>
    </w:p>
  </w:footnote>
  <w:footnote w:type="continuationSeparator" w:id="0">
    <w:p w14:paraId="7DB3C0FE" w14:textId="77777777" w:rsidR="00A301F3" w:rsidRDefault="00A301F3">
      <w:r>
        <w:continuationSeparator/>
      </w:r>
    </w:p>
  </w:footnote>
  <w:footnote w:id="1">
    <w:p w14:paraId="5212931F" w14:textId="77777777" w:rsidR="002F6D7D" w:rsidRPr="00FA6CEC" w:rsidRDefault="002F6D7D" w:rsidP="00551AD4">
      <w:pPr>
        <w:bidi/>
        <w:spacing w:after="120"/>
        <w:jc w:val="both"/>
        <w:rPr>
          <w:rFonts w:ascii="Arial" w:hAnsi="Arial" w:cs="Arial"/>
          <w:b/>
          <w:bCs/>
          <w:sz w:val="32"/>
          <w:szCs w:val="32"/>
          <w:u w:val="single"/>
        </w:rPr>
      </w:pPr>
      <w:r>
        <w:rPr>
          <w:rStyle w:val="FootnoteReference"/>
        </w:rPr>
        <w:footnoteRef/>
      </w:r>
      <w:r>
        <w:t xml:space="preserve"> </w:t>
      </w:r>
      <w:r w:rsidRPr="00551AD4">
        <w:rPr>
          <w:rFonts w:ascii="Arial" w:hAnsi="Arial" w:cs="Arial"/>
          <w:sz w:val="20"/>
          <w:szCs w:val="20"/>
          <w:rtl/>
        </w:rPr>
        <w:t xml:space="preserve">שים לב: תקציר </w:t>
      </w:r>
      <w:r w:rsidRPr="00551AD4">
        <w:rPr>
          <w:rFonts w:ascii="Arial" w:hAnsi="Arial" w:cs="Arial" w:hint="cs"/>
          <w:sz w:val="20"/>
          <w:szCs w:val="20"/>
          <w:rtl/>
        </w:rPr>
        <w:t>ודיאגראמ</w:t>
      </w:r>
      <w:r w:rsidRPr="00551AD4">
        <w:rPr>
          <w:rFonts w:ascii="Arial" w:hAnsi="Arial" w:cs="Arial" w:hint="eastAsia"/>
          <w:sz w:val="20"/>
          <w:szCs w:val="20"/>
          <w:rtl/>
        </w:rPr>
        <w:t>ת</w:t>
      </w:r>
      <w:r w:rsidRPr="00551AD4">
        <w:rPr>
          <w:rFonts w:ascii="Arial" w:hAnsi="Arial" w:cs="Arial"/>
          <w:sz w:val="20"/>
          <w:szCs w:val="20"/>
          <w:rtl/>
        </w:rPr>
        <w:t xml:space="preserve"> בלוקים אמורים לאפשר לאדם שלא קורא את כל פרקי ספר הפרויקט לקבל תמונה כוללת של מהות העבודה.</w:t>
      </w:r>
    </w:p>
    <w:p w14:paraId="2DA2FF81" w14:textId="77777777" w:rsidR="002F6D7D" w:rsidRPr="00551AD4" w:rsidRDefault="002F6D7D" w:rsidP="00551AD4">
      <w:pPr>
        <w:pStyle w:val="FootnoteText"/>
        <w:bidi/>
      </w:pPr>
    </w:p>
  </w:footnote>
  <w:footnote w:id="2">
    <w:p w14:paraId="6130B946" w14:textId="77777777" w:rsidR="002F6D7D" w:rsidRPr="00103B20" w:rsidRDefault="002F6D7D" w:rsidP="00103B20">
      <w:pPr>
        <w:pStyle w:val="FootnoteText"/>
        <w:bidi/>
        <w:rPr>
          <w:rFonts w:ascii="Arial" w:hAnsi="Arial" w:cs="Arial"/>
          <w:rtl/>
        </w:rPr>
      </w:pPr>
      <w:r w:rsidRPr="00103B20">
        <w:rPr>
          <w:rStyle w:val="FootnoteReference"/>
          <w:rFonts w:ascii="Arial" w:hAnsi="Arial" w:cs="Arial"/>
        </w:rPr>
        <w:footnoteRef/>
      </w:r>
      <w:r w:rsidRPr="00103B20">
        <w:rPr>
          <w:rFonts w:ascii="Arial" w:hAnsi="Arial" w:cs="Arial"/>
        </w:rPr>
        <w:t xml:space="preserve"> </w:t>
      </w:r>
      <w:r w:rsidRPr="00103B20">
        <w:rPr>
          <w:rFonts w:ascii="Arial" w:hAnsi="Arial" w:cs="Arial"/>
          <w:rtl/>
        </w:rPr>
        <w:t xml:space="preserve"> שימו לב להכנסת ה </w:t>
      </w:r>
      <w:r w:rsidRPr="00103B20">
        <w:rPr>
          <w:rFonts w:ascii="Arial" w:hAnsi="Arial" w:cs="Arial"/>
        </w:rPr>
        <w:t>FOOTNOTE</w:t>
      </w:r>
      <w:r w:rsidRPr="00103B20">
        <w:rPr>
          <w:rFonts w:ascii="Arial" w:hAnsi="Arial" w:cs="Arial"/>
          <w:rtl/>
        </w:rPr>
        <w:t>, וגם לקישורים מעמוד זה לפרקים בהם מופיעות הדוגמאות.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DC418F"/>
    <w:multiLevelType w:val="multilevel"/>
    <w:tmpl w:val="99F61748"/>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EAE5389"/>
    <w:multiLevelType w:val="hybridMultilevel"/>
    <w:tmpl w:val="10CCB35A"/>
    <w:lvl w:ilvl="0" w:tplc="0BAE4EAC">
      <w:start w:val="1"/>
      <w:numFmt w:val="hebrew1"/>
      <w:pStyle w:val="Appendix"/>
      <w:lvlText w:val="נספח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50A379D"/>
    <w:multiLevelType w:val="hybridMultilevel"/>
    <w:tmpl w:val="1706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6F46D1"/>
    <w:multiLevelType w:val="multilevel"/>
    <w:tmpl w:val="99F61748"/>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8"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27C01"/>
    <w:multiLevelType w:val="multilevel"/>
    <w:tmpl w:val="A0FECE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65460579">
    <w:abstractNumId w:val="9"/>
  </w:num>
  <w:num w:numId="2" w16cid:durableId="1181507185">
    <w:abstractNumId w:val="4"/>
  </w:num>
  <w:num w:numId="3" w16cid:durableId="522595698">
    <w:abstractNumId w:val="8"/>
  </w:num>
  <w:num w:numId="4" w16cid:durableId="251401862">
    <w:abstractNumId w:val="7"/>
  </w:num>
  <w:num w:numId="5" w16cid:durableId="1500003759">
    <w:abstractNumId w:val="11"/>
  </w:num>
  <w:num w:numId="6" w16cid:durableId="521548935">
    <w:abstractNumId w:val="2"/>
  </w:num>
  <w:num w:numId="7" w16cid:durableId="1472867285">
    <w:abstractNumId w:val="3"/>
  </w:num>
  <w:num w:numId="8" w16cid:durableId="1900552789">
    <w:abstractNumId w:val="14"/>
  </w:num>
  <w:num w:numId="9" w16cid:durableId="560290069">
    <w:abstractNumId w:val="0"/>
  </w:num>
  <w:num w:numId="10" w16cid:durableId="1432504970">
    <w:abstractNumId w:val="10"/>
  </w:num>
  <w:num w:numId="11" w16cid:durableId="643586170">
    <w:abstractNumId w:val="13"/>
  </w:num>
  <w:num w:numId="12" w16cid:durableId="1530952896">
    <w:abstractNumId w:val="11"/>
  </w:num>
  <w:num w:numId="13" w16cid:durableId="264922018">
    <w:abstractNumId w:val="5"/>
  </w:num>
  <w:num w:numId="14" w16cid:durableId="1288774763">
    <w:abstractNumId w:val="12"/>
  </w:num>
  <w:num w:numId="15" w16cid:durableId="163933795">
    <w:abstractNumId w:val="11"/>
  </w:num>
  <w:num w:numId="16" w16cid:durableId="1174146659">
    <w:abstractNumId w:val="1"/>
  </w:num>
  <w:num w:numId="17" w16cid:durableId="54810447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3446E"/>
    <w:rsid w:val="00034E40"/>
    <w:rsid w:val="000415CA"/>
    <w:rsid w:val="000724BD"/>
    <w:rsid w:val="00081C5E"/>
    <w:rsid w:val="00085903"/>
    <w:rsid w:val="000959EB"/>
    <w:rsid w:val="000D1B43"/>
    <w:rsid w:val="00100E95"/>
    <w:rsid w:val="00103B20"/>
    <w:rsid w:val="001302AF"/>
    <w:rsid w:val="00163AE6"/>
    <w:rsid w:val="00165F1B"/>
    <w:rsid w:val="00171FFB"/>
    <w:rsid w:val="00191160"/>
    <w:rsid w:val="00193046"/>
    <w:rsid w:val="001A3334"/>
    <w:rsid w:val="001C7A13"/>
    <w:rsid w:val="001D044D"/>
    <w:rsid w:val="001F567D"/>
    <w:rsid w:val="00220B2A"/>
    <w:rsid w:val="0022533C"/>
    <w:rsid w:val="002337CC"/>
    <w:rsid w:val="00235A7F"/>
    <w:rsid w:val="00245DC0"/>
    <w:rsid w:val="0027218C"/>
    <w:rsid w:val="0027614A"/>
    <w:rsid w:val="00283662"/>
    <w:rsid w:val="00296AAE"/>
    <w:rsid w:val="002C7C7E"/>
    <w:rsid w:val="002D3AF7"/>
    <w:rsid w:val="002D7C02"/>
    <w:rsid w:val="002F6D7D"/>
    <w:rsid w:val="00326042"/>
    <w:rsid w:val="00332631"/>
    <w:rsid w:val="00384E3B"/>
    <w:rsid w:val="00390508"/>
    <w:rsid w:val="003B7E11"/>
    <w:rsid w:val="003C6DDE"/>
    <w:rsid w:val="003F62F1"/>
    <w:rsid w:val="00412E6F"/>
    <w:rsid w:val="00435526"/>
    <w:rsid w:val="00435CD7"/>
    <w:rsid w:val="004431F7"/>
    <w:rsid w:val="00444F04"/>
    <w:rsid w:val="00471CA3"/>
    <w:rsid w:val="004727FF"/>
    <w:rsid w:val="004D76E7"/>
    <w:rsid w:val="004E403D"/>
    <w:rsid w:val="005335A5"/>
    <w:rsid w:val="00551AD4"/>
    <w:rsid w:val="005718A7"/>
    <w:rsid w:val="0059017F"/>
    <w:rsid w:val="005D5687"/>
    <w:rsid w:val="005F14BB"/>
    <w:rsid w:val="0061701F"/>
    <w:rsid w:val="006860D5"/>
    <w:rsid w:val="006A0E99"/>
    <w:rsid w:val="006B4DF4"/>
    <w:rsid w:val="006E3084"/>
    <w:rsid w:val="007377A4"/>
    <w:rsid w:val="00770835"/>
    <w:rsid w:val="00775F93"/>
    <w:rsid w:val="00776364"/>
    <w:rsid w:val="00796E0D"/>
    <w:rsid w:val="007A3E36"/>
    <w:rsid w:val="007B2990"/>
    <w:rsid w:val="0084324E"/>
    <w:rsid w:val="008610E3"/>
    <w:rsid w:val="00872030"/>
    <w:rsid w:val="008730BB"/>
    <w:rsid w:val="008A44A6"/>
    <w:rsid w:val="008A760E"/>
    <w:rsid w:val="008C4C3E"/>
    <w:rsid w:val="008C55F7"/>
    <w:rsid w:val="009305CC"/>
    <w:rsid w:val="00930CEE"/>
    <w:rsid w:val="009450B7"/>
    <w:rsid w:val="00945F31"/>
    <w:rsid w:val="00956D94"/>
    <w:rsid w:val="009A337F"/>
    <w:rsid w:val="009A65FC"/>
    <w:rsid w:val="009C6466"/>
    <w:rsid w:val="009E417B"/>
    <w:rsid w:val="009F3578"/>
    <w:rsid w:val="00A301F3"/>
    <w:rsid w:val="00A32FC9"/>
    <w:rsid w:val="00A52884"/>
    <w:rsid w:val="00A530A0"/>
    <w:rsid w:val="00A75EE5"/>
    <w:rsid w:val="00A91F38"/>
    <w:rsid w:val="00AA4AAA"/>
    <w:rsid w:val="00AD4BB2"/>
    <w:rsid w:val="00AF0B0F"/>
    <w:rsid w:val="00B037D6"/>
    <w:rsid w:val="00B108A2"/>
    <w:rsid w:val="00B231B7"/>
    <w:rsid w:val="00B3219A"/>
    <w:rsid w:val="00B630BE"/>
    <w:rsid w:val="00B8226F"/>
    <w:rsid w:val="00B92865"/>
    <w:rsid w:val="00BD6A5F"/>
    <w:rsid w:val="00BF4D78"/>
    <w:rsid w:val="00C45E43"/>
    <w:rsid w:val="00C52057"/>
    <w:rsid w:val="00C56349"/>
    <w:rsid w:val="00C643C3"/>
    <w:rsid w:val="00C920D0"/>
    <w:rsid w:val="00C940C9"/>
    <w:rsid w:val="00C9601F"/>
    <w:rsid w:val="00C9698B"/>
    <w:rsid w:val="00CF070F"/>
    <w:rsid w:val="00CF1A93"/>
    <w:rsid w:val="00D23FC8"/>
    <w:rsid w:val="00D6750E"/>
    <w:rsid w:val="00D9305C"/>
    <w:rsid w:val="00DB3706"/>
    <w:rsid w:val="00DE511E"/>
    <w:rsid w:val="00DF5C3D"/>
    <w:rsid w:val="00E22D91"/>
    <w:rsid w:val="00E31F67"/>
    <w:rsid w:val="00E603C2"/>
    <w:rsid w:val="00E71B18"/>
    <w:rsid w:val="00E7458E"/>
    <w:rsid w:val="00EF666B"/>
    <w:rsid w:val="00F11197"/>
    <w:rsid w:val="00F11D7A"/>
    <w:rsid w:val="00F260E8"/>
    <w:rsid w:val="00F508CD"/>
    <w:rsid w:val="00F92D52"/>
    <w:rsid w:val="00F94F5D"/>
    <w:rsid w:val="00FA6CEC"/>
    <w:rsid w:val="00FB388C"/>
    <w:rsid w:val="00FE24E4"/>
    <w:rsid w:val="00FE51E0"/>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3D203"/>
  <w15:docId w15:val="{131D4AA8-8AC2-4CA4-A272-3C3636DF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AA"/>
    <w:pPr>
      <w:spacing w:line="360" w:lineRule="auto"/>
    </w:pPr>
    <w:rPr>
      <w:sz w:val="24"/>
      <w:szCs w:val="24"/>
    </w:rPr>
  </w:style>
  <w:style w:type="paragraph" w:styleId="Heading1">
    <w:name w:val="heading 1"/>
    <w:basedOn w:val="Normal"/>
    <w:next w:val="Normal"/>
    <w:autoRedefine/>
    <w:qFormat/>
    <w:rsid w:val="002F6D7D"/>
    <w:pPr>
      <w:keepNext/>
      <w:numPr>
        <w:numId w:val="5"/>
      </w:numPr>
      <w:bidi/>
      <w:spacing w:before="240" w:after="120"/>
      <w:jc w:val="both"/>
      <w:outlineLvl w:val="0"/>
    </w:pPr>
    <w:rPr>
      <w:rFonts w:ascii="Arial" w:hAnsi="Arial" w:cs="Arial"/>
      <w:b/>
      <w:bCs/>
      <w:kern w:val="32"/>
      <w:sz w:val="28"/>
      <w:szCs w:val="28"/>
      <w:u w:val="single"/>
    </w:rPr>
  </w:style>
  <w:style w:type="paragraph" w:styleId="Heading2">
    <w:name w:val="heading 2"/>
    <w:basedOn w:val="Normal"/>
    <w:next w:val="Normal"/>
    <w:autoRedefine/>
    <w:qFormat/>
    <w:rsid w:val="00AA4AAA"/>
    <w:pPr>
      <w:keepNext/>
      <w:numPr>
        <w:ilvl w:val="1"/>
        <w:numId w:val="5"/>
      </w:numPr>
      <w:bidi/>
      <w:spacing w:before="240" w:after="60"/>
      <w:outlineLvl w:val="1"/>
    </w:pPr>
    <w:rPr>
      <w:rFonts w:ascii="Arial" w:hAnsi="Arial" w:cs="Arial"/>
      <w:b/>
      <w:bCs/>
    </w:rPr>
  </w:style>
  <w:style w:type="paragraph" w:styleId="Heading3">
    <w:name w:val="heading 3"/>
    <w:basedOn w:val="Heading2"/>
    <w:next w:val="Normal"/>
    <w:autoRedefine/>
    <w:qFormat/>
    <w:rsid w:val="009E417B"/>
    <w:pPr>
      <w:numPr>
        <w:ilvl w:val="2"/>
      </w:numPr>
      <w:outlineLvl w:val="2"/>
    </w:pPr>
    <w:rPr>
      <w:b w:val="0"/>
      <w:sz w:val="26"/>
      <w:szCs w:val="22"/>
    </w:rPr>
  </w:style>
  <w:style w:type="paragraph" w:styleId="Heading4">
    <w:name w:val="heading 4"/>
    <w:basedOn w:val="Normal"/>
    <w:next w:val="Normal"/>
    <w:qFormat/>
    <w:rsid w:val="00956D94"/>
    <w:pPr>
      <w:keepNext/>
      <w:numPr>
        <w:ilvl w:val="3"/>
        <w:numId w:val="5"/>
      </w:numPr>
      <w:spacing w:before="240" w:after="60"/>
      <w:outlineLvl w:val="3"/>
    </w:pPr>
    <w:rPr>
      <w:b/>
      <w:bCs/>
      <w:sz w:val="28"/>
      <w:szCs w:val="28"/>
    </w:rPr>
  </w:style>
  <w:style w:type="paragraph" w:styleId="Heading5">
    <w:name w:val="heading 5"/>
    <w:basedOn w:val="Normal"/>
    <w:next w:val="Normal"/>
    <w:qFormat/>
    <w:rsid w:val="00956D94"/>
    <w:pPr>
      <w:numPr>
        <w:ilvl w:val="4"/>
        <w:numId w:val="5"/>
      </w:numPr>
      <w:spacing w:before="240" w:after="60"/>
      <w:outlineLvl w:val="4"/>
    </w:pPr>
    <w:rPr>
      <w:b/>
      <w:bCs/>
      <w:i/>
      <w:iCs/>
      <w:sz w:val="26"/>
      <w:szCs w:val="26"/>
    </w:rPr>
  </w:style>
  <w:style w:type="paragraph" w:styleId="Heading6">
    <w:name w:val="heading 6"/>
    <w:basedOn w:val="Normal"/>
    <w:next w:val="Normal"/>
    <w:qFormat/>
    <w:rsid w:val="00956D94"/>
    <w:pPr>
      <w:numPr>
        <w:ilvl w:val="5"/>
        <w:numId w:val="5"/>
      </w:numPr>
      <w:spacing w:before="240" w:after="60"/>
      <w:outlineLvl w:val="5"/>
    </w:pPr>
    <w:rPr>
      <w:b/>
      <w:bCs/>
      <w:sz w:val="22"/>
      <w:szCs w:val="22"/>
    </w:rPr>
  </w:style>
  <w:style w:type="paragraph" w:styleId="Heading7">
    <w:name w:val="heading 7"/>
    <w:basedOn w:val="Normal"/>
    <w:next w:val="Normal"/>
    <w:qFormat/>
    <w:rsid w:val="00956D94"/>
    <w:pPr>
      <w:numPr>
        <w:ilvl w:val="6"/>
        <w:numId w:val="5"/>
      </w:numPr>
      <w:spacing w:before="240" w:after="60"/>
      <w:outlineLvl w:val="6"/>
    </w:pPr>
  </w:style>
  <w:style w:type="paragraph" w:styleId="Heading8">
    <w:name w:val="heading 8"/>
    <w:basedOn w:val="Normal"/>
    <w:next w:val="Normal"/>
    <w:qFormat/>
    <w:rsid w:val="00956D94"/>
    <w:pPr>
      <w:numPr>
        <w:ilvl w:val="7"/>
        <w:numId w:val="5"/>
      </w:numPr>
      <w:spacing w:before="240" w:after="60"/>
      <w:outlineLvl w:val="7"/>
    </w:pPr>
    <w:rPr>
      <w:i/>
      <w:iCs/>
    </w:rPr>
  </w:style>
  <w:style w:type="paragraph" w:styleId="Heading9">
    <w:name w:val="heading 9"/>
    <w:basedOn w:val="Normal"/>
    <w:next w:val="Normal"/>
    <w:qFormat/>
    <w:rsid w:val="00956D94"/>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3">
    <w:name w:val="Style Heading 3 +"/>
    <w:basedOn w:val="Heading3"/>
    <w:autoRedefine/>
    <w:rsid w:val="000D1B43"/>
    <w:pPr>
      <w:numPr>
        <w:numId w:val="1"/>
      </w:numPr>
    </w:pPr>
  </w:style>
  <w:style w:type="paragraph" w:customStyle="1" w:styleId="references">
    <w:name w:val="references"/>
    <w:basedOn w:val="Normal"/>
    <w:autoRedefine/>
    <w:rsid w:val="000D1B43"/>
    <w:pPr>
      <w:numPr>
        <w:numId w:val="2"/>
      </w:numPr>
    </w:pPr>
    <w:rPr>
      <w:sz w:val="20"/>
      <w:szCs w:val="20"/>
    </w:rPr>
  </w:style>
  <w:style w:type="paragraph" w:customStyle="1" w:styleId="StyleHeading31">
    <w:name w:val="Style Heading 3 +1"/>
    <w:basedOn w:val="Heading3"/>
    <w:autoRedefine/>
    <w:rsid w:val="00956D94"/>
  </w:style>
  <w:style w:type="paragraph" w:styleId="FootnoteText">
    <w:name w:val="footnote text"/>
    <w:basedOn w:val="Normal"/>
    <w:semiHidden/>
    <w:rsid w:val="005F14BB"/>
    <w:rPr>
      <w:sz w:val="20"/>
      <w:szCs w:val="20"/>
    </w:rPr>
  </w:style>
  <w:style w:type="character" w:styleId="FootnoteReference">
    <w:name w:val="footnote reference"/>
    <w:semiHidden/>
    <w:rsid w:val="005F14BB"/>
    <w:rPr>
      <w:vertAlign w:val="superscript"/>
    </w:rPr>
  </w:style>
  <w:style w:type="table" w:styleId="TableGrid">
    <w:name w:val="Table Grid"/>
    <w:basedOn w:val="TableNormal"/>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81C5E"/>
    <w:pPr>
      <w:spacing w:before="100" w:beforeAutospacing="1" w:after="100" w:afterAutospacing="1"/>
    </w:pPr>
    <w:rPr>
      <w:color w:val="333399"/>
    </w:rPr>
  </w:style>
  <w:style w:type="paragraph" w:styleId="TableofFigures">
    <w:name w:val="table of figures"/>
    <w:basedOn w:val="Normal"/>
    <w:next w:val="Normal"/>
    <w:uiPriority w:val="99"/>
    <w:rsid w:val="00081C5E"/>
    <w:pPr>
      <w:ind w:left="480" w:hanging="480"/>
    </w:pPr>
    <w:rPr>
      <w:lang w:eastAsia="he-IL"/>
    </w:rPr>
  </w:style>
  <w:style w:type="paragraph" w:styleId="Title">
    <w:name w:val="Title"/>
    <w:basedOn w:val="Normal"/>
    <w:qFormat/>
    <w:rsid w:val="00C52057"/>
    <w:pPr>
      <w:spacing w:before="240" w:after="60"/>
      <w:jc w:val="center"/>
      <w:outlineLvl w:val="0"/>
    </w:pPr>
    <w:rPr>
      <w:rFonts w:ascii="Arial" w:hAnsi="Arial" w:cs="Arial"/>
      <w:b/>
      <w:bCs/>
      <w:kern w:val="28"/>
      <w:sz w:val="32"/>
      <w:szCs w:val="32"/>
    </w:rPr>
  </w:style>
  <w:style w:type="paragraph" w:styleId="Header">
    <w:name w:val="header"/>
    <w:basedOn w:val="Normal"/>
    <w:rsid w:val="00CF070F"/>
    <w:pPr>
      <w:tabs>
        <w:tab w:val="center" w:pos="4153"/>
        <w:tab w:val="right" w:pos="8306"/>
      </w:tabs>
    </w:pPr>
  </w:style>
  <w:style w:type="paragraph" w:styleId="Footer">
    <w:name w:val="footer"/>
    <w:basedOn w:val="Normal"/>
    <w:link w:val="FooterChar"/>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Normal"/>
    <w:rsid w:val="00FE51E0"/>
    <w:pPr>
      <w:spacing w:before="40"/>
      <w:ind w:firstLine="360"/>
      <w:jc w:val="center"/>
      <w:textAlignment w:val="baseline"/>
    </w:pPr>
    <w:rPr>
      <w:rFonts w:ascii="Times" w:hAnsi="Times" w:cs="Times"/>
      <w:b/>
      <w:bCs/>
      <w:color w:val="000000"/>
    </w:rPr>
  </w:style>
  <w:style w:type="paragraph" w:styleId="BalloonText">
    <w:name w:val="Balloon Text"/>
    <w:basedOn w:val="Normal"/>
    <w:link w:val="BalloonTextChar"/>
    <w:uiPriority w:val="99"/>
    <w:semiHidden/>
    <w:unhideWhenUsed/>
    <w:rsid w:val="00F260E8"/>
    <w:rPr>
      <w:rFonts w:ascii="Tahoma" w:hAnsi="Tahoma" w:cs="Tahoma"/>
      <w:sz w:val="16"/>
      <w:szCs w:val="16"/>
    </w:rPr>
  </w:style>
  <w:style w:type="character" w:customStyle="1" w:styleId="BalloonTextChar">
    <w:name w:val="Balloon Text Char"/>
    <w:link w:val="BalloonText"/>
    <w:uiPriority w:val="99"/>
    <w:semiHidden/>
    <w:rsid w:val="00F260E8"/>
    <w:rPr>
      <w:rFonts w:ascii="Tahoma" w:hAnsi="Tahoma" w:cs="Tahoma"/>
      <w:sz w:val="16"/>
      <w:szCs w:val="16"/>
      <w:lang w:val="en-US" w:eastAsia="en-US"/>
    </w:rPr>
  </w:style>
  <w:style w:type="paragraph" w:styleId="TOCHeading">
    <w:name w:val="TOC Heading"/>
    <w:basedOn w:val="Heading1"/>
    <w:next w:val="Normal"/>
    <w:uiPriority w:val="39"/>
    <w:unhideWhenUsed/>
    <w:qFormat/>
    <w:rsid w:val="00DF5C3D"/>
    <w:pPr>
      <w:keepLines/>
      <w:numPr>
        <w:numId w:val="0"/>
      </w:numPr>
      <w:bidi w:val="0"/>
      <w:spacing w:before="480" w:after="0" w:line="276" w:lineRule="auto"/>
      <w:outlineLvl w:val="9"/>
    </w:pPr>
    <w:rPr>
      <w:rFonts w:ascii="Cambria" w:hAnsi="Cambria" w:cs="Times New Roman"/>
      <w:color w:val="365F91"/>
      <w:kern w:val="0"/>
      <w:u w:val="none"/>
      <w:lang w:bidi="ar-SA"/>
    </w:rPr>
  </w:style>
  <w:style w:type="paragraph" w:styleId="TOC2">
    <w:name w:val="toc 2"/>
    <w:basedOn w:val="Normal"/>
    <w:next w:val="Normal"/>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Normal"/>
    <w:next w:val="Normal"/>
    <w:autoRedefine/>
    <w:uiPriority w:val="39"/>
    <w:unhideWhenUsed/>
    <w:qFormat/>
    <w:rsid w:val="0022533C"/>
    <w:pPr>
      <w:tabs>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Normal"/>
    <w:next w:val="Normal"/>
    <w:autoRedefine/>
    <w:uiPriority w:val="39"/>
    <w:unhideWhenUsed/>
    <w:qFormat/>
    <w:rsid w:val="00DF5C3D"/>
    <w:pPr>
      <w:spacing w:after="100" w:line="276" w:lineRule="auto"/>
      <w:ind w:left="440"/>
    </w:pPr>
    <w:rPr>
      <w:rFonts w:ascii="Calibri" w:hAnsi="Calibri" w:cs="Arial"/>
      <w:sz w:val="22"/>
      <w:szCs w:val="22"/>
      <w:lang w:bidi="ar-SA"/>
    </w:rPr>
  </w:style>
  <w:style w:type="paragraph" w:styleId="EndnoteText">
    <w:name w:val="endnote text"/>
    <w:basedOn w:val="Normal"/>
    <w:link w:val="EndnoteTextChar"/>
    <w:uiPriority w:val="99"/>
    <w:semiHidden/>
    <w:unhideWhenUsed/>
    <w:rsid w:val="00FA6CEC"/>
    <w:rPr>
      <w:sz w:val="20"/>
      <w:szCs w:val="20"/>
    </w:rPr>
  </w:style>
  <w:style w:type="character" w:customStyle="1" w:styleId="EndnoteTextChar">
    <w:name w:val="Endnote Text Char"/>
    <w:link w:val="EndnoteText"/>
    <w:uiPriority w:val="99"/>
    <w:semiHidden/>
    <w:rsid w:val="00FA6CEC"/>
    <w:rPr>
      <w:lang w:val="en-US" w:eastAsia="en-US"/>
    </w:rPr>
  </w:style>
  <w:style w:type="character" w:styleId="EndnoteReference">
    <w:name w:val="endnote reference"/>
    <w:uiPriority w:val="99"/>
    <w:semiHidden/>
    <w:unhideWhenUsed/>
    <w:rsid w:val="00FA6CEC"/>
    <w:rPr>
      <w:vertAlign w:val="superscript"/>
    </w:rPr>
  </w:style>
  <w:style w:type="paragraph" w:customStyle="1" w:styleId="Appendix">
    <w:name w:val="Appendix"/>
    <w:basedOn w:val="Normal"/>
    <w:next w:val="Normal"/>
    <w:qFormat/>
    <w:rsid w:val="004431F7"/>
    <w:pPr>
      <w:pageBreakBefore/>
      <w:numPr>
        <w:numId w:val="7"/>
      </w:numPr>
    </w:pPr>
    <w:rPr>
      <w:rFonts w:ascii="Arial" w:hAnsi="Arial" w:cs="Arial"/>
      <w:sz w:val="32"/>
      <w:szCs w:val="32"/>
    </w:rPr>
  </w:style>
  <w:style w:type="paragraph" w:customStyle="1" w:styleId="Appendix2">
    <w:name w:val="Appendix 2"/>
    <w:basedOn w:val="Normal"/>
    <w:next w:val="Normal"/>
    <w:qFormat/>
    <w:rsid w:val="002337CC"/>
    <w:pPr>
      <w:bidi/>
      <w:spacing w:before="120" w:after="120"/>
    </w:pPr>
    <w:rPr>
      <w:rFonts w:ascii="Arial" w:hAnsi="Arial" w:cs="Arial"/>
      <w:u w:val="single"/>
    </w:rPr>
  </w:style>
  <w:style w:type="paragraph" w:styleId="Caption">
    <w:name w:val="caption"/>
    <w:basedOn w:val="Normal"/>
    <w:next w:val="Normal"/>
    <w:uiPriority w:val="35"/>
    <w:unhideWhenUsed/>
    <w:qFormat/>
    <w:rsid w:val="004727FF"/>
    <w:rPr>
      <w:b/>
      <w:bCs/>
      <w:sz w:val="20"/>
      <w:szCs w:val="20"/>
    </w:rPr>
  </w:style>
  <w:style w:type="character" w:customStyle="1" w:styleId="FooterChar">
    <w:name w:val="Footer Char"/>
    <w:link w:val="Footer"/>
    <w:uiPriority w:val="99"/>
    <w:rsid w:val="0022533C"/>
    <w:rPr>
      <w:sz w:val="24"/>
      <w:szCs w:val="24"/>
    </w:rPr>
  </w:style>
  <w:style w:type="paragraph" w:styleId="ListParagraph">
    <w:name w:val="List Paragraph"/>
    <w:basedOn w:val="Normal"/>
    <w:uiPriority w:val="34"/>
    <w:qFormat/>
    <w:rsid w:val="002D3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hyperlink" Target="http://www.cs.unc.edu/~welch/kalman/kalman_filter/kalman.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cs.unc.edu/~welch/kalman/kalman_filter/kalman.html" TargetMode="External"/><Relationship Id="rId2" Type="http://schemas.openxmlformats.org/officeDocument/2006/relationships/numbering" Target="numbering.xml"/><Relationship Id="rId16" Type="http://schemas.openxmlformats.org/officeDocument/2006/relationships/hyperlink" Target="http://www.dolby.com/tech/m.br.9903.epaper.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PowerPoint_Slide.sldx"/><Relationship Id="rId5" Type="http://schemas.openxmlformats.org/officeDocument/2006/relationships/webSettings" Target="webSettings.xml"/><Relationship Id="rId15" Type="http://schemas.openxmlformats.org/officeDocument/2006/relationships/hyperlink" Target="http://www.ti.com/lit/an/spra661a/spra661a.pdf" TargetMode="External"/><Relationship Id="rId10" Type="http://schemas.openxmlformats.org/officeDocument/2006/relationships/image" Target="media/image3.emf"/><Relationship Id="rId19" Type="http://schemas.openxmlformats.org/officeDocument/2006/relationships/hyperlink" Target="http://www.prosig.com/signal-processing/smoothingspectr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xilinx.com/support/documentation/data_sheets/ds610.pdf" TargetMode="External"/><Relationship Id="rId22" Type="http://schemas.openxmlformats.org/officeDocument/2006/relationships/theme" Target="theme/theme1.xm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AA9F5-2803-40FB-A20A-D64D9DCA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751</Words>
  <Characters>6385</Characters>
  <Application>Microsoft Office Word</Application>
  <DocSecurity>0</DocSecurity>
  <Lines>354</Lines>
  <Paragraphs>203</Paragraphs>
  <ScaleCrop>false</ScaleCrop>
  <HeadingPairs>
    <vt:vector size="2" baseType="variant">
      <vt:variant>
        <vt:lpstr>Title</vt:lpstr>
      </vt:variant>
      <vt:variant>
        <vt:i4>1</vt:i4>
      </vt:variant>
    </vt:vector>
  </HeadingPairs>
  <TitlesOfParts>
    <vt:vector size="1" baseType="lpstr">
      <vt:lpstr>1</vt:lpstr>
    </vt:vector>
  </TitlesOfParts>
  <Company>Tel Aviv University</Company>
  <LinksUpToDate>false</LinksUpToDate>
  <CharactersWithSpaces>6933</CharactersWithSpaces>
  <SharedDoc>false</SharedDoc>
  <HLinks>
    <vt:vector size="36" baseType="variant">
      <vt:variant>
        <vt:i4>1179729</vt:i4>
      </vt:variant>
      <vt:variant>
        <vt:i4>39</vt:i4>
      </vt:variant>
      <vt:variant>
        <vt:i4>0</vt:i4>
      </vt:variant>
      <vt:variant>
        <vt:i4>5</vt:i4>
      </vt:variant>
      <vt:variant>
        <vt:lpwstr>http://www.prosig.com/signal-processing/smoothingspectra.html</vt:lpwstr>
      </vt:variant>
      <vt:variant>
        <vt:lpwstr/>
      </vt:variant>
      <vt:variant>
        <vt:i4>3473409</vt:i4>
      </vt:variant>
      <vt:variant>
        <vt:i4>36</vt:i4>
      </vt:variant>
      <vt:variant>
        <vt:i4>0</vt:i4>
      </vt:variant>
      <vt:variant>
        <vt:i4>5</vt:i4>
      </vt:variant>
      <vt:variant>
        <vt:lpwstr>http://www.cs.unc.edu/~welch/kalman/kalman_filter/kalman.html</vt:lpwstr>
      </vt:variant>
      <vt:variant>
        <vt:lpwstr>pgfId-11854</vt:lpwstr>
      </vt:variant>
      <vt:variant>
        <vt:i4>3473409</vt:i4>
      </vt:variant>
      <vt:variant>
        <vt:i4>33</vt:i4>
      </vt:variant>
      <vt:variant>
        <vt:i4>0</vt:i4>
      </vt:variant>
      <vt:variant>
        <vt:i4>5</vt:i4>
      </vt:variant>
      <vt:variant>
        <vt:lpwstr>http://www.cs.unc.edu/~welch/kalman/kalman_filter/kalman.html</vt:lpwstr>
      </vt:variant>
      <vt:variant>
        <vt:lpwstr>pgfId-11854</vt:lpwstr>
      </vt:variant>
      <vt:variant>
        <vt:i4>7536702</vt:i4>
      </vt:variant>
      <vt:variant>
        <vt:i4>30</vt:i4>
      </vt:variant>
      <vt:variant>
        <vt:i4>0</vt:i4>
      </vt:variant>
      <vt:variant>
        <vt:i4>5</vt:i4>
      </vt:variant>
      <vt:variant>
        <vt:lpwstr>http://www.dolby.com/tech/m.br.9903.epaper.pdf</vt:lpwstr>
      </vt:variant>
      <vt:variant>
        <vt:lpwstr/>
      </vt:variant>
      <vt:variant>
        <vt:i4>6291563</vt:i4>
      </vt:variant>
      <vt:variant>
        <vt:i4>27</vt:i4>
      </vt:variant>
      <vt:variant>
        <vt:i4>0</vt:i4>
      </vt:variant>
      <vt:variant>
        <vt:i4>5</vt:i4>
      </vt:variant>
      <vt:variant>
        <vt:lpwstr>http://www.ti.com/lit/an/spra661a/spra661a.pdf</vt:lpwstr>
      </vt:variant>
      <vt:variant>
        <vt:lpwstr/>
      </vt:variant>
      <vt:variant>
        <vt:i4>1900671</vt:i4>
      </vt:variant>
      <vt:variant>
        <vt:i4>24</vt:i4>
      </vt:variant>
      <vt:variant>
        <vt:i4>0</vt:i4>
      </vt:variant>
      <vt:variant>
        <vt:i4>5</vt:i4>
      </vt:variant>
      <vt:variant>
        <vt:lpwstr>http://www.xilinx.com/support/documentation/data_sheets/ds610.pdf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Roi Raich</cp:lastModifiedBy>
  <cp:revision>9</cp:revision>
  <cp:lastPrinted>2022-10-20T16:02:00Z</cp:lastPrinted>
  <dcterms:created xsi:type="dcterms:W3CDTF">2022-10-19T10:19:00Z</dcterms:created>
  <dcterms:modified xsi:type="dcterms:W3CDTF">2025-11-05T10:55:00Z</dcterms:modified>
</cp:coreProperties>
</file>