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classified balance sheet   ·   Other presentation matters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equity at one point in time. </w:t>
      </w:r>
      <w:r>
        <w:rPr>
          <w:sz w:val="19"/>
          <w:szCs w:val="19"/>
        </w:rPr>
        <w:t xml:space="preserve">It answers three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investors and lenders. </w:t>
      </w:r>
      <w:r>
        <w:rPr>
          <w:sz w:val="19"/>
          <w:szCs w:val="19"/>
        </w:rPr>
        <w:t xml:space="preserve">Can the company pay its bills in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unexpected happens? This is financial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coming   ·   company's   ·   short-term   ·   questions   ·   classified   ·   solvency   ·   liquidity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18"/>
        <w:gridCol w:w="229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207"/>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193"/>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600"/>
            <w:tcMar>
              <w:top w:type="dxa" w:w="50"/>
              <w:left w:type="dxa" w:w="110"/>
              <w:bottom w:type="dxa" w:w="50"/>
              <w:right w:type="dxa" w:w="110"/>
            </w:tcMar>
          </w:tcPr>
          <w:p>
            <w:pPr>
              <w:spacing w:before="28" w:after="28"/>
            </w:pPr>
            <w:r>
              <w:rPr>
                <w:sz w:val="15"/>
                <w:szCs w:val="15"/>
              </w:rPr>
              <w:t xml:space="preserve">ASSETS</w:t>
            </w:r>
          </w:p>
        </w:tc>
        <w:tc>
          <w:tcPr>
            <w:tcW w:type="pct" w:w="1207"/>
            <w:tcMar>
              <w:top w:type="dxa" w:w="50"/>
              <w:left w:type="dxa" w:w="110"/>
              <w:bottom w:type="dxa" w:w="50"/>
              <w:right w:type="dxa" w:w="110"/>
            </w:tcMar>
          </w:tcPr>
          <w:p>
            <w:pPr>
              <w:spacing w:before="28" w:after="28"/>
            </w:pPr>
            <w:r>
              <w:rPr>
                <w:sz w:val="15"/>
                <w:szCs w:val="15"/>
              </w:rPr>
              <w:t xml:space="preserve"> </w:t>
            </w:r>
          </w:p>
        </w:tc>
        <w:tc>
          <w:tcPr>
            <w:tcW w:type="pct" w:w="1193"/>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Cash</w:t>
            </w:r>
          </w:p>
        </w:tc>
        <w:tc>
          <w:tcPr>
            <w:tcW w:type="pct" w:w="1207"/>
            <w:tcMar>
              <w:top w:type="dxa" w:w="50"/>
              <w:left w:type="dxa" w:w="110"/>
              <w:bottom w:type="dxa" w:w="50"/>
              <w:right w:type="dxa" w:w="110"/>
            </w:tcMar>
          </w:tcPr>
          <w:p>
            <w:pPr>
              <w:spacing w:before="28" w:after="28"/>
            </w:pPr>
            <w:r>
              <w:rPr>
                <w:sz w:val="15"/>
                <w:szCs w:val="15"/>
              </w:rPr>
              <w:t xml:space="preserve">7,302,100</w:t>
            </w:r>
          </w:p>
        </w:tc>
        <w:tc>
          <w:tcPr>
            <w:tcW w:type="pct" w:w="1193"/>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207"/>
            <w:shd w:fill="FBFAF6" w:val="clear"/>
            <w:tcMar>
              <w:top w:type="dxa" w:w="50"/>
              <w:left w:type="dxa" w:w="110"/>
              <w:bottom w:type="dxa" w:w="50"/>
              <w:right w:type="dxa" w:w="110"/>
            </w:tcMar>
          </w:tcPr>
          <w:p>
            <w:pPr>
              <w:spacing w:before="28" w:after="28"/>
            </w:pPr>
            <w:r>
              <w:rPr>
                <w:sz w:val="15"/>
                <w:szCs w:val="15"/>
              </w:rPr>
              <w:t xml:space="preserve">42,000</w:t>
            </w:r>
          </w:p>
        </w:tc>
        <w:tc>
          <w:tcPr>
            <w:tcW w:type="pct" w:w="1193"/>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Accounts receivable, net of allowance (2025: 156,000; 2024: 140,000)</w:t>
            </w:r>
          </w:p>
        </w:tc>
        <w:tc>
          <w:tcPr>
            <w:tcW w:type="pct" w:w="1207"/>
            <w:tcMar>
              <w:top w:type="dxa" w:w="50"/>
              <w:left w:type="dxa" w:w="110"/>
              <w:bottom w:type="dxa" w:w="50"/>
              <w:right w:type="dxa" w:w="110"/>
            </w:tcMar>
          </w:tcPr>
          <w:p>
            <w:pPr>
              <w:spacing w:before="28" w:after="28"/>
            </w:pPr>
            <w:r>
              <w:rPr>
                <w:sz w:val="15"/>
                <w:szCs w:val="15"/>
              </w:rPr>
              <w:t xml:space="preserve">4,144,000</w:t>
            </w:r>
          </w:p>
        </w:tc>
        <w:tc>
          <w:tcPr>
            <w:tcW w:type="pct" w:w="1193"/>
            <w:tcMar>
              <w:top w:type="dxa" w:w="50"/>
              <w:left w:type="dxa" w:w="110"/>
              <w:bottom w:type="dxa" w:w="50"/>
              <w:right w:type="dxa" w:w="110"/>
            </w:tcMar>
          </w:tcPr>
          <w:p>
            <w:pPr>
              <w:spacing w:before="28" w:after="28"/>
            </w:pPr>
            <w:r>
              <w:rPr>
                <w:sz w:val="15"/>
                <w:szCs w:val="15"/>
              </w:rPr>
              <w:t xml:space="preserve">3,760,000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07"/>
            <w:shd w:fill="FBFAF6" w:val="clear"/>
            <w:tcMar>
              <w:top w:type="dxa" w:w="50"/>
              <w:left w:type="dxa" w:w="110"/>
              <w:bottom w:type="dxa" w:w="50"/>
              <w:right w:type="dxa" w:w="110"/>
            </w:tcMar>
          </w:tcPr>
          <w:p>
            <w:pPr>
              <w:spacing w:before="28" w:after="28"/>
            </w:pPr>
            <w:r>
              <w:rPr>
                <w:sz w:val="15"/>
                <w:szCs w:val="15"/>
              </w:rPr>
              <w:t xml:space="preserve">2,450,000</w:t>
            </w:r>
          </w:p>
        </w:tc>
        <w:tc>
          <w:tcPr>
            <w:tcW w:type="pct" w:w="1193"/>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600"/>
            <w:tcMar>
              <w:top w:type="dxa" w:w="50"/>
              <w:left w:type="dxa" w:w="110"/>
              <w:bottom w:type="dxa" w:w="50"/>
              <w:right w:type="dxa" w:w="110"/>
            </w:tcMar>
          </w:tcPr>
          <w:p>
            <w:pPr>
              <w:spacing w:before="28" w:after="28"/>
            </w:pPr>
            <w:r>
              <w:rPr>
                <w:sz w:val="15"/>
                <w:szCs w:val="15"/>
              </w:rPr>
              <w:t xml:space="preserve">Prepaid expenses</w:t>
            </w:r>
          </w:p>
        </w:tc>
        <w:tc>
          <w:tcPr>
            <w:tcW w:type="pct" w:w="1207"/>
            <w:tcMar>
              <w:top w:type="dxa" w:w="50"/>
              <w:left w:type="dxa" w:w="110"/>
              <w:bottom w:type="dxa" w:w="50"/>
              <w:right w:type="dxa" w:w="110"/>
            </w:tcMar>
          </w:tcPr>
          <w:p>
            <w:pPr>
              <w:spacing w:before="28" w:after="28"/>
            </w:pPr>
            <w:r>
              <w:rPr>
                <w:sz w:val="15"/>
                <w:szCs w:val="15"/>
              </w:rPr>
              <w:t xml:space="preserve">204,000</w:t>
            </w:r>
          </w:p>
        </w:tc>
        <w:tc>
          <w:tcPr>
            <w:tcW w:type="pct" w:w="1193"/>
            <w:tcMar>
              <w:top w:type="dxa" w:w="50"/>
              <w:left w:type="dxa" w:w="110"/>
              <w:bottom w:type="dxa" w:w="50"/>
              <w:right w:type="dxa" w:w="110"/>
            </w:tcMar>
          </w:tcPr>
          <w:p>
            <w:pPr>
              <w:spacing w:before="28" w:after="28"/>
            </w:pPr>
            <w:r>
              <w:rPr>
                <w:sz w:val="15"/>
                <w:szCs w:val="15"/>
              </w:rPr>
              <w:t xml:space="preserve">180,000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07"/>
            <w:shd w:fill="FBFAF6" w:val="clear"/>
            <w:tcMar>
              <w:top w:type="dxa" w:w="50"/>
              <w:left w:type="dxa" w:w="110"/>
              <w:bottom w:type="dxa" w:w="50"/>
              <w:right w:type="dxa" w:w="110"/>
            </w:tcMar>
          </w:tcPr>
          <w:p>
            <w:pPr>
              <w:spacing w:before="28" w:after="28"/>
            </w:pPr>
            <w:r>
              <w:rPr>
                <w:sz w:val="15"/>
                <w:szCs w:val="15"/>
              </w:rPr>
              <w:t xml:space="preserve">46,000</w:t>
            </w:r>
          </w:p>
        </w:tc>
        <w:tc>
          <w:tcPr>
            <w:tcW w:type="pct" w:w="1193"/>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tcMar>
              <w:top w:type="dxa" w:w="50"/>
              <w:left w:type="dxa" w:w="110"/>
              <w:bottom w:type="dxa" w:w="50"/>
              <w:right w:type="dxa" w:w="110"/>
            </w:tcMar>
          </w:tcPr>
          <w:p>
            <w:pPr>
              <w:spacing w:before="28" w:after="28"/>
            </w:pPr>
            <w:r>
              <w:rPr>
                <w:sz w:val="15"/>
                <w:szCs w:val="15"/>
              </w:rPr>
              <w:t xml:space="preserve">Total current assets</w:t>
            </w:r>
          </w:p>
        </w:tc>
        <w:tc>
          <w:tcPr>
            <w:tcW w:type="pct" w:w="1207"/>
            <w:tcMar>
              <w:top w:type="dxa" w:w="50"/>
              <w:left w:type="dxa" w:w="110"/>
              <w:bottom w:type="dxa" w:w="50"/>
              <w:right w:type="dxa" w:w="110"/>
            </w:tcMar>
          </w:tcPr>
          <w:p>
            <w:pPr>
              <w:spacing w:before="28" w:after="28"/>
            </w:pPr>
            <w:r>
              <w:rPr>
                <w:sz w:val="15"/>
                <w:szCs w:val="15"/>
              </w:rPr>
              <w:t xml:space="preserve">14,188,100</w:t>
            </w:r>
          </w:p>
        </w:tc>
        <w:tc>
          <w:tcPr>
            <w:tcW w:type="pct" w:w="1193"/>
            <w:tcMar>
              <w:top w:type="dxa" w:w="50"/>
              <w:left w:type="dxa" w:w="110"/>
              <w:bottom w:type="dxa" w:w="50"/>
              <w:right w:type="dxa" w:w="110"/>
            </w:tcMar>
          </w:tcPr>
          <w:p>
            <w:pPr>
              <w:spacing w:before="28" w:after="28"/>
            </w:pPr>
            <w:r>
              <w:rPr>
                <w:sz w:val="15"/>
                <w:szCs w:val="15"/>
              </w:rPr>
              <w:t xml:space="preserve">8,380,000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207"/>
            <w:tcMar>
              <w:top w:type="dxa" w:w="50"/>
              <w:left w:type="dxa" w:w="110"/>
              <w:bottom w:type="dxa" w:w="50"/>
              <w:right w:type="dxa" w:w="110"/>
            </w:tcMar>
          </w:tcPr>
          <w:p>
            <w:pPr>
              <w:spacing w:before="28" w:after="28"/>
            </w:pPr>
            <w:r>
              <w:rPr>
                <w:sz w:val="15"/>
                <w:szCs w:val="15"/>
              </w:rPr>
              <w:t xml:space="preserve">88,500</w:t>
            </w:r>
          </w:p>
        </w:tc>
        <w:tc>
          <w:tcPr>
            <w:tcW w:type="pct" w:w="1193"/>
            <w:tcMar>
              <w:top w:type="dxa" w:w="50"/>
              <w:left w:type="dxa" w:w="110"/>
              <w:bottom w:type="dxa" w:w="50"/>
              <w:right w:type="dxa" w:w="110"/>
            </w:tcMar>
          </w:tcPr>
          <w:p>
            <w:pPr>
              <w:spacing w:before="28" w:after="28"/>
            </w:pPr>
            <w:r>
              <w:rPr>
                <w:sz w:val="15"/>
                <w:szCs w:val="15"/>
              </w:rPr>
              <w:t xml:space="preserve">90,000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207"/>
            <w:shd w:fill="FBFAF6" w:val="clear"/>
            <w:tcMar>
              <w:top w:type="dxa" w:w="50"/>
              <w:left w:type="dxa" w:w="110"/>
              <w:bottom w:type="dxa" w:w="50"/>
              <w:right w:type="dxa" w:w="110"/>
            </w:tcMar>
          </w:tcPr>
          <w:p>
            <w:pPr>
              <w:spacing w:before="28" w:after="28"/>
            </w:pPr>
            <w:r>
              <w:rPr>
                <w:sz w:val="15"/>
                <w:szCs w:val="15"/>
              </w:rPr>
              <w:t xml:space="preserve">27,000</w:t>
            </w:r>
          </w:p>
        </w:tc>
        <w:tc>
          <w:tcPr>
            <w:tcW w:type="pct" w:w="1193"/>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07"/>
            <w:tcMar>
              <w:top w:type="dxa" w:w="50"/>
              <w:left w:type="dxa" w:w="110"/>
              <w:bottom w:type="dxa" w:w="50"/>
              <w:right w:type="dxa" w:w="110"/>
            </w:tcMar>
          </w:tcPr>
          <w:p>
            <w:pPr>
              <w:spacing w:before="28" w:after="28"/>
            </w:pPr>
            <w:r>
              <w:rPr>
                <w:sz w:val="15"/>
                <w:szCs w:val="15"/>
              </w:rPr>
              <w:t xml:space="preserve">1,807,000</w:t>
            </w:r>
          </w:p>
        </w:tc>
        <w:tc>
          <w:tcPr>
            <w:tcW w:type="pct" w:w="1193"/>
            <w:tcMar>
              <w:top w:type="dxa" w:w="50"/>
              <w:left w:type="dxa" w:w="110"/>
              <w:bottom w:type="dxa" w:w="50"/>
              <w:right w:type="dxa" w:w="110"/>
            </w:tcMar>
          </w:tcPr>
          <w:p>
            <w:pPr>
              <w:spacing w:before="28" w:after="28"/>
            </w:pPr>
            <w:r>
              <w:rPr>
                <w:sz w:val="15"/>
                <w:szCs w:val="15"/>
              </w:rPr>
              <w:t xml:space="preserve">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Property, plant and equipment, net of accumulated depreciation (2025: 11,988,000; 2024: 8,000,000)</w:t>
            </w:r>
          </w:p>
        </w:tc>
        <w:tc>
          <w:tcPr>
            <w:tcW w:type="pct" w:w="1207"/>
            <w:shd w:fill="FBFAF6" w:val="clear"/>
            <w:tcMar>
              <w:top w:type="dxa" w:w="50"/>
              <w:left w:type="dxa" w:w="110"/>
              <w:bottom w:type="dxa" w:w="50"/>
              <w:right w:type="dxa" w:w="110"/>
            </w:tcMar>
          </w:tcPr>
          <w:p>
            <w:pPr>
              <w:spacing w:before="28" w:after="28"/>
            </w:pPr>
            <w:r>
              <w:rPr>
                <w:sz w:val="15"/>
                <w:szCs w:val="15"/>
              </w:rPr>
              <w:t xml:space="preserve">14,802,000</w:t>
            </w:r>
          </w:p>
        </w:tc>
        <w:tc>
          <w:tcPr>
            <w:tcW w:type="pct" w:w="1193"/>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600"/>
            <w:tcMar>
              <w:top w:type="dxa" w:w="50"/>
              <w:left w:type="dxa" w:w="110"/>
              <w:bottom w:type="dxa" w:w="50"/>
              <w:right w:type="dxa" w:w="110"/>
            </w:tcMar>
          </w:tcPr>
          <w:p>
            <w:pPr>
              <w:spacing w:before="28" w:after="28"/>
            </w:pPr>
            <w:r>
              <w:rPr>
                <w:sz w:val="15"/>
                <w:szCs w:val="15"/>
              </w:rPr>
              <w:t xml:space="preserve">Brand (indefinite-lived)</w:t>
            </w:r>
          </w:p>
        </w:tc>
        <w:tc>
          <w:tcPr>
            <w:tcW w:type="pct" w:w="1207"/>
            <w:tcMar>
              <w:top w:type="dxa" w:w="50"/>
              <w:left w:type="dxa" w:w="110"/>
              <w:bottom w:type="dxa" w:w="50"/>
              <w:right w:type="dxa" w:w="110"/>
            </w:tcMar>
          </w:tcPr>
          <w:p>
            <w:pPr>
              <w:spacing w:before="28" w:after="28"/>
            </w:pPr>
            <w:r>
              <w:rPr>
                <w:sz w:val="15"/>
                <w:szCs w:val="15"/>
              </w:rPr>
              <w:t xml:space="preserve">260,000</w:t>
            </w:r>
          </w:p>
        </w:tc>
        <w:tc>
          <w:tcPr>
            <w:tcW w:type="pct" w:w="1193"/>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07"/>
            <w:shd w:fill="FBFAF6" w:val="clear"/>
            <w:tcMar>
              <w:top w:type="dxa" w:w="50"/>
              <w:left w:type="dxa" w:w="110"/>
              <w:bottom w:type="dxa" w:w="50"/>
              <w:right w:type="dxa" w:w="110"/>
            </w:tcMar>
          </w:tcPr>
          <w:p>
            <w:pPr>
              <w:spacing w:before="28" w:after="28"/>
            </w:pPr>
            <w:r>
              <w:rPr>
                <w:sz w:val="15"/>
                <w:szCs w:val="15"/>
              </w:rPr>
              <w:t xml:space="preserve">300,000</w:t>
            </w:r>
          </w:p>
        </w:tc>
        <w:tc>
          <w:tcPr>
            <w:tcW w:type="pct" w:w="1193"/>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600"/>
            <w:tcMar>
              <w:top w:type="dxa" w:w="50"/>
              <w:left w:type="dxa" w:w="110"/>
              <w:bottom w:type="dxa" w:w="50"/>
              <w:right w:type="dxa" w:w="110"/>
            </w:tcMar>
          </w:tcPr>
          <w:p>
            <w:pPr>
              <w:spacing w:before="28" w:after="28"/>
            </w:pPr>
            <w:r>
              <w:rPr>
                <w:sz w:val="15"/>
                <w:szCs w:val="15"/>
              </w:rPr>
              <w:t xml:space="preserve">Other noncurrent assets</w:t>
            </w:r>
          </w:p>
        </w:tc>
        <w:tc>
          <w:tcPr>
            <w:tcW w:type="pct" w:w="1207"/>
            <w:tcMar>
              <w:top w:type="dxa" w:w="50"/>
              <w:left w:type="dxa" w:w="110"/>
              <w:bottom w:type="dxa" w:w="50"/>
              <w:right w:type="dxa" w:w="110"/>
            </w:tcMar>
          </w:tcPr>
          <w:p>
            <w:pPr>
              <w:spacing w:before="28" w:after="28"/>
            </w:pPr>
            <w:r>
              <w:rPr>
                <w:sz w:val="15"/>
                <w:szCs w:val="15"/>
              </w:rPr>
              <w:t xml:space="preserve">200,000</w:t>
            </w:r>
          </w:p>
        </w:tc>
        <w:tc>
          <w:tcPr>
            <w:tcW w:type="pct" w:w="1193"/>
            <w:tcMar>
              <w:top w:type="dxa" w:w="50"/>
              <w:left w:type="dxa" w:w="110"/>
              <w:bottom w:type="dxa" w:w="50"/>
              <w:right w:type="dxa" w:w="110"/>
            </w:tcMar>
          </w:tcPr>
          <w:p>
            <w:pPr>
              <w:spacing w:before="28" w:after="28"/>
            </w:pPr>
            <w:r>
              <w:rPr>
                <w:sz w:val="15"/>
                <w:szCs w:val="15"/>
              </w:rPr>
              <w:t xml:space="preserve">200,000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207"/>
            <w:shd w:fill="FBFAF6" w:val="clear"/>
            <w:tcMar>
              <w:top w:type="dxa" w:w="50"/>
              <w:left w:type="dxa" w:w="110"/>
              <w:bottom w:type="dxa" w:w="50"/>
              <w:right w:type="dxa" w:w="110"/>
            </w:tcMar>
          </w:tcPr>
          <w:p>
            <w:pPr>
              <w:spacing w:before="28" w:after="28"/>
            </w:pPr>
            <w:r>
              <w:rPr>
                <w:sz w:val="15"/>
                <w:szCs w:val="15"/>
              </w:rPr>
              <w:t xml:space="preserve">31,672,600</w:t>
            </w:r>
          </w:p>
        </w:tc>
        <w:tc>
          <w:tcPr>
            <w:tcW w:type="pct" w:w="1193"/>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600"/>
            <w:tcMar>
              <w:top w:type="dxa" w:w="50"/>
              <w:left w:type="dxa" w:w="110"/>
              <w:bottom w:type="dxa" w:w="50"/>
              <w:right w:type="dxa" w:w="110"/>
            </w:tcMar>
          </w:tcPr>
          <w:p>
            <w:pPr>
              <w:spacing w:before="28" w:after="28"/>
            </w:pPr>
            <w:r>
              <w:rPr>
                <w:sz w:val="15"/>
                <w:szCs w:val="15"/>
              </w:rPr>
              <w:t xml:space="preserve">LIABILITIES AND STOCKHOLDERS' EQUITY</w:t>
            </w:r>
          </w:p>
        </w:tc>
        <w:tc>
          <w:tcPr>
            <w:tcW w:type="pct" w:w="1207"/>
            <w:tcMar>
              <w:top w:type="dxa" w:w="50"/>
              <w:left w:type="dxa" w:w="110"/>
              <w:bottom w:type="dxa" w:w="50"/>
              <w:right w:type="dxa" w:w="110"/>
            </w:tcMar>
          </w:tcPr>
          <w:p>
            <w:pPr>
              <w:spacing w:before="28" w:after="28"/>
            </w:pPr>
            <w:r>
              <w:rPr>
                <w:sz w:val="15"/>
                <w:szCs w:val="15"/>
              </w:rPr>
              <w:t xml:space="preserve"> </w:t>
            </w:r>
          </w:p>
        </w:tc>
        <w:tc>
          <w:tcPr>
            <w:tcW w:type="pct" w:w="1193"/>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Accounts payable</w:t>
            </w:r>
          </w:p>
        </w:tc>
        <w:tc>
          <w:tcPr>
            <w:tcW w:type="pct" w:w="1207"/>
            <w:tcMar>
              <w:top w:type="dxa" w:w="50"/>
              <w:left w:type="dxa" w:w="110"/>
              <w:bottom w:type="dxa" w:w="50"/>
              <w:right w:type="dxa" w:w="110"/>
            </w:tcMar>
          </w:tcPr>
          <w:p>
            <w:pPr>
              <w:spacing w:before="28" w:after="28"/>
            </w:pPr>
            <w:r>
              <w:rPr>
                <w:sz w:val="15"/>
                <w:szCs w:val="15"/>
              </w:rPr>
              <w:t xml:space="preserve">2,050,000</w:t>
            </w:r>
          </w:p>
        </w:tc>
        <w:tc>
          <w:tcPr>
            <w:tcW w:type="pct" w:w="1193"/>
            <w:tcMar>
              <w:top w:type="dxa" w:w="50"/>
              <w:left w:type="dxa" w:w="110"/>
              <w:bottom w:type="dxa" w:w="50"/>
              <w:right w:type="dxa" w:w="110"/>
            </w:tcMar>
          </w:tcPr>
          <w:p>
            <w:pPr>
              <w:spacing w:before="28" w:after="28"/>
            </w:pPr>
            <w:r>
              <w:rPr>
                <w:sz w:val="15"/>
                <w:szCs w:val="15"/>
              </w:rPr>
              <w:t xml:space="preserve">1,900,000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207"/>
            <w:shd w:fill="FBFAF6" w:val="clear"/>
            <w:tcMar>
              <w:top w:type="dxa" w:w="50"/>
              <w:left w:type="dxa" w:w="110"/>
              <w:bottom w:type="dxa" w:w="50"/>
              <w:right w:type="dxa" w:w="110"/>
            </w:tcMar>
          </w:tcPr>
          <w:p>
            <w:pPr>
              <w:spacing w:before="28" w:after="28"/>
            </w:pPr>
            <w:r>
              <w:rPr>
                <w:sz w:val="15"/>
                <w:szCs w:val="15"/>
              </w:rPr>
              <w:t xml:space="preserve">900,000</w:t>
            </w:r>
          </w:p>
        </w:tc>
        <w:tc>
          <w:tcPr>
            <w:tcW w:type="pct" w:w="1193"/>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07"/>
            <w:tcMar>
              <w:top w:type="dxa" w:w="50"/>
              <w:left w:type="dxa" w:w="110"/>
              <w:bottom w:type="dxa" w:w="50"/>
              <w:right w:type="dxa" w:w="110"/>
            </w:tcMar>
          </w:tcPr>
          <w:p>
            <w:pPr>
              <w:spacing w:before="28" w:after="28"/>
            </w:pPr>
            <w:r>
              <w:rPr>
                <w:sz w:val="15"/>
                <w:szCs w:val="15"/>
              </w:rPr>
              <w:t xml:space="preserve">350,000</w:t>
            </w:r>
          </w:p>
        </w:tc>
        <w:tc>
          <w:tcPr>
            <w:tcW w:type="pct" w:w="1193"/>
            <w:tcMar>
              <w:top w:type="dxa" w:w="50"/>
              <w:left w:type="dxa" w:w="110"/>
              <w:bottom w:type="dxa" w:w="50"/>
              <w:right w:type="dxa" w:w="110"/>
            </w:tcMar>
          </w:tcPr>
          <w:p>
            <w:pPr>
              <w:spacing w:before="28" w:after="28"/>
            </w:pPr>
            <w:r>
              <w:rPr>
                <w:sz w:val="15"/>
                <w:szCs w:val="15"/>
              </w:rPr>
              <w:t xml:space="preserve">300,000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07"/>
            <w:shd w:fill="FBFAF6" w:val="clear"/>
            <w:tcMar>
              <w:top w:type="dxa" w:w="50"/>
              <w:left w:type="dxa" w:w="110"/>
              <w:bottom w:type="dxa" w:w="50"/>
              <w:right w:type="dxa" w:w="110"/>
            </w:tcMar>
          </w:tcPr>
          <w:p>
            <w:pPr>
              <w:spacing w:before="28" w:after="28"/>
            </w:pPr>
            <w:r>
              <w:rPr>
                <w:sz w:val="15"/>
                <w:szCs w:val="15"/>
              </w:rPr>
              <w:t xml:space="preserve">180,000</w:t>
            </w:r>
          </w:p>
        </w:tc>
        <w:tc>
          <w:tcPr>
            <w:tcW w:type="pct" w:w="1193"/>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1207"/>
            <w:tcMar>
              <w:top w:type="dxa" w:w="50"/>
              <w:left w:type="dxa" w:w="110"/>
              <w:bottom w:type="dxa" w:w="50"/>
              <w:right w:type="dxa" w:w="110"/>
            </w:tcMar>
          </w:tcPr>
          <w:p>
            <w:pPr>
              <w:spacing w:before="28" w:after="28"/>
            </w:pPr>
            <w:r>
              <w:rPr>
                <w:sz w:val="15"/>
                <w:szCs w:val="15"/>
              </w:rPr>
              <w:t xml:space="preserve">400,000</w:t>
            </w:r>
          </w:p>
        </w:tc>
        <w:tc>
          <w:tcPr>
            <w:tcW w:type="pct" w:w="1193"/>
            <w:tcMar>
              <w:top w:type="dxa" w:w="50"/>
              <w:left w:type="dxa" w:w="110"/>
              <w:bottom w:type="dxa" w:w="50"/>
              <w:right w:type="dxa" w:w="110"/>
            </w:tcMar>
          </w:tcPr>
          <w:p>
            <w:pPr>
              <w:spacing w:before="28" w:after="28"/>
            </w:pPr>
            <w:r>
              <w:rPr>
                <w:sz w:val="15"/>
                <w:szCs w:val="15"/>
              </w:rPr>
              <w:t xml:space="preser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Current portion of long-term debt</w:t>
            </w:r>
          </w:p>
        </w:tc>
        <w:tc>
          <w:tcPr>
            <w:tcW w:type="pct" w:w="1207"/>
            <w:shd w:fill="FBFAF6" w:val="clear"/>
            <w:tcMar>
              <w:top w:type="dxa" w:w="50"/>
              <w:left w:type="dxa" w:w="110"/>
              <w:bottom w:type="dxa" w:w="50"/>
              <w:right w:type="dxa" w:w="110"/>
            </w:tcMar>
          </w:tcPr>
          <w:p>
            <w:pPr>
              <w:spacing w:before="28" w:after="28"/>
            </w:pPr>
            <w:r>
              <w:rPr>
                <w:sz w:val="15"/>
                <w:szCs w:val="15"/>
              </w:rPr>
              <w:t xml:space="preserve">400,000</w:t>
            </w:r>
          </w:p>
        </w:tc>
        <w:tc>
          <w:tcPr>
            <w:tcW w:type="pct" w:w="1193"/>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600"/>
            <w:tcMar>
              <w:top w:type="dxa" w:w="50"/>
              <w:left w:type="dxa" w:w="110"/>
              <w:bottom w:type="dxa" w:w="50"/>
              <w:right w:type="dxa" w:w="110"/>
            </w:tcMar>
          </w:tcPr>
          <w:p>
            <w:pPr>
              <w:spacing w:before="28" w:after="28"/>
            </w:pPr>
            <w:r>
              <w:rPr>
                <w:sz w:val="15"/>
                <w:szCs w:val="15"/>
              </w:rPr>
              <w:t xml:space="preserve">Total current liabilities</w:t>
            </w:r>
          </w:p>
        </w:tc>
        <w:tc>
          <w:tcPr>
            <w:tcW w:type="pct" w:w="1207"/>
            <w:tcMar>
              <w:top w:type="dxa" w:w="50"/>
              <w:left w:type="dxa" w:w="110"/>
              <w:bottom w:type="dxa" w:w="50"/>
              <w:right w:type="dxa" w:w="110"/>
            </w:tcMar>
          </w:tcPr>
          <w:p>
            <w:pPr>
              <w:spacing w:before="28" w:after="28"/>
            </w:pPr>
            <w:r>
              <w:rPr>
                <w:sz w:val="15"/>
                <w:szCs w:val="15"/>
              </w:rPr>
              <w:t xml:space="preserve">4,280,000</w:t>
            </w:r>
          </w:p>
        </w:tc>
        <w:tc>
          <w:tcPr>
            <w:tcW w:type="pct" w:w="1193"/>
            <w:tcMar>
              <w:top w:type="dxa" w:w="50"/>
              <w:left w:type="dxa" w:w="110"/>
              <w:bottom w:type="dxa" w:w="50"/>
              <w:right w:type="dxa" w:w="110"/>
            </w:tcMar>
          </w:tcPr>
          <w:p>
            <w:pPr>
              <w:spacing w:before="28" w:after="28"/>
            </w:pPr>
            <w:r>
              <w:rPr>
                <w:sz w:val="15"/>
                <w:szCs w:val="15"/>
              </w:rPr>
              <w:t xml:space="preserve">3,570,000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07"/>
            <w:shd w:fill="FBFAF6" w:val="clear"/>
            <w:tcMar>
              <w:top w:type="dxa" w:w="50"/>
              <w:left w:type="dxa" w:w="110"/>
              <w:bottom w:type="dxa" w:w="50"/>
              <w:right w:type="dxa" w:w="110"/>
            </w:tcMar>
          </w:tcPr>
          <w:p>
            <w:pPr>
              <w:spacing w:before="28" w:after="28"/>
            </w:pPr>
            <w:r>
              <w:rPr>
                <w:sz w:val="15"/>
                <w:szCs w:val="15"/>
              </w:rPr>
              <w:t xml:space="preserve">6,000,000</w:t>
            </w:r>
          </w:p>
        </w:tc>
        <w:tc>
          <w:tcPr>
            <w:tcW w:type="pct" w:w="1193"/>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07"/>
            <w:tcMar>
              <w:top w:type="dxa" w:w="50"/>
              <w:left w:type="dxa" w:w="110"/>
              <w:bottom w:type="dxa" w:w="50"/>
              <w:right w:type="dxa" w:w="110"/>
            </w:tcMar>
          </w:tcPr>
          <w:p>
            <w:pPr>
              <w:spacing w:before="28" w:after="28"/>
            </w:pPr>
            <w:r>
              <w:rPr>
                <w:sz w:val="15"/>
                <w:szCs w:val="15"/>
              </w:rPr>
              <w:t xml:space="preserve">999,625</w:t>
            </w:r>
          </w:p>
        </w:tc>
        <w:tc>
          <w:tcPr>
            <w:tcW w:type="pct" w:w="1193"/>
            <w:tcMar>
              <w:top w:type="dxa" w:w="50"/>
              <w:left w:type="dxa" w:w="110"/>
              <w:bottom w:type="dxa" w:w="50"/>
              <w:right w:type="dxa" w:w="110"/>
            </w:tcMar>
          </w:tcPr>
          <w:p>
            <w:pPr>
              <w:spacing w:before="28" w:after="28"/>
            </w:pPr>
            <w:r>
              <w:rPr>
                <w:sz w:val="15"/>
                <w:szCs w:val="15"/>
              </w:rPr>
              <w:t xml:space="preserve">900,000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207"/>
            <w:shd w:fill="FBFAF6" w:val="clear"/>
            <w:tcMar>
              <w:top w:type="dxa" w:w="50"/>
              <w:left w:type="dxa" w:w="110"/>
              <w:bottom w:type="dxa" w:w="50"/>
              <w:right w:type="dxa" w:w="110"/>
            </w:tcMar>
          </w:tcPr>
          <w:p>
            <w:pPr>
              <w:spacing w:before="28" w:after="28"/>
            </w:pPr>
            <w:r>
              <w:rPr>
                <w:sz w:val="15"/>
                <w:szCs w:val="15"/>
              </w:rPr>
              <w:t xml:space="preserve">11,279,625</w:t>
            </w:r>
          </w:p>
        </w:tc>
        <w:tc>
          <w:tcPr>
            <w:tcW w:type="pct" w:w="1193"/>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600"/>
            <w:tcMar>
              <w:top w:type="dxa" w:w="50"/>
              <w:left w:type="dxa" w:w="110"/>
              <w:bottom w:type="dxa" w:w="50"/>
              <w:right w:type="dxa" w:w="110"/>
            </w:tcMar>
          </w:tcPr>
          <w:p>
            <w:pPr>
              <w:spacing w:before="28" w:after="28"/>
            </w:pPr>
            <w:r>
              <w:rPr>
                <w:sz w:val="15"/>
                <w:szCs w:val="15"/>
              </w:rPr>
              <w:t xml:space="preserve">Commitments and contingencies (Note 12)</w:t>
            </w:r>
          </w:p>
        </w:tc>
        <w:tc>
          <w:tcPr>
            <w:tcW w:type="pct" w:w="1207"/>
            <w:tcMar>
              <w:top w:type="dxa" w:w="50"/>
              <w:left w:type="dxa" w:w="110"/>
              <w:bottom w:type="dxa" w:w="50"/>
              <w:right w:type="dxa" w:w="110"/>
            </w:tcMar>
          </w:tcPr>
          <w:p>
            <w:pPr>
              <w:spacing w:before="28" w:after="28"/>
            </w:pPr>
            <w:r>
              <w:rPr>
                <w:sz w:val="15"/>
                <w:szCs w:val="15"/>
              </w:rPr>
              <w:t xml:space="preserve"> </w:t>
            </w:r>
          </w:p>
        </w:tc>
        <w:tc>
          <w:tcPr>
            <w:tcW w:type="pct" w:w="1193"/>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207"/>
            <w:shd w:fill="FBFAF6" w:val="clear"/>
            <w:tcMar>
              <w:top w:type="dxa" w:w="50"/>
              <w:left w:type="dxa" w:w="110"/>
              <w:bottom w:type="dxa" w:w="50"/>
              <w:right w:type="dxa" w:w="110"/>
            </w:tcMar>
          </w:tcPr>
          <w:p>
            <w:pPr>
              <w:spacing w:before="28" w:after="28"/>
            </w:pPr>
            <w:r>
              <w:rPr>
                <w:sz w:val="15"/>
                <w:szCs w:val="15"/>
              </w:rPr>
              <w:t xml:space="preserve"> </w:t>
            </w:r>
          </w:p>
        </w:tc>
        <w:tc>
          <w:tcPr>
            <w:tcW w:type="pct" w:w="1193"/>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Common stock, $1 par; shares issued and outstanding: 2025 8,100,000, 2024 8,000,000</w:t>
            </w:r>
          </w:p>
        </w:tc>
        <w:tc>
          <w:tcPr>
            <w:tcW w:type="pct" w:w="1207"/>
            <w:tcMar>
              <w:top w:type="dxa" w:w="50"/>
              <w:left w:type="dxa" w:w="110"/>
              <w:bottom w:type="dxa" w:w="50"/>
              <w:right w:type="dxa" w:w="110"/>
            </w:tcMar>
          </w:tcPr>
          <w:p>
            <w:pPr>
              <w:spacing w:before="28" w:after="28"/>
            </w:pPr>
            <w:r>
              <w:rPr>
                <w:sz w:val="15"/>
                <w:szCs w:val="15"/>
              </w:rPr>
              <w:t xml:space="preserve">8,100,000</w:t>
            </w:r>
          </w:p>
        </w:tc>
        <w:tc>
          <w:tcPr>
            <w:tcW w:type="pct" w:w="1193"/>
            <w:tcMar>
              <w:top w:type="dxa" w:w="50"/>
              <w:left w:type="dxa" w:w="110"/>
              <w:bottom w:type="dxa" w:w="50"/>
              <w:right w:type="dxa" w:w="110"/>
            </w:tcMar>
          </w:tcPr>
          <w:p>
            <w:pPr>
              <w:spacing w:before="28" w:after="28"/>
            </w:pPr>
            <w:r>
              <w:rPr>
                <w:sz w:val="15"/>
                <w:szCs w:val="15"/>
              </w:rPr>
              <w:t xml:space="preserve">8,000,000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1207"/>
            <w:shd w:fill="FBFAF6" w:val="clear"/>
            <w:tcMar>
              <w:top w:type="dxa" w:w="50"/>
              <w:left w:type="dxa" w:w="110"/>
              <w:bottom w:type="dxa" w:w="50"/>
              <w:right w:type="dxa" w:w="110"/>
            </w:tcMar>
          </w:tcPr>
          <w:p>
            <w:pPr>
              <w:spacing w:before="28" w:after="28"/>
            </w:pPr>
            <w:r>
              <w:rPr>
                <w:sz w:val="15"/>
                <w:szCs w:val="15"/>
              </w:rPr>
              <w:t xml:space="preserve">5,400,000</w:t>
            </w:r>
          </w:p>
        </w:tc>
        <w:tc>
          <w:tcPr>
            <w:tcW w:type="pct" w:w="1193"/>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207"/>
            <w:tcMar>
              <w:top w:type="dxa" w:w="50"/>
              <w:left w:type="dxa" w:w="110"/>
              <w:bottom w:type="dxa" w:w="50"/>
              <w:right w:type="dxa" w:w="110"/>
            </w:tcMar>
          </w:tcPr>
          <w:p>
            <w:pPr>
              <w:spacing w:before="28" w:after="28"/>
            </w:pPr>
            <w:r>
              <w:rPr>
                <w:sz w:val="15"/>
                <w:szCs w:val="15"/>
              </w:rPr>
              <w:t xml:space="preserve">6,894,100</w:t>
            </w:r>
          </w:p>
        </w:tc>
        <w:tc>
          <w:tcPr>
            <w:tcW w:type="pct" w:w="1193"/>
            <w:tcMar>
              <w:top w:type="dxa" w:w="50"/>
              <w:left w:type="dxa" w:w="110"/>
              <w:bottom w:type="dxa" w:w="50"/>
              <w:right w:type="dxa" w:w="110"/>
            </w:tcMar>
          </w:tcPr>
          <w:p>
            <w:pPr>
              <w:spacing w:before="28" w:after="28"/>
            </w:pPr>
            <w:r>
              <w:rPr>
                <w:sz w:val="15"/>
                <w:szCs w:val="15"/>
              </w:rPr>
              <w:t xml:space="preserve">4,375,000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207"/>
            <w:shd w:fill="FBFAF6" w:val="clear"/>
            <w:tcMar>
              <w:top w:type="dxa" w:w="50"/>
              <w:left w:type="dxa" w:w="110"/>
              <w:bottom w:type="dxa" w:w="50"/>
              <w:right w:type="dxa" w:w="110"/>
            </w:tcMar>
          </w:tcPr>
          <w:p>
            <w:pPr>
              <w:spacing w:before="28" w:after="28"/>
            </w:pPr>
            <w:r>
              <w:rPr>
                <w:sz w:val="15"/>
                <w:szCs w:val="15"/>
              </w:rPr>
              <w:t xml:space="preserve">(1,125)</w:t>
            </w:r>
          </w:p>
        </w:tc>
        <w:tc>
          <w:tcPr>
            <w:tcW w:type="pct" w:w="1193"/>
            <w:shd w:fill="FBFAF6" w:val="clear"/>
            <w:tcMar>
              <w:top w:type="dxa" w:w="50"/>
              <w:left w:type="dxa" w:w="110"/>
              <w:bottom w:type="dxa" w:w="50"/>
              <w:right w:type="dxa" w:w="110"/>
            </w:tcMar>
          </w:tcPr>
          <w:p>
            <w:pPr>
              <w:spacing w:before="28" w:after="28"/>
            </w:pPr>
            <w:r>
              <w:rPr>
                <w:sz w:val="15"/>
                <w:szCs w:val="15"/>
              </w:rPr>
              <w:t xml:space="preserve">—</w:t>
            </w:r>
          </w:p>
        </w:tc>
      </w:tr>
      <w:tr>
        <w:tc>
          <w:tcPr>
            <w:tcW w:type="pct" w:w="2600"/>
            <w:tcMar>
              <w:top w:type="dxa" w:w="50"/>
              <w:left w:type="dxa" w:w="110"/>
              <w:bottom w:type="dxa" w:w="50"/>
              <w:right w:type="dxa" w:w="110"/>
            </w:tcMar>
          </w:tcPr>
          <w:p>
            <w:pPr>
              <w:spacing w:before="28" w:after="28"/>
            </w:pPr>
            <w:r>
              <w:rPr>
                <w:sz w:val="15"/>
                <w:szCs w:val="15"/>
              </w:rPr>
              <w:t xml:space="preserve">Total stockholders' equity</w:t>
            </w:r>
          </w:p>
        </w:tc>
        <w:tc>
          <w:tcPr>
            <w:tcW w:type="pct" w:w="1207"/>
            <w:tcMar>
              <w:top w:type="dxa" w:w="50"/>
              <w:left w:type="dxa" w:w="110"/>
              <w:bottom w:type="dxa" w:w="50"/>
              <w:right w:type="dxa" w:w="110"/>
            </w:tcMar>
          </w:tcPr>
          <w:p>
            <w:pPr>
              <w:spacing w:before="28" w:after="28"/>
            </w:pPr>
            <w:r>
              <w:rPr>
                <w:sz w:val="15"/>
                <w:szCs w:val="15"/>
              </w:rPr>
              <w:t xml:space="preserve">20,392,975</w:t>
            </w:r>
          </w:p>
        </w:tc>
        <w:tc>
          <w:tcPr>
            <w:tcW w:type="pct" w:w="1193"/>
            <w:tcMar>
              <w:top w:type="dxa" w:w="50"/>
              <w:left w:type="dxa" w:w="110"/>
              <w:bottom w:type="dxa" w:w="50"/>
              <w:right w:type="dxa" w:w="110"/>
            </w:tcMar>
          </w:tcPr>
          <w:p>
            <w:pPr>
              <w:spacing w:before="28" w:after="28"/>
            </w:pPr>
            <w:r>
              <w:rPr>
                <w:sz w:val="15"/>
                <w:szCs w:val="15"/>
              </w:rPr>
              <w:t xml:space="preserve">16,375,000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207"/>
            <w:shd w:fill="FBFAF6" w:val="clear"/>
            <w:tcMar>
              <w:top w:type="dxa" w:w="50"/>
              <w:left w:type="dxa" w:w="110"/>
              <w:bottom w:type="dxa" w:w="50"/>
              <w:right w:type="dxa" w:w="110"/>
            </w:tcMar>
          </w:tcPr>
          <w:p>
            <w:pPr>
              <w:spacing w:before="28" w:after="28"/>
            </w:pPr>
            <w:r>
              <w:rPr>
                <w:sz w:val="15"/>
                <w:szCs w:val="15"/>
              </w:rPr>
              <w:t xml:space="preserve">31,672,600</w:t>
            </w:r>
          </w:p>
        </w:tc>
        <w:tc>
          <w:tcPr>
            <w:tcW w:type="pct" w:w="1193"/>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Assets held for sale   ·   Contract liabilities   ·   Trading securities   ·   Goodwill   ·   Long-term debt, less current portion   ·   Retained earnings   ·   Accumulated other comprehensive income (loss)   ·   Equity-method investments   ·   Inventory   ·   Income taxes payable   ·   Deferred tax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21–24</w:t>
      </w:r>
    </w:p>
    <w:p>
      <w:pPr>
        <w:spacing w:before="20" w:after="20" w:line="360" w:lineRule="auto"/>
        <w:ind w:left="200"/>
      </w:pPr>
      <w:r>
        <w:rPr>
          <w:sz w:val="19"/>
          <w:szCs w:val="19"/>
        </w:rPr>
        <w:t xml:space="preserve">Current assets come first, from cash down to assets held for sale. </w:t>
      </w:r>
      <w:r>
        <w:rPr>
          <w:sz w:val="19"/>
          <w:szCs w:val="19"/>
        </w:rPr>
        <w:t xml:space="preserve">Then come the noncurrent assets: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contingencies   ·   liquidity   ·   depreciation   ·   investments   ·   Liabilities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liabilities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Contract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Accumulated other comprehensive income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subtotal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Assets held for sale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Equity-method 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principal is due within a year. </w:t>
      </w:r>
      <w:r>
        <w:rPr>
          <w:sz w:val="19"/>
          <w:szCs w:val="19"/>
        </w:rPr>
        <w:t xml:space="preserve">Two measures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prepayments   ·   investments   ·   average   ·   current liabilities   ·   collecting   ·   creating   ·   obligations   ·   whichever   ·   liability   ·   Restricted   ·   noncurrent</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working 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15–17</w:t>
      </w:r>
    </w:p>
    <w:p>
      <w:pPr>
        <w:spacing w:before="20" w:after="20" w:line="360" w:lineRule="auto"/>
        <w:ind w:left="200"/>
      </w:pPr>
      <w:r>
        <w:rPr>
          <w:sz w:val="19"/>
          <w:szCs w:val="19"/>
        </w:rPr>
        <w:t xml:space="preserve">Paying a supplier in cash reduces current assets and current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debt from current to noncurrent increases working capital and the current ratio. </w:t>
      </w:r>
      <w:r>
        <w:rPr>
          <w:sz w:val="19"/>
          <w:szCs w:val="19"/>
        </w:rPr>
        <w:t xml:space="preserve">Use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current assets   ·   Reclassifying   ·   liabilities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spacing w:before="44" w:after="14"/>
      </w:pPr>
      <w:r>
        <w:rPr>
          <w:b/>
          <w:bCs/>
          <w:color w:val="353A7C"/>
          <w:sz w:val="18"/>
          <w:szCs w:val="18"/>
        </w:rPr>
        <w:t xml:space="preserve">Summary 4</w:t>
      </w:r>
      <w:r>
        <w:rPr>
          <w:color w:val="6B7280"/>
          <w:sz w:val="16"/>
          <w:szCs w:val="16"/>
        </w:rPr>
        <w:t xml:space="preserve">      gaps 18–22</w:t>
      </w:r>
    </w:p>
    <w:p>
      <w:pPr>
        <w:spacing w:before="20" w:after="20" w:line="360" w:lineRule="auto"/>
        <w:ind w:left="200"/>
      </w:pPr>
      <w:r>
        <w:rPr>
          <w:sz w:val="19"/>
          <w:szCs w:val="19"/>
        </w:rPr>
        <w:t xml:space="preserve">Next year's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working capital   ·   delivery   ·   installment   ·   expects   ·   equity-method</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2"/>
        <w:gridCol w:w="1072"/>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558"/>
            <w:tcMar>
              <w:top w:type="dxa" w:w="50"/>
              <w:left w:type="dxa" w:w="110"/>
              <w:bottom w:type="dxa" w:w="50"/>
              <w:right w:type="dxa" w:w="110"/>
            </w:tcMar>
          </w:tcPr>
          <w:p>
            <w:pPr>
              <w:spacing w:before="26" w:after="26"/>
            </w:pPr>
            <w:r>
              <w:rPr>
                <w:b/>
                <w:bCs/>
                <w:color w:val="353A7C"/>
                <w:sz w:val="15"/>
                <w:szCs w:val="15"/>
              </w:rPr>
              <w:t xml:space="preserve">Item</w:t>
            </w:r>
          </w:p>
        </w:tc>
        <w:tc>
          <w:tcPr>
            <w:tcW w:type="pct" w:w="558"/>
            <w:tcMar>
              <w:top w:type="dxa" w:w="50"/>
              <w:left w:type="dxa" w:w="110"/>
              <w:bottom w:type="dxa" w:w="50"/>
              <w:right w:type="dxa" w:w="110"/>
            </w:tcMar>
          </w:tcPr>
          <w:p>
            <w:pPr>
              <w:spacing w:before="26" w:after="26"/>
            </w:pPr>
            <w:r>
              <w:rPr>
                <w:b/>
                <w:bCs/>
                <w:color w:val="353A7C"/>
                <w:sz w:val="15"/>
                <w:szCs w:val="15"/>
              </w:rPr>
              <w:t xml:space="preserve">Classification</w:t>
            </w:r>
          </w:p>
        </w:tc>
        <w:tc>
          <w:tcPr>
            <w:tcW w:type="pct" w:w="1883"/>
            <w:tcMar>
              <w:top w:type="dxa" w:w="50"/>
              <w:left w:type="dxa" w:w="110"/>
              <w:bottom w:type="dxa" w:w="50"/>
              <w:right w:type="dxa" w:w="110"/>
            </w:tcMar>
          </w:tcPr>
          <w:p>
            <w:pPr>
              <w:spacing w:before="26" w:after="26"/>
            </w:pPr>
            <w:r>
              <w:rPr>
                <w:b/>
                <w:bCs/>
                <w:color w:val="353A7C"/>
                <w:sz w:val="15"/>
                <w:szCs w:val="15"/>
              </w:rPr>
              <w:t xml:space="preserve">Reason</w:t>
            </w:r>
          </w:p>
        </w:tc>
      </w:tr>
      <w:tr>
        <w:tc>
          <w:tcPr>
            <w:tcW w:type="pct" w:w="2558"/>
            <w:tcMar>
              <w:top w:type="dxa" w:w="50"/>
              <w:left w:type="dxa" w:w="110"/>
              <w:bottom w:type="dxa" w:w="50"/>
              <w:right w:type="dxa" w:w="110"/>
            </w:tcMar>
          </w:tcPr>
          <w:p>
            <w:pPr>
              <w:spacing w:before="26" w:after="26"/>
            </w:pPr>
            <w:r>
              <w:rPr>
                <w:color w:val="232733"/>
                <w:sz w:val="16"/>
                <w:szCs w:val="16"/>
              </w:rPr>
              <w:t xml:space="preserve">Cash set aside in a sinking fund to repay bonds in 2029</w:t>
            </w:r>
          </w:p>
        </w:tc>
        <w:tc>
          <w:tcPr>
            <w:tcW w:type="pct" w:w="558"/>
            <w:tcMar>
              <w:top w:type="dxa" w:w="50"/>
              <w:left w:type="dxa" w:w="110"/>
              <w:bottom w:type="dxa" w:w="50"/>
              <w:right w:type="dxa" w:w="110"/>
            </w:tcMar>
          </w:tcPr>
          <w:p>
            <w:pPr>
              <w:spacing w:before="26" w:after="26"/>
            </w:pPr>
            <w:r>
              <w:rPr>
                <w:color w:val="232733"/>
                <w:sz w:val="16"/>
                <w:szCs w:val="16"/>
              </w:rPr>
              <w:t xml:space="preserve">Noncurrent asset</w:t>
            </w:r>
          </w:p>
        </w:tc>
        <w:tc>
          <w:tcPr>
            <w:tcW w:type="pct" w:w="1883"/>
            <w:tcMar>
              <w:top w:type="dxa" w:w="50"/>
              <w:left w:type="dxa" w:w="110"/>
              <w:bottom w:type="dxa" w:w="50"/>
              <w:right w:type="dxa" w:w="110"/>
            </w:tcMar>
          </w:tcPr>
          <w:p>
            <w:pPr>
              <w:spacing w:before="26" w:after="26"/>
            </w:pPr>
            <w:r>
              <w:rPr>
                <w:color w:val="232733"/>
                <w:sz w:val="16"/>
                <w:szCs w:val="16"/>
              </w:rPr>
              <w:t xml:space="preserve">Restricted for a noncurrent purpose</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Date vinegar that Orontes ages for 18 months before sale</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Current asset</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The operating cycle is longer than one year, so the cycle applies</w:t>
            </w:r>
          </w:p>
        </w:tc>
      </w:tr>
      <w:tr>
        <w:tc>
          <w:tcPr>
            <w:tcW w:type="pct" w:w="2558"/>
            <w:tcMar>
              <w:top w:type="dxa" w:w="50"/>
              <w:left w:type="dxa" w:w="110"/>
              <w:bottom w:type="dxa" w:w="50"/>
              <w:right w:type="dxa" w:w="110"/>
            </w:tcMar>
          </w:tcPr>
          <w:p>
            <w:pPr>
              <w:spacing w:before="26" w:after="26"/>
            </w:pPr>
            <w:r>
              <w:rPr>
                <w:color w:val="232733"/>
                <w:sz w:val="16"/>
                <w:szCs w:val="16"/>
              </w:rPr>
              <w:t xml:space="preserve">Cash surrender value of an executive life insurance policy</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Bank loan due on demand; the bank has never asked for repayment</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tcMar>
              <w:top w:type="dxa" w:w="50"/>
              <w:left w:type="dxa" w:w="110"/>
              <w:bottom w:type="dxa" w:w="50"/>
              <w:right w:type="dxa" w:w="110"/>
            </w:tcMar>
          </w:tcPr>
          <w:p>
            <w:pPr>
              <w:spacing w:before="26" w:after="26"/>
            </w:pPr>
            <w:r>
              <w:rPr>
                <w:color w:val="232733"/>
                <w:sz w:val="16"/>
                <w:szCs w:val="16"/>
              </w:rPr>
              <w:t xml:space="preserve">Deferred tax asset from warranty costs expected to reverse next year</w:t>
            </w:r>
          </w:p>
        </w:tc>
        <w:tc>
          <w:tcPr>
            <w:tcW w:type="pct" w:w="558"/>
            <w:tcMar>
              <w:top w:type="dxa" w:w="50"/>
              <w:left w:type="dxa" w:w="110"/>
              <w:bottom w:type="dxa" w:w="50"/>
              <w:right w:type="dxa" w:w="110"/>
            </w:tcMar>
          </w:tcPr>
          <w:p>
            <w:pPr>
              <w:spacing w:before="26" w:after="26"/>
            </w:pPr>
            <w:r>
              <w:rPr>
                <w:color w:val="232733"/>
                <w:sz w:val="16"/>
                <w:szCs w:val="16"/>
              </w:rPr>
              <w:t xml:space="preserve">________</w:t>
            </w:r>
          </w:p>
        </w:tc>
        <w:tc>
          <w:tcPr>
            <w:tcW w:type="pct" w:w="1883"/>
            <w:tcMar>
              <w:top w:type="dxa" w:w="50"/>
              <w:left w:type="dxa" w:w="110"/>
              <w:bottom w:type="dxa" w:w="50"/>
              <w:right w:type="dxa" w:w="110"/>
            </w:tcMar>
          </w:tcPr>
          <w:p>
            <w:pPr>
              <w:spacing w:before="26" w:after="26"/>
            </w:pPr>
            <w:r>
              <w:rPr>
                <w:color w:val="232733"/>
                <w:sz w:val="16"/>
                <w:szCs w:val="16"/>
              </w:rPr>
              <w:t xml:space="preserve">________</w:t>
            </w:r>
          </w:p>
        </w:tc>
      </w:tr>
      <w:tr>
        <w:tc>
          <w:tcPr>
            <w:tcW w:type="pct" w:w="2558"/>
            <w:shd w:fill="FBFAF6" w:val="clear"/>
            <w:tcMar>
              <w:top w:type="dxa" w:w="50"/>
              <w:left w:type="dxa" w:w="110"/>
              <w:bottom w:type="dxa" w:w="50"/>
              <w:right w:type="dxa" w:w="110"/>
            </w:tcMar>
          </w:tcPr>
          <w:p>
            <w:pPr>
              <w:spacing w:before="26" w:after="26"/>
            </w:pPr>
            <w:r>
              <w:rPr>
                <w:color w:val="232733"/>
                <w:sz w:val="16"/>
                <w:szCs w:val="16"/>
              </w:rPr>
              <w:t xml:space="preserve">Customer deposits for orders to be delivered next month</w:t>
            </w:r>
          </w:p>
        </w:tc>
        <w:tc>
          <w:tcPr>
            <w:tcW w:type="pct" w:w="558"/>
            <w:shd w:fill="FBFAF6" w:val="clear"/>
            <w:tcMar>
              <w:top w:type="dxa" w:w="50"/>
              <w:left w:type="dxa" w:w="110"/>
              <w:bottom w:type="dxa" w:w="50"/>
              <w:right w:type="dxa" w:w="110"/>
            </w:tcMar>
          </w:tcPr>
          <w:p>
            <w:pPr>
              <w:spacing w:before="26" w:after="26"/>
            </w:pPr>
            <w:r>
              <w:rPr>
                <w:color w:val="232733"/>
                <w:sz w:val="16"/>
                <w:szCs w:val="16"/>
              </w:rPr>
              <w:t xml:space="preserve">________</w:t>
            </w:r>
          </w:p>
        </w:tc>
        <w:tc>
          <w:tcPr>
            <w:tcW w:type="pct" w:w="1883"/>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ratio   ·   operating cycle   ·   current liabilities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r>
        <w:rPr>
          <w:sz w:val="19"/>
          <w:szCs w:val="19"/>
        </w:rPr>
        <w:t xml:space="preserve">Debt that is due on demand is always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refinancing   ·   Orontes   ·   classification   ·   statements   ·   expect   ·   installments   ·   agreements   ·   callable   ·   repayment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130"/>
        <w:gridCol w:w="247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109"/>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291"/>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6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10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91"/>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109"/>
            <w:shd w:fill="FBFAF6" w:val="clear"/>
            <w:tcMar>
              <w:top w:type="dxa" w:w="50"/>
              <w:left w:type="dxa" w:w="110"/>
              <w:bottom w:type="dxa" w:w="50"/>
              <w:right w:type="dxa" w:w="110"/>
            </w:tcMar>
          </w:tcPr>
          <w:p>
            <w:pPr>
              <w:spacing w:before="28" w:after="28"/>
            </w:pPr>
            <w:r>
              <w:rPr>
                <w:sz w:val="15"/>
                <w:szCs w:val="15"/>
              </w:rPr>
              <w:t xml:space="preserve">Noncurrent</w:t>
            </w:r>
          </w:p>
        </w:tc>
        <w:tc>
          <w:tcPr>
            <w:tcW w:type="pct" w:w="1291"/>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6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109"/>
            <w:tcMar>
              <w:top w:type="dxa" w:w="50"/>
              <w:left w:type="dxa" w:w="110"/>
              <w:bottom w:type="dxa" w:w="50"/>
              <w:right w:type="dxa" w:w="110"/>
            </w:tcMar>
          </w:tcPr>
          <w:p>
            <w:pPr>
              <w:spacing w:before="28" w:after="28"/>
            </w:pPr>
            <w:r>
              <w:rPr>
                <w:sz w:val="15"/>
                <w:szCs w:val="15"/>
              </w:rPr>
              <w:t xml:space="preserve">Noncurrent</w:t>
            </w:r>
          </w:p>
        </w:tc>
        <w:tc>
          <w:tcPr>
            <w:tcW w:type="pct" w:w="1291"/>
            <w:tcMar>
              <w:top w:type="dxa" w:w="50"/>
              <w:left w:type="dxa" w:w="110"/>
              <w:bottom w:type="dxa" w:w="50"/>
              <w:right w:type="dxa" w:w="110"/>
            </w:tcMar>
          </w:tcPr>
          <w:p>
            <w:pPr>
              <w:spacing w:before="28" w:after="28"/>
            </w:pPr>
            <w:r>
              <w:rPr>
                <w:sz w:val="15"/>
                <w:szCs w:val="15"/>
              </w:rPr>
              <w:t xml:space="preserve">Noncurrent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109"/>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291"/>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Subjective acceleration clause</w:t>
            </w:r>
          </w:p>
        </w:tc>
        <w:tc>
          <w:tcPr>
            <w:tcW w:type="pct" w:w="1109"/>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291"/>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10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91"/>
            <w:shd w:fill="FBFAF6" w:val="clear"/>
            <w:tcMar>
              <w:top w:type="dxa" w:w="50"/>
              <w:left w:type="dxa" w:w="110"/>
              <w:bottom w:type="dxa" w:w="50"/>
              <w:right w:type="dxa" w:w="110"/>
            </w:tcMar>
          </w:tcPr>
          <w:p>
            <w:pPr>
              <w:spacing w:before="28" w:after="28"/>
            </w:pPr>
            <w:r>
              <w:rPr>
                <w:sz w:val="15"/>
                <w:szCs w:val="15"/>
              </w:rPr>
              <w:t xml:space="preserve">All non-current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only if acceleration is probable   ·   Noncurrent (intent and demonstrated ability)   ·   All noncurrent   ·   Ignored unless it removes the right to defer   ·   Noncurrent; disclose the risk</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The FASB proposed a simpler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debt-classification   ·   waiver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Refinanced after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waiver   ·   year-end   ·   demand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restricted cash   ·   callable debt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Noncurrent (intent and demonstrated 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Noncurrent; disclose the risk</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Ignored unless it removes the right to defer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waiver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 Debt that is due on demand is always current.</w:t>
      </w:r>
    </w:p>
    <w:p>
      <w:pPr>
        <w:spacing w:before="20" w:after="20"/>
        <w:ind w:left="240" w:hanging="240"/>
      </w:pPr>
      <w:r>
        <w:rPr>
          <w:b/>
          <w:bCs/>
          <w:color w:val="353A7C"/>
          <w:sz w:val="15"/>
          <w:szCs w:val="15"/>
        </w:rPr>
        <w:t xml:space="preserve">Summary 2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3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enforceable.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appears   ·   long-term   ·   noncurrent   ·   loss contingency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201"/>
        <w:gridCol w:w="4726"/>
        <w:gridCol w:w="367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626"/>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461"/>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1913"/>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626"/>
            <w:tcMar>
              <w:top w:type="dxa" w:w="50"/>
              <w:left w:type="dxa" w:w="110"/>
              <w:bottom w:type="dxa" w:w="50"/>
              <w:right w:type="dxa" w:w="110"/>
            </w:tcMar>
          </w:tcPr>
          <w:p>
            <w:pPr>
              <w:spacing w:before="28" w:after="28"/>
            </w:pPr>
            <w:r>
              <w:rPr>
                <w:sz w:val="15"/>
                <w:szCs w:val="15"/>
              </w:rPr>
              <w:t xml:space="preserve">Probable</w:t>
            </w:r>
          </w:p>
        </w:tc>
        <w:tc>
          <w:tcPr>
            <w:tcW w:type="pct" w:w="2461"/>
            <w:tcMar>
              <w:top w:type="dxa" w:w="50"/>
              <w:left w:type="dxa" w:w="110"/>
              <w:bottom w:type="dxa" w:w="50"/>
              <w:right w:type="dxa" w:w="110"/>
            </w:tcMar>
          </w:tcPr>
          <w:p>
            <w:pPr>
              <w:spacing w:before="28" w:after="28"/>
            </w:pPr>
            <w:r>
              <w:rPr>
                <w:sz w:val="15"/>
                <w:szCs w:val="15"/>
              </w:rPr>
              <w:t xml:space="preserve">Accrue a liability and a loss (best estimate; if no best estimate, the minimum of the range)</w:t>
            </w:r>
          </w:p>
        </w:tc>
        <w:tc>
          <w:tcPr>
            <w:tcW w:type="pct" w:w="1913"/>
            <w:tcMar>
              <w:top w:type="dxa" w:w="50"/>
              <w:left w:type="dxa" w:w="110"/>
              <w:bottom w:type="dxa" w:w="50"/>
              <w:right w:type="dxa" w:w="110"/>
            </w:tcMar>
          </w:tcPr>
          <w:p>
            <w:pPr>
              <w:spacing w:before="28" w:after="28"/>
            </w:pPr>
            <w:r>
              <w:rPr>
                <w:sz w:val="15"/>
                <w:szCs w:val="15"/>
              </w:rPr>
              <w:t xml:space="preserve">Accrue and disclose</w:t>
            </w:r>
          </w:p>
        </w:tc>
      </w:tr>
      <w:tr>
        <w:tc>
          <w:tcPr>
            <w:tcW w:type="pct" w:w="626"/>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461"/>
            <w:shd w:fill="FBFAF6" w:val="clear"/>
            <w:tcMar>
              <w:top w:type="dxa" w:w="50"/>
              <w:left w:type="dxa" w:w="110"/>
              <w:bottom w:type="dxa" w:w="50"/>
              <w:right w:type="dxa" w:w="110"/>
            </w:tcMar>
          </w:tcPr>
          <w:p>
            <w:pPr>
              <w:spacing w:before="28" w:after="28"/>
            </w:pPr>
            <w:r>
              <w:rPr>
                <w:sz w:val="15"/>
                <w:szCs w:val="15"/>
              </w:rPr>
              <w:t xml:space="preserve">No accrual</w:t>
            </w:r>
          </w:p>
        </w:tc>
        <w:tc>
          <w:tcPr>
            <w:tcW w:type="pct" w:w="1913"/>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estimated)</w:t>
            </w:r>
          </w:p>
        </w:tc>
      </w:tr>
      <w:tr>
        <w:tc>
          <w:tcPr>
            <w:tcW w:type="pct" w:w="626"/>
            <w:tcMar>
              <w:top w:type="dxa" w:w="50"/>
              <w:left w:type="dxa" w:w="110"/>
              <w:bottom w:type="dxa" w:w="50"/>
              <w:right w:type="dxa" w:w="110"/>
            </w:tcMar>
          </w:tcPr>
          <w:p>
            <w:pPr>
              <w:spacing w:before="28" w:after="28"/>
            </w:pPr>
            <w:r>
              <w:rPr>
                <w:sz w:val="15"/>
                <w:szCs w:val="15"/>
              </w:rPr>
              <w:t xml:space="preserve">Remote</w:t>
            </w:r>
          </w:p>
        </w:tc>
        <w:tc>
          <w:tcPr>
            <w:tcW w:type="pct" w:w="2461"/>
            <w:tcMar>
              <w:top w:type="dxa" w:w="50"/>
              <w:left w:type="dxa" w:w="110"/>
              <w:bottom w:type="dxa" w:w="50"/>
              <w:right w:type="dxa" w:w="110"/>
            </w:tcMar>
          </w:tcPr>
          <w:p>
            <w:pPr>
              <w:spacing w:before="28" w:after="28"/>
            </w:pPr>
            <w:r>
              <w:rPr>
                <w:sz w:val="15"/>
                <w:szCs w:val="15"/>
              </w:rPr>
              <w:t xml:space="preserve">No accrual</w:t>
            </w:r>
          </w:p>
        </w:tc>
        <w:tc>
          <w:tcPr>
            <w:tcW w:type="pct" w:w="1913"/>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626"/>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461"/>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913"/>
            <w:shd w:fill="FBFAF6" w:val="clear"/>
            <w:tcMar>
              <w:top w:type="dxa" w:w="50"/>
              <w:left w:type="dxa" w:w="110"/>
              <w:bottom w:type="dxa" w:w="50"/>
              <w:right w:type="dxa" w:w="110"/>
            </w:tcMar>
          </w:tcPr>
          <w:p>
            <w:pPr>
              <w:spacing w:before="28" w:after="28"/>
            </w:pPr>
            <w:r>
              <w:rPr>
                <w:sz w:val="15"/>
                <w:szCs w:val="15"/>
              </w:rPr>
              <w:t xml:space="preserve">Disclose carefully, without misleading</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disclosure (except guarantees)   ·   Accrue and disclose   ·   Never recognized before it is realized</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Finally, the notes begin with a summary of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not an extra. </w:t>
      </w:r>
      <w:r>
        <w:rPr>
          <w:sz w:val="19"/>
          <w:szCs w:val="19"/>
        </w:rPr>
        <w:t xml:space="preserve">IFRS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midpoint;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depreciation   ·   significant   ·   provision   ·   right of setoff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Arabic مخصص can mean an allowance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 provision (a liability) or even a reserve 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(احتياطي). </w:t>
      </w:r>
      <w:r>
        <w:rPr>
          <w:sz w:val="19"/>
          <w:szCs w:val="19"/>
        </w:rPr>
        <w:t xml:space="preserve">In U.S. GAAP answers, use allowance for contra-assets, accrued liability or loss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right of setoff   ·   contingency   ·   equity   ·   contra-asset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solvency   ·   loss contingency   ·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Never recognized before it is 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w:t>
      </w:r>
    </w:p>
    <w:p>
      <w:pPr>
        <w:spacing w:before="20" w:after="20"/>
        <w:ind w:left="240" w:hanging="240"/>
      </w:pPr>
      <w:r>
        <w:rPr>
          <w:b/>
          <w:bCs/>
          <w:color w:val="353A7C"/>
          <w:sz w:val="15"/>
          <w:szCs w:val="15"/>
        </w:rPr>
        <w:t xml:space="preserve">Summary 2   </w:t>
      </w:r>
      <w:r>
        <w:rPr>
          <w:color w:val="6B7280"/>
          <w:sz w:val="15"/>
          <w:szCs w:val="15"/>
        </w:rPr>
        <w:t xml:space="preserve">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Arabic مخصص can mean an allowance (a contra-asset), a provision (a liability) or even a reserve in equity (احتياطي). In U.S. GAAP answers, use allowance for contra-assets, accrued liability or loss contingency for liabilities, and never call either a reserve.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Orontes's land and buildings are shown at what they cost years ago. </w:t>
      </w:r>
      <w:r>
        <w:rPr>
          <w:sz w:val="19"/>
          <w:szCs w:val="19"/>
        </w:rPr>
        <w:t xml:space="preserve">Many amounts depend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the allowance for credit losses and useful lives.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resources are missing.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developed brands, customer loyalty and a skilled workforce are not recorded, so the balance sheet usually shows much less than the market value of the company. </w:t>
      </w:r>
      <w:r>
        <w:rPr>
          <w:sz w:val="19"/>
          <w:szCs w:val="19"/>
        </w:rPr>
        <w:t xml:space="preserve">Some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too. </w:t>
      </w:r>
      <w:r>
        <w:rPr>
          <w:sz w:val="19"/>
          <w:szCs w:val="19"/>
        </w:rPr>
        <w:t xml:space="preserve">Other comprehensive income works the same way. </w:t>
      </w:r>
      <w:r>
        <w:rPr>
          <w:sz w:val="19"/>
          <w:szCs w:val="19"/>
        </w:rPr>
        <w:t xml:space="preserve">Orontes's OCI of $(1,125) does not go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earnings. </w:t>
      </w:r>
      <w:r>
        <w:rPr>
          <w:sz w:val="19"/>
          <w:szCs w:val="19"/>
        </w:rPr>
        <w:t xml:space="preserve">It goes into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historical   ·   retained   ·   Internally   ·   estimates   ·   Finally   ·   statements   ·   obligations   ·   suppliers   ·   loss contingency   ·   Important   ·   valuation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Total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   ·   waiver   ·   stockholders</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3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236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Dividends payable   ·   Equipment   ·   subsequent events   ·   Additional paid-in capital   ·   Allowance for credit losses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Cash surrender value</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it is not expected to be turned into cash in the operating cycle.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Loan due on demand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debt due on demand is current, whatever the bank's expected behaviour.</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tcMar>
              <w:top w:type="dxa" w:w="50"/>
              <w:left w:type="dxa" w:w="110"/>
              <w:bottom w:type="dxa" w:w="50"/>
              <w:right w:type="dxa" w:w="110"/>
            </w:tcMar>
          </w:tcPr>
          <w:p>
            <w:pPr>
              <w:spacing w:before="26" w:after="26"/>
            </w:pPr>
            <w:r>
              <w:rPr>
                <w:color w:val="232733"/>
                <w:sz w:val="16"/>
                <w:szCs w:val="16"/>
              </w:rPr>
              <w:t xml:space="preserve">Noncurrent asset: all deferred taxes are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Current liability (contract liability): it will be settled by delivering goods within a year.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tcMar>
              <w:top w:type="dxa" w:w="50"/>
              <w:left w:type="dxa" w:w="110"/>
              <w:bottom w:type="dxa" w:w="50"/>
              <w:right w:type="dxa" w:w="110"/>
            </w:tcMar>
          </w:tcPr>
          <w:p>
            <w:pPr>
              <w:spacing w:before="28" w:after="28"/>
            </w:pPr>
            <w:r>
              <w:rPr>
                <w:sz w:val="15"/>
                <w:szCs w:val="15"/>
              </w:rPr>
              <w:t xml:space="preserve">Equity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Equity   ·   Noncurrent asset</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Current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2   </w:t>
      </w:r>
      <w:r>
        <w:rPr>
          <w:color w:val="6B7280"/>
          <w:sz w:val="15"/>
          <w:szCs w:val="15"/>
        </w:rPr>
        <w:t xml:space="preserve">Total stockholders' equity is a book amount. It is not what the company is worth, and it is not the market value of the shares.</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063596448f985b8ceb2ac9ed84e892dc3c71f78.png" Type="http://schemas.openxmlformats.org/officeDocument/2006/relationships/image"/><Relationship Id="rId102" Target="media/ac046f42b37bc56f9eb2658401c643f36778ee3d.png" Type="http://schemas.openxmlformats.org/officeDocument/2006/relationships/image"/><Relationship Id="rId103" Target="media/080f3b8ab4d93aa94b063a7cf46228c3b30ab744.png" Type="http://schemas.openxmlformats.org/officeDocument/2006/relationships/image"/><Relationship Id="rId104" Target="media/c7e8dbad02110c70cb1cb1efa9dc8bd62e157d95.png" Type="http://schemas.openxmlformats.org/officeDocument/2006/relationships/image"/><Relationship Id="rId105" Target="media/61ac96ebda280244e9cf00511f78b8d6a6a7328e.png" Type="http://schemas.openxmlformats.org/officeDocument/2006/relationships/image"/><Relationship Id="rId106" Target="media/f77de4f85a1b6a3a8a1295e78617ea7793feee3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2</dc:title>
  <dc:subject>Summary handouts</dc:subject>
  <cp:category>Student Book</cp:category>
</cp:coreProperties>
</file>