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Purpose and structure of the statement of cash flows</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59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591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method   ·   Classifying cash flows   ·   Limitations and links between the four stateme</w:t>
            </w:r>
          </w:p>
        </w:tc>
      </w:tr>
    </w:tbl>
    <w:p/>
    <w:p>
      <w:pPr>
        <w:spacing w:before="44" w:after="14"/>
      </w:pPr>
      <w:r>
        <w:rPr>
          <w:b/>
          <w:bCs/>
          <w:color w:val="353A7C"/>
          <w:sz w:val="18"/>
          <w:szCs w:val="18"/>
        </w:rPr>
        <w:t xml:space="preserve">Summary 1</w:t>
      </w:r>
      <w:r>
        <w:rPr>
          <w:color w:val="6B7280"/>
          <w:sz w:val="16"/>
          <w:szCs w:val="16"/>
        </w:rPr>
        <w:t xml:space="preserve">      gaps 3–8</w:t>
      </w:r>
    </w:p>
    <w:p>
      <w:pPr>
        <w:spacing w:before="20" w:after="20" w:line="360" w:lineRule="auto"/>
        <w:ind w:left="200"/>
      </w:pPr>
      <w:r>
        <w:rPr>
          <w:sz w:val="19"/>
          <w:szCs w:val="19"/>
        </w:rPr>
        <w:t xml:space="preserve">The statement of cash flows reports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cash receipts and cash payments for a period. </w:t>
      </w:r>
      <w:r>
        <w:rPr>
          <w:sz w:val="19"/>
          <w:szCs w:val="19"/>
        </w:rPr>
        <w:t xml:space="preserve">Users need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profit is not cash. </w:t>
      </w:r>
      <w:r>
        <w:rPr>
          <w:sz w:val="19"/>
          <w:szCs w:val="19"/>
        </w:rPr>
        <w:t xml:space="preserve">It helps them judge whether the company can produce cash, pay its debts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fund its growth without new financing. </w:t>
      </w:r>
      <w:r>
        <w:rPr>
          <w:sz w:val="19"/>
          <w:szCs w:val="19"/>
        </w:rPr>
        <w:t xml:space="preserve">The statement explains the change in cash, cash equivalents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cash together. </w:t>
      </w:r>
      <w:r>
        <w:rPr>
          <w:sz w:val="19"/>
          <w:szCs w:val="19"/>
        </w:rPr>
        <w:t xml:space="preserve">Cash equivalents are short-term, highly liquid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with an original maturity to the holder of three months or less. </w:t>
      </w:r>
      <w:r>
        <w:rPr>
          <w:sz w:val="19"/>
          <w:szCs w:val="19"/>
        </w:rPr>
        <w:t xml:space="preserve">Moving money between these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not a cash flow.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investments   ·   company's   ·   restricted   ·   cash equivalents   ·   dividends   ·   categories   ·   because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 statement of cash flows (indirect method), 2025</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tcMar>
              <w:top w:type="dxa" w:w="50"/>
              <w:left w:type="dxa" w:w="110"/>
              <w:bottom w:type="dxa" w:w="50"/>
              <w:right w:type="dxa" w:w="110"/>
            </w:tcMar>
          </w:tcPr>
          <w:p>
            <w:pPr>
              <w:spacing w:before="26" w:after="26"/>
            </w:pPr>
            <w:r>
              <w:rPr>
                <w:color w:val="232733"/>
                <w:sz w:val="16"/>
                <w:szCs w:val="16"/>
              </w:rPr>
              <w:t xml:space="preserve">Adjustments to reconcile net income to net cash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(177,000)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from equity-method investees</w:t>
            </w:r>
          </w:p>
        </w:tc>
        <w:tc>
          <w:tcPr>
            <w:tcW w:type="pct" w:w="2400"/>
            <w:tcMar>
              <w:top w:type="dxa" w:w="50"/>
              <w:left w:type="dxa" w:w="110"/>
              <w:bottom w:type="dxa" w:w="50"/>
              <w:right w:type="dxa" w:w="110"/>
            </w:tcMar>
          </w:tcPr>
          <w:p>
            <w:pPr>
              <w:spacing w:before="26" w:after="26"/>
            </w:pPr>
            <w:r>
              <w:rPr>
                <w:color w:val="232733"/>
                <w:sz w:val="16"/>
                <w:szCs w:val="16"/>
              </w:rPr>
              <w:t xml:space="preserve">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tcMar>
              <w:top w:type="dxa" w:w="50"/>
              <w:left w:type="dxa" w:w="110"/>
              <w:bottom w:type="dxa" w:w="50"/>
              <w:right w:type="dxa" w:w="110"/>
            </w:tcMar>
          </w:tcPr>
          <w:p>
            <w:pPr>
              <w:spacing w:before="26" w:after="26"/>
            </w:pPr>
            <w:r>
              <w:rPr>
                <w:color w:val="232733"/>
                <w:sz w:val="16"/>
                <w:szCs w:val="16"/>
              </w:rPr>
              <w:t xml:space="preserve">(4,000)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income taxes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accounts receivable, net</w:t>
            </w:r>
          </w:p>
        </w:tc>
        <w:tc>
          <w:tcPr>
            <w:tcW w:type="pct" w:w="2400"/>
            <w:tcMar>
              <w:top w:type="dxa" w:w="50"/>
              <w:left w:type="dxa" w:w="110"/>
              <w:bottom w:type="dxa" w:w="50"/>
              <w:right w:type="dxa" w:w="110"/>
            </w:tcMar>
          </w:tcPr>
          <w:p>
            <w:pPr>
              <w:spacing w:before="26" w:after="26"/>
            </w:pPr>
            <w:r>
              <w:rPr>
                <w:color w:val="232733"/>
                <w:sz w:val="16"/>
                <w:szCs w:val="16"/>
              </w:rPr>
              <w:t xml:space="preserve">(384,000)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inventory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prepaid expenses</w:t>
            </w:r>
          </w:p>
        </w:tc>
        <w:tc>
          <w:tcPr>
            <w:tcW w:type="pct" w:w="2400"/>
            <w:tcMar>
              <w:top w:type="dxa" w:w="50"/>
              <w:left w:type="dxa" w:w="110"/>
              <w:bottom w:type="dxa" w:w="50"/>
              <w:right w:type="dxa" w:w="110"/>
            </w:tcMar>
          </w:tcPr>
          <w:p>
            <w:pPr>
              <w:spacing w:before="26" w:after="26"/>
            </w:pPr>
            <w:r>
              <w:rPr>
                <w:color w:val="232733"/>
                <w:sz w:val="16"/>
                <w:szCs w:val="16"/>
              </w:rPr>
              <w:t xml:space="preserve">(24,000)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accounts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accrued liabilities</w:t>
            </w:r>
          </w:p>
        </w:tc>
        <w:tc>
          <w:tcPr>
            <w:tcW w:type="pct" w:w="2400"/>
            <w:tcMar>
              <w:top w:type="dxa" w:w="50"/>
              <w:left w:type="dxa" w:w="110"/>
              <w:bottom w:type="dxa" w:w="50"/>
              <w:right w:type="dxa" w:w="110"/>
            </w:tcMar>
          </w:tcPr>
          <w:p>
            <w:pPr>
              <w:spacing w:before="26" w:after="26"/>
            </w:pPr>
            <w:r>
              <w:rPr>
                <w:color w:val="232733"/>
                <w:sz w:val="16"/>
                <w:szCs w:val="16"/>
              </w:rPr>
              <w:t xml:space="preserve">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income taxes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contract liabilities</w:t>
            </w:r>
          </w:p>
        </w:tc>
        <w:tc>
          <w:tcPr>
            <w:tcW w:type="pct" w:w="2400"/>
            <w:tcMar>
              <w:top w:type="dxa" w:w="50"/>
              <w:left w:type="dxa" w:w="110"/>
              <w:bottom w:type="dxa" w:w="50"/>
              <w:right w:type="dxa" w:w="110"/>
            </w:tcMar>
          </w:tcPr>
          <w:p>
            <w:pPr>
              <w:spacing w:before="26" w:after="26"/>
            </w:pPr>
            <w:r>
              <w:rPr>
                <w:color w:val="232733"/>
                <w:sz w:val="16"/>
                <w:szCs w:val="16"/>
              </w:rPr>
              <w:t xml:space="preserve">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cash provided by operating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7,531,100</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property, plant and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2400"/>
            <w:tcMar>
              <w:top w:type="dxa" w:w="50"/>
              <w:left w:type="dxa" w:w="110"/>
              <w:bottom w:type="dxa" w:w="50"/>
              <w:right w:type="dxa" w:w="110"/>
            </w:tcMar>
          </w:tcPr>
          <w:p>
            <w:pPr>
              <w:spacing w:before="26" w:after="26"/>
            </w:pPr>
            <w:r>
              <w:rPr>
                <w:color w:val="232733"/>
                <w:sz w:val="16"/>
                <w:szCs w:val="16"/>
              </w:rPr>
              <w:t xml:space="preserve">21,000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in Jordan Glass Co.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(1,200,000)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used in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(4,179,000)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flows from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Issuance of common stock</w:t>
            </w:r>
          </w:p>
        </w:tc>
        <w:tc>
          <w:tcPr>
            <w:tcW w:type="pct" w:w="2400"/>
            <w:tcMar>
              <w:top w:type="dxa" w:w="50"/>
              <w:left w:type="dxa" w:w="110"/>
              <w:bottom w:type="dxa" w:w="50"/>
              <w:right w:type="dxa" w:w="110"/>
            </w:tcMar>
          </w:tcPr>
          <w:p>
            <w:pPr>
              <w:spacing w:before="26" w:after="26"/>
            </w:pPr>
            <w:r>
              <w:rPr>
                <w:color w:val="232733"/>
                <w:sz w:val="16"/>
                <w:szCs w:val="16"/>
              </w:rPr>
              <w:t xml:space="preserve">1,500,000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bank note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800,000</w:t>
            </w:r>
          </w:p>
        </w:tc>
      </w:tr>
      <w:tr>
        <w:tc>
          <w:tcPr>
            <w:tcW w:type="pct" w:w="2600"/>
            <w:tcMar>
              <w:top w:type="dxa" w:w="50"/>
              <w:left w:type="dxa" w:w="110"/>
              <w:bottom w:type="dxa" w:w="50"/>
              <w:right w:type="dxa" w:w="110"/>
            </w:tcMar>
          </w:tcPr>
          <w:p>
            <w:pPr>
              <w:spacing w:before="26" w:after="26"/>
            </w:pPr>
            <w:r>
              <w:rPr>
                <w:color w:val="232733"/>
                <w:sz w:val="16"/>
                <w:szCs w:val="16"/>
              </w:rPr>
              <w:t xml:space="preserve">Repayment of long-term debt</w:t>
            </w:r>
          </w:p>
        </w:tc>
        <w:tc>
          <w:tcPr>
            <w:tcW w:type="pct" w:w="2400"/>
            <w:tcMar>
              <w:top w:type="dxa" w:w="50"/>
              <w:left w:type="dxa" w:w="110"/>
              <w:bottom w:type="dxa" w:w="50"/>
              <w:right w:type="dxa" w:w="110"/>
            </w:tcMar>
          </w:tcPr>
          <w:p>
            <w:pPr>
              <w:spacing w:before="26" w:after="26"/>
            </w:pPr>
            <w:r>
              <w:rPr>
                <w:color w:val="232733"/>
                <w:sz w:val="16"/>
                <w:szCs w:val="16"/>
              </w:rPr>
              <w:t xml:space="preserve">(400,000)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provided by financing activities</w:t>
            </w:r>
          </w:p>
        </w:tc>
        <w:tc>
          <w:tcPr>
            <w:tcW w:type="pct" w:w="2400"/>
            <w:tcMar>
              <w:top w:type="dxa" w:w="50"/>
              <w:left w:type="dxa" w:w="110"/>
              <w:bottom w:type="dxa" w:w="50"/>
              <w:right w:type="dxa" w:w="110"/>
            </w:tcMar>
          </w:tcPr>
          <w:p>
            <w:pPr>
              <w:spacing w:before="26" w:after="26"/>
            </w:pPr>
            <w:r>
              <w:rPr>
                <w:color w:val="232733"/>
                <w:sz w:val="16"/>
                <w:szCs w:val="16"/>
              </w:rPr>
              <w:t xml:space="preserve">1,850,000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increase in cash</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5,202,100</w:t>
            </w:r>
          </w:p>
        </w:tc>
      </w:tr>
      <w:tr>
        <w:tc>
          <w:tcPr>
            <w:tcW w:type="pct" w:w="2600"/>
            <w:tcMar>
              <w:top w:type="dxa" w:w="50"/>
              <w:left w:type="dxa" w:w="110"/>
              <w:bottom w:type="dxa" w:w="50"/>
              <w:right w:type="dxa" w:w="110"/>
            </w:tcMar>
          </w:tcPr>
          <w:p>
            <w:pPr>
              <w:spacing w:before="26" w:after="26"/>
            </w:pPr>
            <w:r>
              <w:rPr>
                <w:color w:val="232733"/>
                <w:sz w:val="16"/>
                <w:szCs w:val="16"/>
              </w:rPr>
              <w:t xml:space="preserve">Cash, January 1, 2025</w:t>
            </w:r>
          </w:p>
        </w:tc>
        <w:tc>
          <w:tcPr>
            <w:tcW w:type="pct" w:w="2400"/>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December 31,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7,302,100</w:t>
            </w:r>
          </w:p>
        </w:tc>
      </w:tr>
      <w:tr>
        <w:tc>
          <w:tcPr>
            <w:tcW w:type="pct" w:w="2600"/>
            <w:tcMar>
              <w:top w:type="dxa" w:w="50"/>
              <w:left w:type="dxa" w:w="110"/>
              <w:bottom w:type="dxa" w:w="50"/>
              <w:right w:type="dxa" w:w="110"/>
            </w:tcMar>
          </w:tcPr>
          <w:p>
            <w:pPr>
              <w:spacing w:before="26" w:after="26"/>
            </w:pPr>
            <w:r>
              <w:rPr>
                <w:color w:val="232733"/>
                <w:sz w:val="16"/>
                <w:szCs w:val="16"/>
              </w:rPr>
              <w:t xml:space="preserve">Supplemental disclosures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none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financing activities   ·   statement of cash flows   ·   operating activities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cash equivalents</w:t>
            </w:r>
          </w:p>
        </w:tc>
        <w:tc>
          <w:tcPr>
            <w:tcW w:type="pct" w:w="2600"/>
            <w:tcMar>
              <w:top w:type="dxa" w:w="50"/>
              <w:left w:type="dxa" w:w="110"/>
              <w:bottom w:type="dxa" w:w="50"/>
              <w:right w:type="dxa" w:w="110"/>
            </w:tcMar>
          </w:tcPr>
          <w:p>
            <w:pPr>
              <w:spacing w:before="26" w:after="26"/>
            </w:pPr>
            <w:r>
              <w:rPr>
                <w:color w:val="232733"/>
                <w:sz w:val="16"/>
                <w:szCs w:val="16"/>
              </w:rPr>
              <w:t xml:space="preserve">معادلات النقد (ما في حكم النقد)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operating activities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الأنشطة التشغيلية</w:t>
            </w:r>
          </w:p>
        </w:tc>
      </w:tr>
      <w:tr>
        <w:tc>
          <w:tcPr>
            <w:tcW w:type="pct" w:w="2400"/>
            <w:tcMar>
              <w:top w:type="dxa" w:w="50"/>
              <w:left w:type="dxa" w:w="110"/>
              <w:bottom w:type="dxa" w:w="50"/>
              <w:right w:type="dxa" w:w="110"/>
            </w:tcMar>
          </w:tcPr>
          <w:p>
            <w:pPr>
              <w:spacing w:before="26" w:after="26"/>
            </w:pPr>
            <w:r>
              <w:rPr>
                <w:color w:val="232733"/>
                <w:sz w:val="16"/>
                <w:szCs w:val="16"/>
              </w:rPr>
              <w:t xml:space="preserve">investing activities</w:t>
            </w:r>
          </w:p>
        </w:tc>
        <w:tc>
          <w:tcPr>
            <w:tcW w:type="pct" w:w="2600"/>
            <w:tcMar>
              <w:top w:type="dxa" w:w="50"/>
              <w:left w:type="dxa" w:w="110"/>
              <w:bottom w:type="dxa" w:w="50"/>
              <w:right w:type="dxa" w:w="110"/>
            </w:tcMar>
          </w:tcPr>
          <w:p>
            <w:pPr>
              <w:spacing w:before="26" w:after="26"/>
            </w:pPr>
            <w:r>
              <w:rPr>
                <w:color w:val="232733"/>
                <w:sz w:val="16"/>
                <w:szCs w:val="16"/>
              </w:rPr>
              <w:t xml:space="preserve">الأنشطة الاستثمارية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financing activities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الأنشطة التمويلية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Purpose and structure of the statement of cash flows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Classifying cash flows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restricted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Limitations and links between the four stateme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investments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categories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financing activities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statement of cash flows reports a company's cash receipts and cash payments for a period. Users need it because profit is not cash. It helps them judge whether the company can produce cash, pay its debts and dividends, and fund its growth without new financing. The statement explains the change in cash, cash equivalents and restricted cash together. Cash equivalents are short-term, highly liquid investments with an original maturity to the holder of three months or less. Moving money between these categories is not a cash flow.</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Classifying cash flows</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Operating activities are the main revenue activities: cash from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cash paid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employees.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that is not investing or financing is also operating. </w:t>
      </w:r>
      <w:r>
        <w:rPr>
          <w:sz w:val="19"/>
          <w:szCs w:val="19"/>
        </w:rPr>
        <w:t xml:space="preserve">Investing activities involve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assets and other companies'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Orontes paid $3,000,000 for equipment and $1,200,000 for its Jordan Glass shares. </w:t>
      </w:r>
      <w:r>
        <w:rPr>
          <w:sz w:val="19"/>
          <w:szCs w:val="19"/>
        </w:rPr>
        <w:t xml:space="preserve">Financing activities are with owners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They include issuing and buying back shares,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repaying principal, and paying dividends. </w:t>
      </w:r>
      <w:r>
        <w:rPr>
          <w:sz w:val="19"/>
          <w:szCs w:val="19"/>
        </w:rPr>
        <w:t xml:space="preserve">Orontes received $1,500,000 from its share issue and $800,000 from the bank note, repaid $400,000 of debt and paid $50,000 of dividends.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Anything   ·   borrowing   ·   securities   ·   long-term   ·   suppliers   ·   lenders   ·   customers   ·   financing activities</w:t>
            </w:r>
          </w:p>
        </w:tc>
      </w:tr>
    </w:tbl>
    <w:p/>
    <w:p>
      <w:pPr>
        <w:spacing w:before="44" w:after="10"/>
      </w:pPr>
      <w:r>
        <w:rPr>
          <w:b/>
          <w:bCs/>
          <w:color w:val="353A7C"/>
          <w:sz w:val="18"/>
          <w:szCs w:val="18"/>
        </w:rPr>
        <w:t xml:space="preserve">Classifying interest, dividends and taxes: U.S. GAAP and IFRS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12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12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taxes paid   ·   financing activities   ·   Interest received</w:t>
            </w:r>
          </w:p>
        </w:tc>
      </w:tr>
    </w:tbl>
    <w:p/>
    <w:p>
      <w:pPr>
        <w:spacing w:before="44" w:after="14"/>
      </w:pPr>
      <w:r>
        <w:rPr>
          <w:b/>
          <w:bCs/>
          <w:color w:val="353A7C"/>
          <w:sz w:val="18"/>
          <w:szCs w:val="18"/>
        </w:rPr>
        <w:t xml:space="preserve">Summary 2</w:t>
      </w:r>
      <w:r>
        <w:rPr>
          <w:color w:val="6B7280"/>
          <w:sz w:val="16"/>
          <w:szCs w:val="16"/>
        </w:rPr>
        <w:t xml:space="preserve">      gaps 10–15</w:t>
      </w:r>
    </w:p>
    <w:p>
      <w:pPr>
        <w:spacing w:before="20" w:after="20" w:line="360" w:lineRule="auto"/>
        <w:ind w:left="200"/>
      </w:pPr>
      <w:r>
        <w:rPr>
          <w:sz w:val="19"/>
          <w:szCs w:val="19"/>
        </w:rPr>
        <w:t xml:space="preserve">Some investing and financing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involve no cash at all, such as buying land by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shares or a note. </w:t>
      </w:r>
      <w:r>
        <w:rPr>
          <w:sz w:val="19"/>
          <w:szCs w:val="19"/>
        </w:rPr>
        <w:t xml:space="preserve">These noncash investing and financing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not shown in the body of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They are disclosed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Under IAS 7 today, interest paid can be operating or financing, and interest and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received can be operating or investing. </w:t>
      </w:r>
      <w:r>
        <w:rPr>
          <w:sz w:val="19"/>
          <w:szCs w:val="19"/>
        </w:rPr>
        <w:t xml:space="preserve">The amendments that come with IFRS 18 remove some choices from 2027, but they are not testable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dividends   ·   statement   ·   transactions   ·   direct method   ·   activities   ·   issuing   ·   separately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activity?</w:t>
            </w:r>
          </w:p>
        </w:tc>
      </w:tr>
    </w:tbl>
    <w:p/>
    <w:p>
      <w:pPr>
        <w:pageBreakBefore w:val="true"/>
        <w:spacing w:after="0"/>
      </w:pPr>
      <w:r>
        <w:rPr>
          <w:sz w:val="2"/>
        </w:rPr>
        <w:t xml:space="preserve"> </w:t>
      </w:r>
    </w:p>
    <w:p>
      <w:pPr>
        <w:spacing w:before="44" w:after="10"/>
      </w:pPr>
      <w:r>
        <w:rPr>
          <w:b/>
          <w:bCs/>
          <w:color w:val="353A7C"/>
          <w:sz w:val="18"/>
          <w:szCs w:val="18"/>
        </w:rPr>
        <w:t xml:space="preserve">Which activity?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3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323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received from selling Jordan Glass shares   ·   Land acquired by issuing a long-term note (no cash)   ·   cash equivalents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Classification traps</w:t>
            </w:r>
          </w:p>
        </w:tc>
      </w:tr>
    </w:tbl>
    <w:p/>
    <w:p>
      <w:pPr>
        <w:spacing w:before="44" w:after="14"/>
      </w:pPr>
      <w:r>
        <w:rPr>
          <w:b/>
          <w:bCs/>
          <w:color w:val="353A7C"/>
          <w:sz w:val="18"/>
          <w:szCs w:val="18"/>
        </w:rPr>
        <w:t xml:space="preserve">Summary 3</w:t>
      </w:r>
      <w:r>
        <w:rPr>
          <w:color w:val="6B7280"/>
          <w:sz w:val="16"/>
          <w:szCs w:val="16"/>
        </w:rPr>
        <w:t xml:space="preserve">      gaps 18–19</w:t>
      </w:r>
    </w:p>
    <w:p>
      <w:pPr>
        <w:spacing w:before="20" w:after="20" w:line="360" w:lineRule="auto"/>
        <w:ind w:left="200"/>
      </w:pPr>
      <w:r>
        <w:rPr>
          <w:sz w:val="19"/>
          <w:szCs w:val="19"/>
        </w:rPr>
        <w:t xml:space="preserve">Interest paid is operating, not financing, under U.S. GAAP. </w:t>
      </w:r>
      <w:r>
        <w:rPr>
          <w:sz w:val="19"/>
          <w:szCs w:val="19"/>
        </w:rPr>
        <w:t xml:space="preserve">Dividends paid are financing; dividends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are operating. </w:t>
      </w:r>
      <w:r>
        <w:rPr>
          <w:sz w:val="19"/>
          <w:szCs w:val="19"/>
        </w:rPr>
        <w:t xml:space="preserve">A note issued for land is not a cash flow: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received   ·   disclose   ·   investing activities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equivalents   ·   noncash investing and financing activities   ·   financing activities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03"/>
        <w:gridCol w:w="469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5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4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54"/>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46"/>
            <w:tcMar>
              <w:top w:type="dxa" w:w="50"/>
              <w:left w:type="dxa" w:w="110"/>
              <w:bottom w:type="dxa" w:w="50"/>
              <w:right w:type="dxa" w:w="110"/>
            </w:tcMar>
          </w:tcPr>
          <w:p>
            <w:pPr>
              <w:spacing w:before="26" w:after="26"/>
            </w:pPr>
            <w:r>
              <w:rPr>
                <w:color w:val="232733"/>
                <w:sz w:val="16"/>
                <w:szCs w:val="16"/>
              </w:rPr>
              <w:t xml:space="preserve">الأنشطة الاستثمارية والتمويلية غير النقدية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Classifying cash flows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Anything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dividends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securities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Cash received from selling Jordan Glass 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lenders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Land acquired by issuing a long-term note (no 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borrowing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received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Interest received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disclose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Income taxes paid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financing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noncash investing and financing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issuing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Operating activities are the main revenue activities: cash from customers and cash paid to suppliers and employees. Anything that is not investing or financing is also operating. Investing activities involve long-term assets and other companies' securities: Orontes paid $3,000,000 for equipment and $1,200,000 for its Jordan Glass shares. Financing activities are with owners and lenders. They include issuing and buying back shares, borrowing and repaying principal, and paying dividends. Orontes received $1,500,000 from its share issue and $800,000 from the bank note, repaid $400,000 of debt and paid $50,000 of dividends.</w:t>
      </w:r>
    </w:p>
    <w:p>
      <w:pPr>
        <w:spacing w:before="20" w:after="20"/>
        <w:ind w:left="240" w:hanging="240"/>
      </w:pPr>
      <w:r>
        <w:rPr>
          <w:b/>
          <w:bCs/>
          <w:color w:val="353A7C"/>
          <w:sz w:val="15"/>
          <w:szCs w:val="15"/>
        </w:rPr>
        <w:t xml:space="preserve">Summary 2   </w:t>
      </w:r>
      <w:r>
        <w:rPr>
          <w:color w:val="6B7280"/>
          <w:sz w:val="15"/>
          <w:szCs w:val="15"/>
        </w:rPr>
        <w:t xml:space="preserve">Some investing and financing transactions involve no cash at all, such as buying land by issuing shares or a note. These noncash investing and financing activities are not shown in the body of the statement. They are disclosed separately. Under IAS 7 today, interest paid can be operating or financing, and interest and dividends received can be operating or investing. The amendments that come with IFRS 18 remove some choices from 2027, but they are not testable before about January 2028.</w:t>
      </w:r>
    </w:p>
    <w:p>
      <w:pPr>
        <w:spacing w:before="20" w:after="20"/>
        <w:ind w:left="240" w:hanging="240"/>
      </w:pPr>
      <w:r>
        <w:rPr>
          <w:b/>
          <w:bCs/>
          <w:color w:val="353A7C"/>
          <w:sz w:val="15"/>
          <w:szCs w:val="15"/>
        </w:rPr>
        <w:t xml:space="preserve">Summary 3   </w:t>
      </w:r>
      <w:r>
        <w:rPr>
          <w:color w:val="6B7280"/>
          <w:sz w:val="15"/>
          <w:szCs w:val="15"/>
        </w:rPr>
        <w:t xml:space="preserve">Interest paid is operating, not financing, under U.S. GAAP. Dividends paid are financing; dividends received are operating. A note issued for land is not a cash flow: disclose it.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The indirect method</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Most U.S. companies use the indirect method for operating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It starts with net income and removes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is not an operating cash flow. </w:t>
      </w:r>
      <w:r>
        <w:rPr>
          <w:sz w:val="19"/>
          <w:szCs w:val="19"/>
        </w:rPr>
        <w:t xml:space="preserve">First, add back noncash expenses and losses, such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impairments and an increase in deferred tax liabilities. </w:t>
      </w:r>
      <w:r>
        <w:rPr>
          <w:sz w:val="19"/>
          <w:szCs w:val="19"/>
        </w:rPr>
        <w:t xml:space="preserve">Second, remove gains and losses on investing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items; the cash from those sales belongs in investing. </w:t>
      </w:r>
      <w:r>
        <w:rPr>
          <w:sz w:val="19"/>
          <w:szCs w:val="19"/>
        </w:rPr>
        <w:t xml:space="preserve">Also subtract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income, which is not cash, and add the dividends received from the investee.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everything   ·   equity-method   ·   indirect method   ·   depreciation   ·   activities   ·   financing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operating cash flow</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Start with net income: $2,969,100. </w:t>
      </w:r>
      <w:r>
        <w:rPr>
          <w:sz w:val="19"/>
          <w:szCs w:val="19"/>
        </w:rPr>
        <w:t xml:space="preserve">Add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impairments and deferred taxes, which used no cash: $4,924,000. </w:t>
      </w:r>
      <w:r>
        <w:rPr>
          <w:sz w:val="19"/>
          <w:szCs w:val="19"/>
        </w:rPr>
        <w:t xml:space="preserve">Subtract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income of $177,000, add dividends from investees of $70,000, and subtract the oven gain of $3,000 and unrealized gains of $4,000.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changes reduce cash by a net $248,000.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Working-capital   ·   equity-method   ·   indirect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Indirect-method traps</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Start from net income, never from operating income.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payable and notes payable are financing items. </w:t>
      </w:r>
      <w:r>
        <w:rPr>
          <w:sz w:val="19"/>
          <w:szCs w:val="19"/>
        </w:rPr>
        <w:t xml:space="preserve">Do 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their changes in working capital. </w:t>
      </w:r>
      <w:r>
        <w:rPr>
          <w:sz w:val="19"/>
          <w:szCs w:val="19"/>
        </w:rPr>
        <w:t xml:space="preserve">Show the full proceeds of a sale in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remove the gain from operating.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include   ·   investing   ·   Dividends   ·   indirect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indirect method</w:t>
            </w:r>
          </w:p>
        </w:tc>
        <w:tc>
          <w:tcPr>
            <w:tcW w:type="pct" w:w="2600"/>
            <w:tcMar>
              <w:top w:type="dxa" w:w="50"/>
              <w:left w:type="dxa" w:w="110"/>
              <w:bottom w:type="dxa" w:w="50"/>
              <w:right w:type="dxa" w:w="110"/>
            </w:tcMar>
          </w:tcPr>
          <w:p>
            <w:pPr>
              <w:spacing w:before="26" w:after="26"/>
            </w:pPr>
            <w:r>
              <w:rPr>
                <w:color w:val="232733"/>
                <w:sz w:val="16"/>
                <w:szCs w:val="16"/>
              </w:rPr>
              <w:t xml:space="preserve">الطريقة غير المباشرة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The indirect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equity-method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Working-capital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Dividends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financing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include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equity-method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depreciation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Most U.S. companies use the indirect method for operating activities. It starts with net income and removes everything that is not an operating cash flow. First, add back noncash expenses and losses, such as depreciation, impairments and an increase in deferred tax liabilities. Second, remove gains and losses on investing and financing items; the cash from those sales belongs in investing. Also subtract equity-method income, which is not cash, and add the dividends received from the investee.</w:t>
      </w:r>
    </w:p>
    <w:p>
      <w:pPr>
        <w:spacing w:before="20" w:after="20"/>
        <w:ind w:left="240" w:hanging="240"/>
      </w:pPr>
      <w:r>
        <w:rPr>
          <w:b/>
          <w:bCs/>
          <w:color w:val="353A7C"/>
          <w:sz w:val="15"/>
          <w:szCs w:val="15"/>
        </w:rPr>
        <w:t xml:space="preserve">Summary 2   </w:t>
      </w:r>
      <w:r>
        <w:rPr>
          <w:color w:val="6B7280"/>
          <w:sz w:val="15"/>
          <w:szCs w:val="15"/>
        </w:rPr>
        <w:t xml:space="preserve">Start with net income: $2,969,100. Add depreciation, impairments and deferred taxes, which used no cash: $4,924,000. Subtract equity-method income of $177,000, add dividends from investees of $70,000, and subtract the oven gain of $3,000 and unrealized gains of $4,000. Working-capital changes reduce cash by a net $248,000.</w:t>
      </w:r>
    </w:p>
    <w:p>
      <w:pPr>
        <w:spacing w:before="20" w:after="20"/>
        <w:ind w:left="240" w:hanging="240"/>
      </w:pPr>
      <w:r>
        <w:rPr>
          <w:b/>
          <w:bCs/>
          <w:color w:val="353A7C"/>
          <w:sz w:val="15"/>
          <w:szCs w:val="15"/>
        </w:rPr>
        <w:t xml:space="preserve">Summary 3   </w:t>
      </w:r>
      <w:r>
        <w:rPr>
          <w:color w:val="6B7280"/>
          <w:sz w:val="15"/>
          <w:szCs w:val="15"/>
        </w:rPr>
        <w:t xml:space="preserve">Start from net income, never from operating income. Dividends payable and notes payable are financing items. Do not include their changes in working capital. Show the full proceeds of a sale in investing, and remove the gain from operating.</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The direct method and required disclosures</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direct method shows the main classes of operating receipts and payments, such as cash from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cash paid to suppliers. </w:t>
      </w:r>
      <w:r>
        <w:rPr>
          <w:sz w:val="19"/>
          <w:szCs w:val="19"/>
        </w:rPr>
        <w:t xml:space="preserve">The FASB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but few companies use it. </w:t>
      </w:r>
      <w:r>
        <w:rPr>
          <w:sz w:val="19"/>
          <w:szCs w:val="19"/>
        </w:rPr>
        <w:t xml:space="preserve">A company that uses it must still show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net income to operating cash flow.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method   ·   customers   ·   reconciliation   ·   encourages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 operating activities by the direct method, 2025</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2025, direct method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2025</w:t>
            </w:r>
          </w:p>
        </w:tc>
      </w:tr>
      <w:tr>
        <w:tc>
          <w:tcPr>
            <w:tcW w:type="pct" w:w="2600"/>
            <w:tcMar>
              <w:top w:type="dxa" w:w="50"/>
              <w:left w:type="dxa" w:w="110"/>
              <w:bottom w:type="dxa" w:w="50"/>
              <w:right w:type="dxa" w:w="110"/>
            </w:tcMar>
          </w:tcPr>
          <w:p>
            <w:pPr>
              <w:spacing w:before="28" w:after="28"/>
            </w:pPr>
            <w:r>
              <w:rPr>
                <w:sz w:val="15"/>
                <w:szCs w:val="15"/>
              </w:rPr>
              <w:t xml:space="preserve">Cash received from customers</w:t>
            </w:r>
          </w:p>
        </w:tc>
        <w:tc>
          <w:tcPr>
            <w:tcW w:type="pct" w:w="2400"/>
            <w:tcMar>
              <w:top w:type="dxa" w:w="50"/>
              <w:left w:type="dxa" w:w="110"/>
              <w:bottom w:type="dxa" w:w="50"/>
              <w:right w:type="dxa" w:w="110"/>
            </w:tcMar>
          </w:tcPr>
          <w:p>
            <w:pPr>
              <w:spacing w:before="28" w:after="28"/>
            </w:pPr>
            <w:r>
              <w:rPr>
                <w:sz w:val="15"/>
                <w:szCs w:val="15"/>
              </w:rPr>
              <w:t xml:space="preserve">41,598,000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400"/>
            <w:shd w:fill="FBFAF6" w:val="clear"/>
            <w:tcMar>
              <w:top w:type="dxa" w:w="50"/>
              <w:left w:type="dxa" w:w="110"/>
              <w:bottom w:type="dxa" w:w="50"/>
              <w:right w:type="dxa" w:w="110"/>
            </w:tcMar>
          </w:tcPr>
          <w:p>
            <w:pPr>
              <w:spacing w:before="28" w:after="28"/>
            </w:pPr>
            <w:r>
              <w:rPr>
                <w:sz w:val="15"/>
                <w:szCs w:val="15"/>
              </w:rPr>
              <w:t xml:space="preserve">(32,911,000)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400"/>
            <w:tcMar>
              <w:top w:type="dxa" w:w="50"/>
              <w:left w:type="dxa" w:w="110"/>
              <w:bottom w:type="dxa" w:w="50"/>
              <w:right w:type="dxa" w:w="110"/>
            </w:tcMar>
          </w:tcPr>
          <w:p>
            <w:pPr>
              <w:spacing w:before="28" w:after="28"/>
            </w:pPr>
            <w:r>
              <w:rPr>
                <w:sz w:val="15"/>
                <w:szCs w:val="15"/>
              </w:rPr>
              <w:t xml:space="preserve">73,800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Interest paid</w:t>
            </w:r>
          </w:p>
        </w:tc>
        <w:tc>
          <w:tcPr>
            <w:tcW w:type="pct" w:w="2400"/>
            <w:shd w:fill="FBFAF6" w:val="clear"/>
            <w:tcMar>
              <w:top w:type="dxa" w:w="50"/>
              <w:left w:type="dxa" w:w="110"/>
              <w:bottom w:type="dxa" w:w="50"/>
              <w:right w:type="dxa" w:w="110"/>
            </w:tcMar>
          </w:tcPr>
          <w:p>
            <w:pPr>
              <w:spacing w:before="28" w:after="28"/>
            </w:pPr>
            <w:r>
              <w:rPr>
                <w:sz w:val="15"/>
                <w:szCs w:val="15"/>
              </w:rPr>
              <w:t xml:space="preserve">(390,000)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400"/>
            <w:tcMar>
              <w:top w:type="dxa" w:w="50"/>
              <w:left w:type="dxa" w:w="110"/>
              <w:bottom w:type="dxa" w:w="50"/>
              <w:right w:type="dxa" w:w="110"/>
            </w:tcMar>
          </w:tcPr>
          <w:p>
            <w:pPr>
              <w:spacing w:before="28" w:after="28"/>
            </w:pPr>
            <w:r>
              <w:rPr>
                <w:sz w:val="15"/>
                <w:szCs w:val="15"/>
              </w:rPr>
              <w:t xml:space="preserve">(839,700)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cash provided by operating activities</w:t>
            </w:r>
          </w:p>
        </w:tc>
        <w:tc>
          <w:tcPr>
            <w:tcW w:type="pct" w:w="2400"/>
            <w:shd w:fill="FBFAF6" w:val="clear"/>
            <w:tcMar>
              <w:top w:type="dxa" w:w="50"/>
              <w:left w:type="dxa" w:w="110"/>
              <w:bottom w:type="dxa" w:w="50"/>
              <w:right w:type="dxa" w:w="110"/>
            </w:tcMar>
          </w:tcPr>
          <w:p>
            <w:pPr>
              <w:spacing w:before="28" w:after="28"/>
            </w:pPr>
            <w:r>
              <w:rPr>
                <w:sz w:val="15"/>
                <w:szCs w:val="15"/>
              </w:rPr>
              <w:t xml:space="preserve">7,531,100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paid to suppliers and employees   ·   Net cash provided by operating activities   ·   Income taxes paid   ·   Interest and dividends received</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A company using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method must disclose interest paid and income taxes paid.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paid $390,000 of interest and $839,700 of income taxes. </w:t>
      </w:r>
      <w:r>
        <w:rPr>
          <w:sz w:val="19"/>
          <w:szCs w:val="19"/>
        </w:rPr>
        <w:t xml:space="preserve">Taxes paid are the current tax expense of $889,700 less the $50,000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taxes payable.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method   ·   indirect   ·   increase   ·   Orontes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36"/>
        <w:gridCol w:w="49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5"/>
            <w:tcMar>
              <w:top w:type="dxa" w:w="50"/>
              <w:left w:type="dxa" w:w="110"/>
              <w:bottom w:type="dxa" w:w="50"/>
              <w:right w:type="dxa" w:w="110"/>
            </w:tcMar>
          </w:tcPr>
          <w:p>
            <w:pPr>
              <w:spacing w:before="26" w:after="26"/>
            </w:pPr>
            <w:r>
              <w:rPr>
                <w:color w:val="232733"/>
                <w:sz w:val="16"/>
                <w:szCs w:val="16"/>
              </w:rPr>
              <w:t xml:space="preserve">direct method</w:t>
            </w:r>
          </w:p>
        </w:tc>
        <w:tc>
          <w:tcPr>
            <w:tcW w:type="pct" w:w="2585"/>
            <w:tcMar>
              <w:top w:type="dxa" w:w="50"/>
              <w:left w:type="dxa" w:w="110"/>
              <w:bottom w:type="dxa" w:w="50"/>
              <w:right w:type="dxa" w:w="110"/>
            </w:tcMar>
          </w:tcPr>
          <w:p>
            <w:pPr>
              <w:spacing w:before="26" w:after="26"/>
            </w:pPr>
            <w:r>
              <w:rPr>
                <w:color w:val="232733"/>
                <w:sz w:val="16"/>
                <w:szCs w:val="16"/>
              </w:rPr>
              <w:t xml:space="preserve">الطريقة المباشرة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The direct method and required disclosures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Income taxes paid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encourages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indirect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Cash paid to suppliers and employees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increase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Interest and dividends received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method shows the main classes of operating receipts and payments, such as cash from customers and cash paid to suppliers. The FASB encourages it, but few companies use it. A company that uses it must still show the reconciliation of net income to operating cash flow.</w:t>
      </w:r>
    </w:p>
    <w:p>
      <w:pPr>
        <w:spacing w:before="20" w:after="20"/>
        <w:ind w:left="240" w:hanging="240"/>
      </w:pPr>
      <w:r>
        <w:rPr>
          <w:b/>
          <w:bCs/>
          <w:color w:val="353A7C"/>
          <w:sz w:val="15"/>
          <w:szCs w:val="15"/>
        </w:rPr>
        <w:t xml:space="preserve">Summary 2   </w:t>
      </w:r>
      <w:r>
        <w:rPr>
          <w:color w:val="6B7280"/>
          <w:sz w:val="15"/>
          <w:szCs w:val="15"/>
        </w:rPr>
        <w:t xml:space="preserve">A company using the indirect method must disclose interest paid and income taxes paid. Orontes paid $390,000 of interest and $839,700 of income taxes. Taxes paid are the current tax expense of $889,700 less the $50,000 increase in taxes payable.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Limitations and links between the four statements</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Cash flows are harder to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than profits, but 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company can raise operating cash near year-end by delaying payments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by selling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also shows only one year, and it is not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profit.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noncash deals, such as buying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 a mortgage, appear only in the notes. </w:t>
      </w:r>
      <w:r>
        <w:rPr>
          <w:sz w:val="19"/>
          <w:szCs w:val="19"/>
        </w:rPr>
        <w:t xml:space="preserve">Some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also arbitrary: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paid is operating under U.S. GAAP but may be financing under IFRS, which makes companies harder to compare. </w:t>
      </w:r>
      <w:r>
        <w:rPr>
          <w:sz w:val="19"/>
          <w:szCs w:val="19"/>
        </w:rPr>
        <w:t xml:space="preserve">Finally, one year of cash flows can mislead. </w:t>
      </w:r>
      <w:r>
        <w:rPr>
          <w:sz w:val="19"/>
          <w:szCs w:val="19"/>
        </w:rPr>
        <w:t xml:space="preserve">A company that stops investing will show strong cash flow for a while, even if its future is weak. </w:t>
      </w:r>
      <w:r>
        <w:rPr>
          <w:sz w:val="19"/>
          <w:szCs w:val="19"/>
        </w:rPr>
        <w:t xml:space="preserve">The links also help you find amounts that are not given. </w:t>
      </w:r>
      <w:r>
        <w:rPr>
          <w:sz w:val="19"/>
          <w:szCs w:val="19"/>
        </w:rPr>
        <w:t xml:space="preserve">Orontes declared dividends of $450,000, but dividends payable rose by $400,000, so dividends paid were only $50,000. </w:t>
      </w:r>
      <w:r>
        <w:rPr>
          <w:sz w:val="19"/>
          <w:szCs w:val="19"/>
        </w:rPr>
        <w:t xml:space="preserve">That is the amount in the financing section.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interest   ·   Finally   ·   manage   ·   Important   ·   suppliers   ·   impossible   ·   classifications   ·   statement   ·   measure   ·   building   ·   receivables</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In August 2026 the FASB proposed new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about the parts of cash equivalents and about some digital assets. </w:t>
      </w:r>
      <w:r>
        <w:rPr>
          <w:sz w:val="19"/>
          <w:szCs w:val="19"/>
        </w:rPr>
        <w:t xml:space="preserve">It is only a proposal;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cash equivalents does not change. </w:t>
      </w:r>
      <w:r>
        <w:rPr>
          <w:sz w:val="19"/>
          <w:szCs w:val="19"/>
        </w:rPr>
        <w:t xml:space="preserve">ASU 2023-09 already requires income taxes paid by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know this at awareness level.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disclosures   ·   financing activities   ·   jurisdiction   ·   definition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Tableau de financement</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French tableau de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an older funds statement based on working capital, not a statement of cash flows. </w:t>
      </w:r>
      <w:r>
        <w:rPr>
          <w:sz w:val="19"/>
          <w:szCs w:val="19"/>
        </w:rPr>
        <w:t xml:space="preserve">The IFRS term is tableau des flux de trésorerie. </w:t>
      </w:r>
      <w:r>
        <w:rPr>
          <w:sz w:val="19"/>
          <w:szCs w:val="19"/>
        </w:rPr>
        <w:t xml:space="preserve">Arabic قائمة التدفقات النقدية is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term for this statement.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financement   ·   correct   ·   investing activities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598"/>
        <w:gridCol w:w="201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Tableau de financement</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(USD 000)</w:t>
            </w:r>
          </w:p>
        </w:tc>
        <w:tc>
          <w:tcPr>
            <w:tcW w:type="pct" w:w="1353"/>
            <w:tcMar>
              <w:top w:type="dxa" w:w="50"/>
              <w:left w:type="dxa" w:w="110"/>
              <w:bottom w:type="dxa" w:w="50"/>
              <w:right w:type="dxa" w:w="110"/>
            </w:tcMar>
          </w:tcPr>
          <w:p>
            <w:pPr>
              <w:spacing w:before="26" w:after="26"/>
            </w:pPr>
            <w:r>
              <w:rPr>
                <w:b/>
                <w:bCs/>
                <w:color w:val="353A7C"/>
                <w:sz w:val="15"/>
                <w:szCs w:val="15"/>
              </w:rPr>
              <w:t xml:space="preserve">Amount, or balance at Dec 31, 2025</w:t>
            </w:r>
          </w:p>
        </w:tc>
        <w:tc>
          <w:tcPr>
            <w:tcW w:type="pct" w:w="1047"/>
            <w:tcMar>
              <w:top w:type="dxa" w:w="50"/>
              <w:left w:type="dxa" w:w="110"/>
              <w:bottom w:type="dxa" w:w="50"/>
              <w:right w:type="dxa" w:w="110"/>
            </w:tcMar>
          </w:tcPr>
          <w:p>
            <w:pPr>
              <w:spacing w:before="26" w:after="26"/>
            </w:pPr>
            <w:r>
              <w:rPr>
                <w:b/>
                <w:bCs/>
                <w:color w:val="353A7C"/>
                <w:sz w:val="15"/>
                <w:szCs w:val="15"/>
              </w:rPr>
              <w:t xml:space="preserve">Balance at Dec 31, 2026</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 items, 2026</w:t>
            </w:r>
          </w:p>
        </w:tc>
        <w:tc>
          <w:tcPr>
            <w:tcW w:type="pct" w:w="1353"/>
            <w:tcMar>
              <w:top w:type="dxa" w:w="50"/>
              <w:left w:type="dxa" w:w="110"/>
              <w:bottom w:type="dxa" w:w="50"/>
              <w:right w:type="dxa" w:w="110"/>
            </w:tcMar>
          </w:tcPr>
          <w:p>
            <w:pPr>
              <w:spacing w:before="26" w:after="26"/>
            </w:pPr>
            <w:r>
              <w:rPr>
                <w:color w:val="232733"/>
                <w:sz w:val="16"/>
                <w:szCs w:val="16"/>
              </w:rPr>
              <w:t xml:space="preserve"/>
            </w:r>
          </w:p>
        </w:tc>
        <w:tc>
          <w:tcPr>
            <w:tcW w:type="pct" w:w="104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165</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1353"/>
            <w:tcMar>
              <w:top w:type="dxa" w:w="50"/>
              <w:left w:type="dxa" w:w="110"/>
              <w:bottom w:type="dxa" w:w="50"/>
              <w:right w:type="dxa" w:w="110"/>
            </w:tcMar>
          </w:tcPr>
          <w:p>
            <w:pPr>
              <w:spacing w:before="26" w:after="26"/>
            </w:pPr>
            <w:r>
              <w:rPr>
                <w:color w:val="232733"/>
                <w:sz w:val="16"/>
                <w:szCs w:val="16"/>
              </w:rPr>
              <w:t xml:space="preserve">300</w:t>
            </w:r>
          </w:p>
        </w:tc>
        <w:tc>
          <w:tcPr>
            <w:tcW w:type="pct" w:w="104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20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the catering-supply division</w:t>
            </w:r>
          </w:p>
        </w:tc>
        <w:tc>
          <w:tcPr>
            <w:tcW w:type="pct" w:w="1353"/>
            <w:tcMar>
              <w:top w:type="dxa" w:w="50"/>
              <w:left w:type="dxa" w:w="110"/>
              <w:bottom w:type="dxa" w:w="50"/>
              <w:right w:type="dxa" w:w="110"/>
            </w:tcMar>
          </w:tcPr>
          <w:p>
            <w:pPr>
              <w:spacing w:before="26" w:after="26"/>
            </w:pPr>
            <w:r>
              <w:rPr>
                <w:color w:val="232733"/>
                <w:sz w:val="16"/>
                <w:szCs w:val="16"/>
              </w:rPr>
              <w:t xml:space="preserve">40</w:t>
            </w:r>
          </w:p>
        </w:tc>
        <w:tc>
          <w:tcPr>
            <w:tcW w:type="pct" w:w="104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Balances</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w:t>
            </w:r>
          </w:p>
        </w:tc>
        <w:tc>
          <w:tcPr>
            <w:tcW w:type="pct" w:w="1353"/>
            <w:tcMar>
              <w:top w:type="dxa" w:w="50"/>
              <w:left w:type="dxa" w:w="110"/>
              <w:bottom w:type="dxa" w:w="50"/>
              <w:right w:type="dxa" w:w="110"/>
            </w:tcMar>
          </w:tcPr>
          <w:p>
            <w:pPr>
              <w:spacing w:before="26" w:after="26"/>
            </w:pPr>
            <w:r>
              <w:rPr>
                <w:color w:val="232733"/>
                <w:sz w:val="16"/>
                <w:szCs w:val="16"/>
              </w:rPr>
              <w:t xml:space="preserve">280</w:t>
            </w:r>
          </w:p>
        </w:tc>
        <w:tc>
          <w:tcPr>
            <w:tcW w:type="pct" w:w="1047"/>
            <w:tcMar>
              <w:top w:type="dxa" w:w="50"/>
              <w:left w:type="dxa" w:w="110"/>
              <w:bottom w:type="dxa" w:w="50"/>
              <w:right w:type="dxa" w:w="110"/>
            </w:tcMar>
          </w:tcPr>
          <w:p>
            <w:pPr>
              <w:spacing w:before="26" w:after="26"/>
            </w:pPr>
            <w:r>
              <w:rPr>
                <w:color w:val="232733"/>
                <w:sz w:val="16"/>
                <w:szCs w:val="16"/>
              </w:rPr>
              <w:t xml:space="preserve">310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420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390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1353"/>
            <w:tcMar>
              <w:top w:type="dxa" w:w="50"/>
              <w:left w:type="dxa" w:w="110"/>
              <w:bottom w:type="dxa" w:w="50"/>
              <w:right w:type="dxa" w:w="110"/>
            </w:tcMar>
          </w:tcPr>
          <w:p>
            <w:pPr>
              <w:spacing w:before="26" w:after="26"/>
            </w:pPr>
            <w:r>
              <w:rPr>
                <w:color w:val="232733"/>
                <w:sz w:val="16"/>
                <w:szCs w:val="16"/>
              </w:rPr>
              <w:t xml:space="preserve">24</w:t>
            </w:r>
          </w:p>
        </w:tc>
        <w:tc>
          <w:tcPr>
            <w:tcW w:type="pct" w:w="1047"/>
            <w:tcMar>
              <w:top w:type="dxa" w:w="50"/>
              <w:left w:type="dxa" w:w="110"/>
              <w:bottom w:type="dxa" w:w="50"/>
              <w:right w:type="dxa" w:w="110"/>
            </w:tcMar>
          </w:tcPr>
          <w:p>
            <w:pPr>
              <w:spacing w:before="26" w:after="26"/>
            </w:pPr>
            <w:r>
              <w:rPr>
                <w:color w:val="232733"/>
                <w:sz w:val="16"/>
                <w:szCs w:val="16"/>
              </w:rPr>
              <w:t xml:space="preserve">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Accounts payable</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380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410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353"/>
            <w:tcMar>
              <w:top w:type="dxa" w:w="50"/>
              <w:left w:type="dxa" w:w="110"/>
              <w:bottom w:type="dxa" w:w="50"/>
              <w:right w:type="dxa" w:w="110"/>
            </w:tcMar>
          </w:tcPr>
          <w:p>
            <w:pPr>
              <w:spacing w:before="26" w:after="26"/>
            </w:pPr>
            <w:r>
              <w:rPr>
                <w:color w:val="232733"/>
                <w:sz w:val="16"/>
                <w:szCs w:val="16"/>
              </w:rPr>
              <w:t xml:space="preserve">0</w:t>
            </w:r>
          </w:p>
        </w:tc>
        <w:tc>
          <w:tcPr>
            <w:tcW w:type="pct" w:w="1047"/>
            <w:tcMar>
              <w:top w:type="dxa" w:w="50"/>
              <w:left w:type="dxa" w:w="110"/>
              <w:bottom w:type="dxa" w:w="50"/>
              <w:right w:type="dxa" w:w="110"/>
            </w:tcMar>
          </w:tcPr>
          <w:p>
            <w:pPr>
              <w:spacing w:before="26" w:after="26"/>
            </w:pPr>
            <w:r>
              <w:rPr>
                <w:color w:val="232733"/>
                <w:sz w:val="16"/>
                <w:szCs w:val="16"/>
              </w:rPr>
              <w:t xml:space="preserve">30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1,050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Other 2026 cash information</w:t>
            </w:r>
          </w:p>
        </w:tc>
        <w:tc>
          <w:tcPr>
            <w:tcW w:type="pct" w:w="1353"/>
            <w:tcMar>
              <w:top w:type="dxa" w:w="50"/>
              <w:left w:type="dxa" w:w="110"/>
              <w:bottom w:type="dxa" w:w="50"/>
              <w:right w:type="dxa" w:w="110"/>
            </w:tcMar>
          </w:tcPr>
          <w:p>
            <w:pPr>
              <w:spacing w:before="26" w:after="26"/>
            </w:pPr>
            <w:r>
              <w:rPr>
                <w:color w:val="232733"/>
                <w:sz w:val="16"/>
                <w:szCs w:val="16"/>
              </w:rPr>
              <w:t xml:space="preserve"/>
            </w:r>
          </w:p>
        </w:tc>
        <w:tc>
          <w:tcPr>
            <w:tcW w:type="pct" w:w="104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70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the division</w:t>
            </w:r>
          </w:p>
        </w:tc>
        <w:tc>
          <w:tcPr>
            <w:tcW w:type="pct" w:w="1353"/>
            <w:tcMar>
              <w:top w:type="dxa" w:w="50"/>
              <w:left w:type="dxa" w:w="110"/>
              <w:bottom w:type="dxa" w:w="50"/>
              <w:right w:type="dxa" w:w="110"/>
            </w:tcMar>
          </w:tcPr>
          <w:p>
            <w:pPr>
              <w:spacing w:before="26" w:after="26"/>
            </w:pPr>
            <w:r>
              <w:rPr>
                <w:color w:val="232733"/>
                <w:sz w:val="16"/>
                <w:szCs w:val="16"/>
              </w:rPr>
              <w:t xml:space="preserve">150</w:t>
            </w:r>
          </w:p>
        </w:tc>
        <w:tc>
          <w:tcPr>
            <w:tcW w:type="pct" w:w="104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equipment</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200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Note installment repaid (Chapter 2, M1)</w:t>
            </w:r>
          </w:p>
        </w:tc>
        <w:tc>
          <w:tcPr>
            <w:tcW w:type="pct" w:w="1353"/>
            <w:tcMar>
              <w:top w:type="dxa" w:w="50"/>
              <w:left w:type="dxa" w:w="110"/>
              <w:bottom w:type="dxa" w:w="50"/>
              <w:right w:type="dxa" w:w="110"/>
            </w:tcMar>
          </w:tcPr>
          <w:p>
            <w:pPr>
              <w:spacing w:before="26" w:after="26"/>
            </w:pPr>
            <w:r>
              <w:rPr>
                <w:color w:val="232733"/>
                <w:sz w:val="16"/>
                <w:szCs w:val="16"/>
              </w:rPr>
              <w:t xml:space="preserve">300</w:t>
            </w:r>
          </w:p>
        </w:tc>
        <w:tc>
          <w:tcPr>
            <w:tcW w:type="pct" w:w="104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 paid (declared in 2025)</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50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 bought (Chapter 4, E1)</w:t>
            </w:r>
          </w:p>
        </w:tc>
        <w:tc>
          <w:tcPr>
            <w:tcW w:type="pct" w:w="1353"/>
            <w:tcMar>
              <w:top w:type="dxa" w:w="50"/>
              <w:left w:type="dxa" w:w="110"/>
              <w:bottom w:type="dxa" w:w="50"/>
              <w:right w:type="dxa" w:w="110"/>
            </w:tcMar>
          </w:tcPr>
          <w:p>
            <w:pPr>
              <w:spacing w:before="26" w:after="26"/>
            </w:pPr>
            <w:r>
              <w:rPr>
                <w:color w:val="232733"/>
                <w:sz w:val="16"/>
                <w:szCs w:val="16"/>
              </w:rPr>
              <w:t xml:space="preserve">480</w:t>
            </w:r>
          </w:p>
        </w:tc>
        <w:tc>
          <w:tcPr>
            <w:tcW w:type="pct" w:w="104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Treasury stock reissued (E2 and E3)</w:t>
            </w:r>
          </w:p>
        </w:tc>
        <w:tc>
          <w:tcPr>
            <w:tcW w:type="pct" w:w="1353"/>
            <w:shd w:fill="FBFAF6" w:val="clear"/>
            <w:tcMar>
              <w:top w:type="dxa" w:w="50"/>
              <w:left w:type="dxa" w:w="110"/>
              <w:bottom w:type="dxa" w:w="50"/>
              <w:right w:type="dxa" w:w="110"/>
            </w:tcMar>
          </w:tcPr>
          <w:p>
            <w:pPr>
              <w:spacing w:before="26" w:after="26"/>
            </w:pPr>
            <w:r>
              <w:rPr>
                <w:color w:val="232733"/>
                <w:sz w:val="16"/>
                <w:szCs w:val="16"/>
              </w:rPr>
              <w:t xml:space="preserve">200</w:t>
            </w:r>
          </w:p>
        </w:tc>
        <w:tc>
          <w:tcPr>
            <w:tcW w:type="pct" w:w="104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 dividend declared December 15, 2026, payable January 2027</w:t>
            </w:r>
          </w:p>
        </w:tc>
        <w:tc>
          <w:tcPr>
            <w:tcW w:type="pct" w:w="1353"/>
            <w:tcMar>
              <w:top w:type="dxa" w:w="50"/>
              <w:left w:type="dxa" w:w="110"/>
              <w:bottom w:type="dxa" w:w="50"/>
              <w:right w:type="dxa" w:w="110"/>
            </w:tcMar>
          </w:tcPr>
          <w:p>
            <w:pPr>
              <w:spacing w:before="26" w:after="26"/>
            </w:pPr>
            <w:r>
              <w:rPr>
                <w:color w:val="232733"/>
                <w:sz w:val="16"/>
                <w:szCs w:val="16"/>
              </w:rPr>
              <w:t xml:space="preserve">121</w:t>
            </w:r>
          </w:p>
        </w:tc>
        <w:tc>
          <w:tcPr>
            <w:tcW w:type="pct" w:w="1047"/>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Interest paid on a bank loan</w:t>
            </w:r>
          </w:p>
        </w:tc>
        <w:tc>
          <w:tcPr>
            <w:tcW w:type="pct" w:w="2600"/>
            <w:tcMar>
              <w:top w:type="dxa" w:w="50"/>
              <w:left w:type="dxa" w:w="110"/>
              <w:bottom w:type="dxa" w:w="50"/>
              <w:right w:type="dxa" w:w="110"/>
            </w:tcMar>
          </w:tcPr>
          <w:p>
            <w:pPr>
              <w:spacing w:before="28" w:after="28"/>
            </w:pPr>
            <w:r>
              <w:rPr>
                <w:sz w:val="15"/>
                <w:szCs w:val="15"/>
              </w:rPr>
              <w:t xml:space="preserve">Operating (U.S. GAAP gives no choice).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Selling Jordan Glass shares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400"/>
            <w:tcMar>
              <w:top w:type="dxa" w:w="50"/>
              <w:left w:type="dxa" w:w="110"/>
              <w:bottom w:type="dxa" w:w="50"/>
              <w:right w:type="dxa" w:w="110"/>
            </w:tcMar>
          </w:tcPr>
          <w:p>
            <w:pPr>
              <w:spacing w:before="28" w:after="28"/>
            </w:pPr>
            <w:r>
              <w:rPr>
                <w:sz w:val="15"/>
                <w:szCs w:val="15"/>
              </w:rPr>
              <w:t xml:space="preserve">Land for a long-term note</w:t>
            </w:r>
          </w:p>
        </w:tc>
        <w:tc>
          <w:tcPr>
            <w:tcW w:type="pct" w:w="2600"/>
            <w:tcMar>
              <w:top w:type="dxa" w:w="50"/>
              <w:left w:type="dxa" w:w="110"/>
              <w:bottom w:type="dxa" w:w="50"/>
              <w:right w:type="dxa" w:w="110"/>
            </w:tcMar>
          </w:tcPr>
          <w:p>
            <w:pPr>
              <w:spacing w:before="28" w:after="28"/>
            </w:pPr>
            <w:r>
              <w:rPr>
                <w:sz w:val="15"/>
                <w:szCs w:val="15"/>
              </w:rPr>
              <w:t xml:space="preserve">Noncash investing and financing activity: disclosed, not in the body.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Buying back own shares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Financing: a transaction with owners.   ·   Operating (U.S. GAAP gives no choice).   ·   Investing: another company's securities.</w:t>
            </w:r>
          </w:p>
        </w:tc>
      </w:tr>
    </w:tbl>
    <w:p/>
    <w:p>
      <w:pPr>
        <w:pageBreakBefore w:val="true"/>
        <w:spacing w:after="0"/>
      </w:pPr>
      <w:r>
        <w:rPr>
          <w:sz w:val="2"/>
        </w:rPr>
        <w:t xml:space="preserve"> </w:t>
      </w:r>
    </w:p>
    <w:p>
      <w:pPr>
        <w:spacing w:before="44" w:after="10"/>
      </w:pPr>
      <w:r>
        <w:rPr>
          <w:b/>
          <w:bCs/>
          <w:color w:val="353A7C"/>
          <w:sz w:val="18"/>
          <w:szCs w:val="18"/>
        </w:rPr>
        <w:t xml:space="preserve">Cash flow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Treasury stock bought   ·   Interest paid   ·   operating activities</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Limitations and links between the four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manage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disclosures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impossible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definition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jurisdiction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financement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correct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Investing: another company's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Important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Financing: a transaction with owners.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Interest paid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classifications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Treasury stock bought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interest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Cash flows are harder to manage than profits, but not impossible. A company can raise operating cash near year-end by delaying payments to suppliers or by selling receivables. The statement also shows only one year, and it is not a measure of profit. Important noncash deals, such as buying a building with a mortgage, appear only in the notes. Some classifications are also arbitrary: interest paid is operating under U.S. GAAP but may be financing under IFRS, which makes companies harder to compare. Finally, one year of cash flows can mislead. A company that stops investing will show strong cash flow for a while, even if its future is weak. The links also help you find amounts that are not given. Orontes declared dividends of $450,000, but dividends payable rose by $400,000, so dividends paid were only $50,000. That is the amount in the financing section.</w:t>
      </w:r>
    </w:p>
    <w:p>
      <w:pPr>
        <w:spacing w:before="20" w:after="20"/>
        <w:ind w:left="240" w:hanging="240"/>
      </w:pPr>
      <w:r>
        <w:rPr>
          <w:b/>
          <w:bCs/>
          <w:color w:val="353A7C"/>
          <w:sz w:val="15"/>
          <w:szCs w:val="15"/>
        </w:rPr>
        <w:t xml:space="preserve">Summary 2   </w:t>
      </w:r>
      <w:r>
        <w:rPr>
          <w:color w:val="6B7280"/>
          <w:sz w:val="15"/>
          <w:szCs w:val="15"/>
        </w:rPr>
        <w:t xml:space="preserve">In August 2026 the FASB proposed new disclosures about the parts of cash equivalents and about some digital assets. It is only a proposal; the definition of cash equivalents does not change. ASU 2023-09 already requires income taxes paid by jurisdiction; know this at awareness level.</w:t>
      </w:r>
    </w:p>
    <w:p>
      <w:pPr>
        <w:spacing w:before="20" w:after="20"/>
        <w:ind w:left="240" w:hanging="240"/>
      </w:pPr>
      <w:r>
        <w:rPr>
          <w:b/>
          <w:bCs/>
          <w:color w:val="353A7C"/>
          <w:sz w:val="15"/>
          <w:szCs w:val="15"/>
        </w:rPr>
        <w:t xml:space="preserve">Summary 3   </w:t>
      </w:r>
      <w:r>
        <w:rPr>
          <w:color w:val="6B7280"/>
          <w:sz w:val="15"/>
          <w:szCs w:val="15"/>
        </w:rPr>
        <w:t xml:space="preserve">French tableau de financement is an older funds statement based on working capital, not a statement of cash flows. The IFRS term is tableau des flux de trésorerie. Arabic قائمة التدفقات النقدية is the correct term for this statement.</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Purpose and structure of the statement of cash flows</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Classifying cash flows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The indirect method</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The direct method and required disclosures</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Limitations and links between the four statements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2bd71b2144b2b8f748c296da091b6eac85a7a14.png" Type="http://schemas.openxmlformats.org/officeDocument/2006/relationships/image"/><Relationship Id="rId102" Target="media/0672492ed380026438214573df6bff573f164327.png" Type="http://schemas.openxmlformats.org/officeDocument/2006/relationships/image"/><Relationship Id="rId103" Target="media/5dc3ab6893d7ece0982da180fe44ef92f73158f7.png" Type="http://schemas.openxmlformats.org/officeDocument/2006/relationships/image"/><Relationship Id="rId104" Target="media/99d3830d9e50f1d1e7e18e75ee3b7684632a0f4f.png" Type="http://schemas.openxmlformats.org/officeDocument/2006/relationships/image"/><Relationship Id="rId105" Target="media/5dd675b64f06e3ca7d50237da9069ad03203e59a.png" Type="http://schemas.openxmlformats.org/officeDocument/2006/relationships/image"/><Relationship Id="rId106" Target="media/da65732f629684779dbd67d2e10d3baba574e14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5</dc:title>
  <dc:subject>Summary handouts</dc:subject>
  <cp:category>Student Book</cp:category>
</cp:coreProperties>
</file>