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7.1  Which goods belong in inventory?</w:t>
            </w:r>
          </w:p>
          <w:p>
            <w:pPr>
              <w:spacing w:before="0" w:after="46"/>
            </w:pPr>
            <w:r>
              <w:rPr>
                <w:color w:val="E8EAF6"/>
                <w:sz w:val="16"/>
                <w:szCs w:val="16"/>
              </w:rPr>
              <w:t xml:space="preserve">Chapter 7 · section 7.1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7,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4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448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Cost flow assumptions   ·   Inventory errors   ·   perpetual inventory system</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Inventory means goods held for sale in 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course of business, goods in production, and materials that will be used in production. </w:t>
      </w:r>
      <w:r>
        <w:rPr>
          <w:sz w:val="19"/>
          <w:szCs w:val="19"/>
        </w:rPr>
        <w:t xml:space="preserve">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such as Barada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Inc. has one inventory account.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such as Orontes has three: raw materials, work in process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goods. </w:t>
      </w:r>
      <w:r>
        <w:rPr>
          <w:sz w:val="19"/>
          <w:szCs w:val="19"/>
        </w:rPr>
        <w:t xml:space="preserve">The basic rule is simple: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goods that the company controls on the balance sheet date,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they are. </w:t>
      </w:r>
      <w:r>
        <w:rPr>
          <w:sz w:val="19"/>
          <w:szCs w:val="19"/>
        </w:rPr>
        <w:t xml:space="preserve">Control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follows legal title. </w:t>
      </w:r>
      <w:r>
        <w:rPr>
          <w:sz w:val="19"/>
          <w:szCs w:val="19"/>
        </w:rPr>
        <w:t xml:space="preserve">The shipping term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who controls goods that are on a truck or a ship at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Under FOB shipping point, control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to the buyer when the goods leave the seller, so the buyer includes them. </w:t>
      </w:r>
      <w:r>
        <w:rPr>
          <w:sz w:val="19"/>
          <w:szCs w:val="19"/>
        </w:rPr>
        <w:t xml:space="preserve">Under FOB destination, the seller keeps control until the goods arrive, so the seller includes them. </w:t>
      </w:r>
      <w:r>
        <w:rPr>
          <w:sz w:val="19"/>
          <w:szCs w:val="19"/>
        </w:rPr>
        <w:t xml:space="preserve">In a consignment, the consignor (the owner) gives goods to a consignee, who sells them for a commission.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finished   ·   wherever   ·   retailer   ·   Wholesale   ·   ordinary   ·   usually   ·   year-end   ·   passes   ·   manufacturer   ·   FOB destination   ·   decides</w:t>
            </w:r>
          </w:p>
        </w:tc>
      </w:tr>
    </w:tbl>
    <w:p/>
    <w:p>
      <w:pPr>
        <w:spacing w:before="44" w:after="14"/>
      </w:pPr>
      <w:r>
        <w:rPr>
          <w:b/>
          <w:bCs/>
          <w:color w:val="353A7C"/>
          <w:sz w:val="18"/>
          <w:szCs w:val="18"/>
        </w:rPr>
        <w:t xml:space="preserve">Summary 2</w:t>
      </w:r>
      <w:r>
        <w:rPr>
          <w:color w:val="6B7280"/>
          <w:sz w:val="16"/>
          <w:szCs w:val="16"/>
        </w:rPr>
        <w:t xml:space="preserve">      gaps 14–21</w:t>
      </w:r>
    </w:p>
    <w:p>
      <w:pPr>
        <w:spacing w:before="20" w:after="20" w:line="360" w:lineRule="auto"/>
        <w:ind w:left="200"/>
      </w:pPr>
      <w:r>
        <w:rPr>
          <w:sz w:val="19"/>
          <w:szCs w:val="19"/>
        </w:rPr>
        <w:t xml:space="preserve">The goods stay in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inventory.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never includes them, even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they are in its shop. </w:t>
      </w:r>
      <w:r>
        <w:rPr>
          <w:sz w:val="19"/>
          <w:szCs w:val="19"/>
        </w:rPr>
        <w:t xml:space="preserve">Goods in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that belong to another company must be taken out of the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count. </w:t>
      </w:r>
      <w:r>
        <w:rPr>
          <w:sz w:val="19"/>
          <w:szCs w:val="19"/>
        </w:rPr>
        <w:t xml:space="preserve">Goods the company owns that are held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else must be added. </w:t>
      </w:r>
      <w:r>
        <w:rPr>
          <w:sz w:val="19"/>
          <w:szCs w:val="19"/>
        </w:rPr>
        <w:t xml:space="preserve">Two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cases appear in later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When customers have a right of return, the seller records revenue net of expected returns and a separate asset for the goods it expects to get back (Chapter 11). </w:t>
      </w:r>
      <w:r>
        <w:rPr>
          <w:sz w:val="19"/>
          <w:szCs w:val="19"/>
        </w:rPr>
        <w:t xml:space="preserve">In a bill-and-hold sale, the seller keeps the goods in its inventory unless strict conditions show that the buyer already controls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special   ·   FOB destination   ·   chapters   ·   warehouse   ·   somewhere   ·   physical   ·   though   ·   consignee   ·   consignor's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FOB flip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FOB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point: the BUYER includes goods in transit. </w:t>
      </w:r>
      <w:r>
        <w:rPr>
          <w:sz w:val="19"/>
          <w:szCs w:val="19"/>
        </w:rPr>
        <w:t xml:space="preserve">FOB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the SELLER includes them. </w:t>
      </w:r>
      <w:r>
        <w:rPr>
          <w:sz w:val="19"/>
          <w:szCs w:val="19"/>
        </w:rPr>
        <w:t xml:space="preserve">Many candidates reverse these. </w:t>
      </w:r>
      <w:r>
        <w:rPr>
          <w:sz w:val="19"/>
          <w:szCs w:val="19"/>
        </w:rPr>
        <w:t xml:space="preserve">The consignee never includes consigned goods, even when they are on its own shelves.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physical count   ·   shipping   ·   destination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FOB is not the Incoterm you know</w:t>
            </w:r>
          </w:p>
        </w:tc>
      </w:tr>
    </w:tbl>
    <w:p/>
    <w:p>
      <w:pPr>
        <w:spacing w:before="44" w:after="14"/>
      </w:pPr>
      <w:r>
        <w:rPr>
          <w:b/>
          <w:bCs/>
          <w:color w:val="353A7C"/>
          <w:sz w:val="18"/>
          <w:szCs w:val="18"/>
        </w:rPr>
        <w:t xml:space="preserve">Summary 4</w:t>
      </w:r>
      <w:r>
        <w:rPr>
          <w:color w:val="6B7280"/>
          <w:sz w:val="16"/>
          <w:szCs w:val="16"/>
        </w:rPr>
        <w:t xml:space="preserve">      gaps 24–28</w:t>
      </w:r>
    </w:p>
    <w:p>
      <w:pPr>
        <w:spacing w:before="20" w:after="20" w:line="360" w:lineRule="auto"/>
        <w:ind w:left="200"/>
      </w:pPr>
      <w:r>
        <w:rPr>
          <w:sz w:val="19"/>
          <w:szCs w:val="19"/>
        </w:rPr>
        <w:t xml:space="preserve">In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trade, FOB (free on board) is an Incoterm about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goods onto a ship. </w:t>
      </w:r>
      <w:r>
        <w:rPr>
          <w:sz w:val="19"/>
          <w:szCs w:val="19"/>
        </w:rPr>
        <w:t xml:space="preserve">In U.S. exam questions, FOB shipping point and FOB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are simple shipping terms that decide who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goods in transit, by truck, rail or sea. </w:t>
      </w:r>
      <w:r>
        <w:rPr>
          <w:sz w:val="19"/>
          <w:szCs w:val="19"/>
        </w:rPr>
        <w:t xml:space="preserve">Do not bring Incoterm rules into these questions. </w:t>
      </w:r>
      <w:r>
        <w:rPr>
          <w:sz w:val="19"/>
          <w:szCs w:val="19"/>
        </w:rPr>
        <w:t xml:space="preserve">Arabic: البضاعة بالأمانة is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the owner is the consignor (المُرسِل) and the seller in the shop is the consignee (المُرسَل إليه).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loading   ·   controls   ·   physical count   ·   consignment   ·   destination   ·   international</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consignor   ·   consignment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goods in transit</w:t>
            </w:r>
          </w:p>
        </w:tc>
        <w:tc>
          <w:tcPr>
            <w:tcW w:type="pct" w:w="2600"/>
            <w:tcMar>
              <w:top w:type="dxa" w:w="50"/>
              <w:left w:type="dxa" w:w="110"/>
              <w:bottom w:type="dxa" w:w="50"/>
              <w:right w:type="dxa" w:w="110"/>
            </w:tcMar>
          </w:tcPr>
          <w:p>
            <w:pPr>
              <w:spacing w:before="26" w:after="26"/>
            </w:pPr>
            <w:r>
              <w:rPr>
                <w:color w:val="232733"/>
                <w:sz w:val="16"/>
                <w:szCs w:val="16"/>
              </w:rPr>
              <w:t xml:space="preserve">بضاعة في الطريق</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FOB shipping point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التسليم عند نقطة الشحن</w:t>
            </w:r>
          </w:p>
        </w:tc>
      </w:tr>
      <w:tr>
        <w:tc>
          <w:tcPr>
            <w:tcW w:type="pct" w:w="2400"/>
            <w:tcMar>
              <w:top w:type="dxa" w:w="50"/>
              <w:left w:type="dxa" w:w="110"/>
              <w:bottom w:type="dxa" w:w="50"/>
              <w:right w:type="dxa" w:w="110"/>
            </w:tcMar>
          </w:tcPr>
          <w:p>
            <w:pPr>
              <w:spacing w:before="26" w:after="26"/>
            </w:pPr>
            <w:r>
              <w:rPr>
                <w:color w:val="232733"/>
                <w:sz w:val="16"/>
                <w:szCs w:val="16"/>
              </w:rPr>
              <w:t xml:space="preserve">FOB destination</w:t>
            </w:r>
          </w:p>
        </w:tc>
        <w:tc>
          <w:tcPr>
            <w:tcW w:type="pct" w:w="2600"/>
            <w:tcMar>
              <w:top w:type="dxa" w:w="50"/>
              <w:left w:type="dxa" w:w="110"/>
              <w:bottom w:type="dxa" w:w="50"/>
              <w:right w:type="dxa" w:w="110"/>
            </w:tcMar>
          </w:tcPr>
          <w:p>
            <w:pPr>
              <w:spacing w:before="26" w:after="26"/>
            </w:pPr>
            <w:r>
              <w:rPr>
                <w:color w:val="232733"/>
                <w:sz w:val="16"/>
                <w:szCs w:val="16"/>
              </w:rPr>
              <w:t xml:space="preserve">التسليم عند نقطة الوصول</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consignment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البضاعة بالأمانة</w:t>
            </w:r>
          </w:p>
        </w:tc>
      </w:tr>
      <w:tr>
        <w:tc>
          <w:tcPr>
            <w:tcW w:type="pct" w:w="2400"/>
            <w:tcMar>
              <w:top w:type="dxa" w:w="50"/>
              <w:left w:type="dxa" w:w="110"/>
              <w:bottom w:type="dxa" w:w="50"/>
              <w:right w:type="dxa" w:w="110"/>
            </w:tcMar>
          </w:tcPr>
          <w:p>
            <w:pPr>
              <w:spacing w:before="26" w:after="26"/>
            </w:pPr>
            <w:r>
              <w:rPr>
                <w:color w:val="232733"/>
                <w:sz w:val="16"/>
                <w:szCs w:val="16"/>
              </w:rPr>
              <w:t xml:space="preserve">consignor</w:t>
            </w:r>
          </w:p>
        </w:tc>
        <w:tc>
          <w:tcPr>
            <w:tcW w:type="pct" w:w="2600"/>
            <w:tcMar>
              <w:top w:type="dxa" w:w="50"/>
              <w:left w:type="dxa" w:w="110"/>
              <w:bottom w:type="dxa" w:w="50"/>
              <w:right w:type="dxa" w:w="110"/>
            </w:tcMar>
          </w:tcPr>
          <w:p>
            <w:pPr>
              <w:spacing w:before="26" w:after="26"/>
            </w:pPr>
            <w:r>
              <w:rPr>
                <w:color w:val="232733"/>
                <w:sz w:val="16"/>
                <w:szCs w:val="16"/>
              </w:rPr>
              <w:t xml:space="preserve">المُرسِل (مالك البضاعة بالأمانة)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consignee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المُرسَل إليه (الوكيل بالعمولة)</w:t>
            </w:r>
          </w:p>
        </w:tc>
      </w:tr>
      <w:tr>
        <w:tc>
          <w:tcPr>
            <w:tcW w:type="pct" w:w="2400"/>
            <w:tcMar>
              <w:top w:type="dxa" w:w="50"/>
              <w:left w:type="dxa" w:w="110"/>
              <w:bottom w:type="dxa" w:w="50"/>
              <w:right w:type="dxa" w:w="110"/>
            </w:tcMar>
          </w:tcPr>
          <w:p>
            <w:pPr>
              <w:spacing w:before="26" w:after="26"/>
            </w:pPr>
            <w:r>
              <w:rPr>
                <w:color w:val="232733"/>
                <w:sz w:val="16"/>
                <w:szCs w:val="16"/>
              </w:rPr>
              <w:t xml:space="preserve">physical count</w:t>
            </w:r>
          </w:p>
        </w:tc>
        <w:tc>
          <w:tcPr>
            <w:tcW w:type="pct" w:w="2600"/>
            <w:tcMar>
              <w:top w:type="dxa" w:w="50"/>
              <w:left w:type="dxa" w:w="110"/>
              <w:bottom w:type="dxa" w:w="50"/>
              <w:right w:type="dxa" w:w="110"/>
            </w:tcMar>
          </w:tcPr>
          <w:p>
            <w:pPr>
              <w:spacing w:before="26" w:after="26"/>
            </w:pPr>
            <w:r>
              <w:rPr>
                <w:color w:val="232733"/>
                <w:sz w:val="16"/>
                <w:szCs w:val="16"/>
              </w:rPr>
              <w:t xml:space="preserve">الجرد الفعلي</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7.1  Which goods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Cost flow assumptions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though</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Inventory errors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ordinary</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retailer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somewhere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Wholesale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special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manufacturer</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chapters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finished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shipping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include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wherever</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international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usually</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loading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decides</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destination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year-end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controls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passes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consignor's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consignment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consignee</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consignor</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means goods held for sale in the ordinary course of business, goods in production, and materials that will be used in production. A retailer such as Barada Wholesale, Inc. has one inventory account. A manufacturer such as Orontes has three: raw materials, work in process and finished goods. The basic rule is simple: include the goods that the company controls on the balance sheet date, wherever they are. Control usually follows legal title. The shipping term decides who controls goods that are on a truck or a ship at year-end. Under FOB shipping point, control passes to the buyer when the goods leave the seller, so the buyer includes them. Under FOB destination, the seller keeps control until the goods arrive, so the seller includes them. In a consignment, the consignor (the owner) gives goods to a consignee, who sells them for a commission.</w:t>
      </w:r>
    </w:p>
    <w:p>
      <w:pPr>
        <w:spacing w:before="20" w:after="20"/>
        <w:ind w:left="240" w:hanging="240"/>
      </w:pPr>
      <w:r>
        <w:rPr>
          <w:b/>
          <w:bCs/>
          <w:color w:val="353A7C"/>
          <w:sz w:val="15"/>
          <w:szCs w:val="15"/>
        </w:rPr>
        <w:t xml:space="preserve">Summary 2   </w:t>
      </w:r>
      <w:r>
        <w:rPr>
          <w:color w:val="6B7280"/>
          <w:sz w:val="15"/>
          <w:szCs w:val="15"/>
        </w:rPr>
        <w:t xml:space="preserve">The goods stay in the consignor's inventory. The consignee never includes them, even though they are in its shop. Goods in the warehouse that belong to another company must be taken out of the physical count. Goods the company owns that are held somewhere else must be added. Two special cases appear in later chapters. When customers have a right of return, the seller records revenue net of expected returns and a separate asset for the goods it expects to get back (Chapter 11). In a bill-and-hold sale, the seller keeps the goods in its inventory unless strict conditions show that the buyer already controls them.</w:t>
      </w:r>
    </w:p>
    <w:p>
      <w:pPr>
        <w:spacing w:before="20" w:after="20"/>
        <w:ind w:left="240" w:hanging="240"/>
      </w:pPr>
      <w:r>
        <w:rPr>
          <w:b/>
          <w:bCs/>
          <w:color w:val="353A7C"/>
          <w:sz w:val="15"/>
          <w:szCs w:val="15"/>
        </w:rPr>
        <w:t xml:space="preserve">Summary 3   </w:t>
      </w:r>
      <w:r>
        <w:rPr>
          <w:color w:val="6B7280"/>
          <w:sz w:val="15"/>
          <w:szCs w:val="15"/>
        </w:rPr>
        <w:t xml:space="preserve">FOB shipping point: the BUYER includes goods in transit. FOB destination: the SELLER includes them. Many candidates reverse these. The consignee never includes consigned goods, even when they are on its own shelves.</w:t>
      </w:r>
    </w:p>
    <w:p>
      <w:pPr>
        <w:spacing w:before="20" w:after="20"/>
        <w:ind w:left="240" w:hanging="240"/>
      </w:pPr>
      <w:r>
        <w:rPr>
          <w:b/>
          <w:bCs/>
          <w:color w:val="353A7C"/>
          <w:sz w:val="15"/>
          <w:szCs w:val="15"/>
        </w:rPr>
        <w:t xml:space="preserve">Summary 4   </w:t>
      </w:r>
      <w:r>
        <w:rPr>
          <w:color w:val="6B7280"/>
          <w:sz w:val="15"/>
          <w:szCs w:val="15"/>
        </w:rPr>
        <w:t xml:space="preserve">In international trade, FOB (free on board) is an Incoterm about loading goods onto a ship. In U.S. exam questions, FOB shipping point and FOB destination are simple shipping terms that decide who controls goods in transit, by truck, rail or sea. Do not bring Incoterm rules into these questions. Arabic: البضاعة بالأمانة is consignment; the owner is the consignor (المُرسِل) and the seller in the shop is the consignee (المُرسَل إليه).</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7.2  Which costs belong in inventory?</w:t>
            </w:r>
          </w:p>
          <w:p>
            <w:pPr>
              <w:spacing w:before="0" w:after="46"/>
            </w:pPr>
            <w:r>
              <w:rPr>
                <w:color w:val="E8EAF6"/>
                <w:sz w:val="16"/>
                <w:szCs w:val="16"/>
              </w:rPr>
              <w:t xml:space="preserve">Chapter 7 · section 7.2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Inventory is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at cost. </w:t>
      </w:r>
      <w:r>
        <w:rPr>
          <w:sz w:val="19"/>
          <w:szCs w:val="19"/>
        </w:rPr>
        <w:t xml:space="preserve">Cost means all the costs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to bring the goods to their present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and location. </w:t>
      </w:r>
      <w:r>
        <w:rPr>
          <w:sz w:val="19"/>
          <w:szCs w:val="19"/>
        </w:rPr>
        <w:t xml:space="preserve">These are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costs: they stay in inventory as an asset, and they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of goods sold when the goods are sold. </w:t>
      </w:r>
      <w:r>
        <w:rPr>
          <w:sz w:val="19"/>
          <w:szCs w:val="19"/>
        </w:rPr>
        <w:t xml:space="preserve">Other costs are period costs: they are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in the period in which they occur. </w:t>
      </w:r>
      <w:r>
        <w:rPr>
          <w:sz w:val="19"/>
          <w:szCs w:val="19"/>
        </w:rPr>
        <w:t xml:space="preserve">For goods that are bought, cost includes the purchase price,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import duties,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taxes and handling, less trade discounts and any purchase discount taken for early payment. </w:t>
      </w:r>
      <w:r>
        <w:rPr>
          <w:sz w:val="19"/>
          <w:szCs w:val="19"/>
        </w:rPr>
        <w:t xml:space="preserve">For goods that are made, cost also includes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labor and production overhead. </w:t>
      </w:r>
      <w:r>
        <w:rPr>
          <w:sz w:val="19"/>
          <w:szCs w:val="19"/>
        </w:rPr>
        <w:t xml:space="preserve">Fixed production overhead needs care. </w:t>
      </w:r>
      <w:r>
        <w:rPr>
          <w:sz w:val="19"/>
          <w:szCs w:val="19"/>
        </w:rPr>
        <w:t xml:space="preserve">It is allocated to units on the basis of normal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output the plant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 average over several periods. </w:t>
      </w:r>
      <w:r>
        <w:rPr>
          <w:sz w:val="19"/>
          <w:szCs w:val="19"/>
        </w:rPr>
        <w:t xml:space="preserve">If output is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low, the fixed overhead that is not allocated is an expense of the period. </w:t>
      </w:r>
      <w:r>
        <w:rPr>
          <w:sz w:val="19"/>
          <w:szCs w:val="19"/>
        </w:rPr>
        <w:t xml:space="preserve">In the same way, abnormal waste (unusual spoilage, idle time or extra freight) is an expense, not inventory cost.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become   ·   freight-in   ·   inventoriable   ·   non-refundable   ·   needed   ·   capacity   ·   period cost   ·   unusually   ·   expenses   ·   condition   ·   expects   ·   direct   ·   recorded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cost of imported glass bottles</w:t>
            </w:r>
          </w:p>
        </w:tc>
      </w:tr>
    </w:tbl>
    <w:p/>
    <w:p>
      <w:pPr>
        <w:spacing w:before="44" w:after="14"/>
      </w:pPr>
      <w:r>
        <w:rPr>
          <w:b/>
          <w:bCs/>
          <w:color w:val="353A7C"/>
          <w:sz w:val="18"/>
          <w:szCs w:val="18"/>
        </w:rPr>
        <w:t xml:space="preserve">Summary 2</w:t>
      </w:r>
      <w:r>
        <w:rPr>
          <w:color w:val="6B7280"/>
          <w:sz w:val="16"/>
          <w:szCs w:val="16"/>
        </w:rPr>
        <w:t xml:space="preserve">      gaps 13–14</w:t>
      </w:r>
    </w:p>
    <w:p>
      <w:pPr>
        <w:spacing w:before="20" w:after="20" w:line="360" w:lineRule="auto"/>
        <w:ind w:left="200"/>
      </w:pPr>
      <w:r>
        <w:rPr>
          <w:sz w:val="19"/>
          <w:szCs w:val="19"/>
        </w:rPr>
        <w:t xml:space="preserve">Orontes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glass bottles for its Amman plant. </w:t>
      </w:r>
      <w:r>
        <w:rPr>
          <w:sz w:val="19"/>
          <w:szCs w:val="19"/>
        </w:rPr>
        <w:t xml:space="preserve">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is $20,000, and Orontes pays within the discount period, so it takes a 2% discount. </w:t>
      </w:r>
      <w:r>
        <w:rPr>
          <w:sz w:val="19"/>
          <w:szCs w:val="19"/>
        </w:rPr>
        <w:t xml:space="preserve">Other costs are shown below (whole dollars).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imports   ·   invoice   ·   normal capacity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1679"/>
        <w:gridCol w:w="2929"/>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cost of imported glass bottles</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874"/>
            <w:shd w:fill="353A7C" w:val="clear"/>
            <w:tcMar>
              <w:top w:type="dxa" w:w="50"/>
              <w:left w:type="dxa" w:w="110"/>
              <w:bottom w:type="dxa" w:w="50"/>
              <w:right w:type="dxa" w:w="110"/>
            </w:tcMar>
          </w:tcPr>
          <w:p>
            <w:pPr>
              <w:spacing w:before="30" w:after="30"/>
            </w:pPr>
            <w:r>
              <w:rPr>
                <w:b/>
                <w:bCs/>
                <w:color w:val="FFFFFF"/>
                <w:sz w:val="15"/>
                <w:szCs w:val="15"/>
              </w:rPr>
              <w:t xml:space="preserve">Amount</w:t>
            </w:r>
          </w:p>
        </w:tc>
        <w:tc>
          <w:tcPr>
            <w:tcW w:type="pct" w:w="1526"/>
            <w:shd w:fill="353A7C" w:val="clear"/>
            <w:tcMar>
              <w:top w:type="dxa" w:w="50"/>
              <w:left w:type="dxa" w:w="110"/>
              <w:bottom w:type="dxa" w:w="50"/>
              <w:right w:type="dxa" w:w="110"/>
            </w:tcMar>
          </w:tcPr>
          <w:p>
            <w:pPr>
              <w:spacing w:before="30" w:after="30"/>
            </w:pPr>
            <w:r>
              <w:rPr>
                <w:b/>
                <w:bCs/>
                <w:color w:val="FFFFFF"/>
                <w:sz w:val="15"/>
                <w:szCs w:val="15"/>
              </w:rPr>
              <w:t xml:space="preserve">Inventory cost?</w:t>
            </w:r>
          </w:p>
        </w:tc>
      </w:tr>
      <w:tr>
        <w:tc>
          <w:tcPr>
            <w:tcW w:type="pct" w:w="2600"/>
            <w:tcMar>
              <w:top w:type="dxa" w:w="50"/>
              <w:left w:type="dxa" w:w="110"/>
              <w:bottom w:type="dxa" w:w="50"/>
              <w:right w:type="dxa" w:w="110"/>
            </w:tcMar>
          </w:tcPr>
          <w:p>
            <w:pPr>
              <w:spacing w:before="28" w:after="28"/>
            </w:pPr>
            <w:r>
              <w:rPr>
                <w:sz w:val="15"/>
                <w:szCs w:val="15"/>
              </w:rPr>
              <w:t xml:space="preserve">Invoice price</w:t>
            </w:r>
          </w:p>
        </w:tc>
        <w:tc>
          <w:tcPr>
            <w:tcW w:type="pct" w:w="874"/>
            <w:tcMar>
              <w:top w:type="dxa" w:w="50"/>
              <w:left w:type="dxa" w:w="110"/>
              <w:bottom w:type="dxa" w:w="50"/>
              <w:right w:type="dxa" w:w="110"/>
            </w:tcMar>
          </w:tcPr>
          <w:p>
            <w:pPr>
              <w:spacing w:before="28" w:after="28"/>
            </w:pPr>
            <w:r>
              <w:rPr>
                <w:sz w:val="15"/>
                <w:szCs w:val="15"/>
              </w:rPr>
              <w:t xml:space="preserve">20,000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 discount taken</w:t>
            </w:r>
          </w:p>
        </w:tc>
        <w:tc>
          <w:tcPr>
            <w:tcW w:type="pct" w:w="874"/>
            <w:shd w:fill="FBFAF6" w:val="clear"/>
            <w:tcMar>
              <w:top w:type="dxa" w:w="50"/>
              <w:left w:type="dxa" w:w="110"/>
              <w:bottom w:type="dxa" w:w="50"/>
              <w:right w:type="dxa" w:w="110"/>
            </w:tcMar>
          </w:tcPr>
          <w:p>
            <w:pPr>
              <w:spacing w:before="28" w:after="28"/>
            </w:pPr>
            <w:r>
              <w:rPr>
                <w:sz w:val="15"/>
                <w:szCs w:val="15"/>
              </w:rPr>
              <w:t xml:space="preserve">(400)</w:t>
            </w:r>
          </w:p>
        </w:tc>
        <w:tc>
          <w:tcPr>
            <w:tcW w:type="pct" w:w="1526"/>
            <w:shd w:fill="FFFFFF" w:val="clear"/>
            <w:tcMar>
              <w:top w:type="dxa" w:w="50"/>
              <w:left w:type="dxa" w:w="110"/>
              <w:bottom w:type="dxa" w:w="50"/>
              <w:right w:type="dxa" w:w="110"/>
            </w:tcMar>
          </w:tcPr>
          <w:p>
            <w:pPr>
              <w:spacing w:before="46" w:after="46"/>
            </w:pPr>
            <w:r>
              <w:rPr>
                <w:b/>
                <w:bCs/>
                <w:color w:val="8186EF"/>
                <w:sz w:val="14"/>
                <w:szCs w:val="14"/>
              </w:rPr>
              <w:t xml:space="preserve">(15)</w:t>
            </w:r>
          </w:p>
        </w:tc>
      </w:tr>
      <w:tr>
        <w:tc>
          <w:tcPr>
            <w:tcW w:type="pct" w:w="2600"/>
            <w:tcMar>
              <w:top w:type="dxa" w:w="50"/>
              <w:left w:type="dxa" w:w="110"/>
              <w:bottom w:type="dxa" w:w="50"/>
              <w:right w:type="dxa" w:w="110"/>
            </w:tcMar>
          </w:tcPr>
          <w:p>
            <w:pPr>
              <w:spacing w:before="28" w:after="28"/>
            </w:pPr>
            <w:r>
              <w:rPr>
                <w:sz w:val="15"/>
                <w:szCs w:val="15"/>
              </w:rPr>
              <w:t xml:space="preserve">Freight-in from the port to Amman</w:t>
            </w:r>
          </w:p>
        </w:tc>
        <w:tc>
          <w:tcPr>
            <w:tcW w:type="pct" w:w="874"/>
            <w:tcMar>
              <w:top w:type="dxa" w:w="50"/>
              <w:left w:type="dxa" w:w="110"/>
              <w:bottom w:type="dxa" w:w="50"/>
              <w:right w:type="dxa" w:w="110"/>
            </w:tcMar>
          </w:tcPr>
          <w:p>
            <w:pPr>
              <w:spacing w:before="28" w:after="28"/>
            </w:pPr>
            <w:r>
              <w:rPr>
                <w:sz w:val="15"/>
                <w:szCs w:val="15"/>
              </w:rPr>
              <w:t xml:space="preserve">1,200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Import duty (not refundable)</w:t>
            </w:r>
          </w:p>
        </w:tc>
        <w:tc>
          <w:tcPr>
            <w:tcW w:type="pct" w:w="874"/>
            <w:shd w:fill="FBFAF6" w:val="clear"/>
            <w:tcMar>
              <w:top w:type="dxa" w:w="50"/>
              <w:left w:type="dxa" w:w="110"/>
              <w:bottom w:type="dxa" w:w="50"/>
              <w:right w:type="dxa" w:w="110"/>
            </w:tcMar>
          </w:tcPr>
          <w:p>
            <w:pPr>
              <w:spacing w:before="28" w:after="28"/>
            </w:pPr>
            <w:r>
              <w:rPr>
                <w:sz w:val="15"/>
                <w:szCs w:val="15"/>
              </w:rPr>
              <w:t xml:space="preserve">900</w:t>
            </w:r>
          </w:p>
        </w:tc>
        <w:tc>
          <w:tcPr>
            <w:tcW w:type="pct" w:w="1526"/>
            <w:shd w:fill="FBFAF6" w:val="clear"/>
            <w:tcMar>
              <w:top w:type="dxa" w:w="50"/>
              <w:left w:type="dxa" w:w="110"/>
              <w:bottom w:type="dxa" w:w="50"/>
              <w:right w:type="dxa" w:w="110"/>
            </w:tcMar>
          </w:tcPr>
          <w:p>
            <w:pPr>
              <w:spacing w:before="28" w:after="28"/>
            </w:pPr>
            <w:r>
              <w:rPr>
                <w:sz w:val="15"/>
                <w:szCs w:val="15"/>
              </w:rPr>
              <w:t xml:space="preserve">Yes</w:t>
            </w:r>
          </w:p>
        </w:tc>
      </w:tr>
      <w:tr>
        <w:tc>
          <w:tcPr>
            <w:tcW w:type="pct" w:w="2600"/>
            <w:tcMar>
              <w:top w:type="dxa" w:w="50"/>
              <w:left w:type="dxa" w:w="110"/>
              <w:bottom w:type="dxa" w:w="50"/>
              <w:right w:type="dxa" w:w="110"/>
            </w:tcMar>
          </w:tcPr>
          <w:p>
            <w:pPr>
              <w:spacing w:before="28" w:after="28"/>
            </w:pPr>
            <w:r>
              <w:rPr>
                <w:sz w:val="15"/>
                <w:szCs w:val="15"/>
              </w:rPr>
              <w:t xml:space="preserve">Insurance while the bottles are in transit</w:t>
            </w:r>
          </w:p>
        </w:tc>
        <w:tc>
          <w:tcPr>
            <w:tcW w:type="pct" w:w="874"/>
            <w:tcMar>
              <w:top w:type="dxa" w:w="50"/>
              <w:left w:type="dxa" w:w="110"/>
              <w:bottom w:type="dxa" w:w="50"/>
              <w:right w:type="dxa" w:w="110"/>
            </w:tcMar>
          </w:tcPr>
          <w:p>
            <w:pPr>
              <w:spacing w:before="28" w:after="28"/>
            </w:pPr>
            <w:r>
              <w:rPr>
                <w:sz w:val="15"/>
                <w:szCs w:val="15"/>
              </w:rPr>
              <w:t xml:space="preserve">300</w:t>
            </w:r>
          </w:p>
        </w:tc>
        <w:tc>
          <w:tcPr>
            <w:tcW w:type="pct" w:w="1526"/>
            <w:tcMar>
              <w:top w:type="dxa" w:w="50"/>
              <w:left w:type="dxa" w:w="110"/>
              <w:bottom w:type="dxa" w:w="50"/>
              <w:right w:type="dxa" w:w="110"/>
            </w:tcMar>
          </w:tcPr>
          <w:p>
            <w:pPr>
              <w:spacing w:before="28" w:after="28"/>
            </w:pPr>
            <w:r>
              <w:rPr>
                <w:sz w:val="15"/>
                <w:szCs w:val="15"/>
              </w:rPr>
              <w:t xml:space="preserve">Yes</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Freight-out when filled bottles go to customers</w:t>
            </w:r>
          </w:p>
        </w:tc>
        <w:tc>
          <w:tcPr>
            <w:tcW w:type="pct" w:w="874"/>
            <w:shd w:fill="FBFAF6" w:val="clear"/>
            <w:tcMar>
              <w:top w:type="dxa" w:w="50"/>
              <w:left w:type="dxa" w:w="110"/>
              <w:bottom w:type="dxa" w:w="50"/>
              <w:right w:type="dxa" w:w="110"/>
            </w:tcMar>
          </w:tcPr>
          <w:p>
            <w:pPr>
              <w:spacing w:before="28" w:after="28"/>
            </w:pPr>
            <w:r>
              <w:rPr>
                <w:sz w:val="15"/>
                <w:szCs w:val="15"/>
              </w:rPr>
              <w:t xml:space="preserve">700</w:t>
            </w:r>
          </w:p>
        </w:tc>
        <w:tc>
          <w:tcPr>
            <w:tcW w:type="pct" w:w="1526"/>
            <w:shd w:fill="FBFAF6" w:val="clear"/>
            <w:tcMar>
              <w:top w:type="dxa" w:w="50"/>
              <w:left w:type="dxa" w:w="110"/>
              <w:bottom w:type="dxa" w:w="50"/>
              <w:right w:type="dxa" w:w="110"/>
            </w:tcMar>
          </w:tcPr>
          <w:p>
            <w:pPr>
              <w:spacing w:before="28" w:after="28"/>
            </w:pPr>
            <w:r>
              <w:rPr>
                <w:sz w:val="15"/>
                <w:szCs w:val="15"/>
              </w:rPr>
              <w:t xml:space="preserve">No: selling expense</w:t>
            </w:r>
          </w:p>
        </w:tc>
      </w:tr>
      <w:tr>
        <w:tc>
          <w:tcPr>
            <w:tcW w:type="pct" w:w="2600"/>
            <w:tcMar>
              <w:top w:type="dxa" w:w="50"/>
              <w:left w:type="dxa" w:w="110"/>
              <w:bottom w:type="dxa" w:w="50"/>
              <w:right w:type="dxa" w:w="110"/>
            </w:tcMar>
          </w:tcPr>
          <w:p>
            <w:pPr>
              <w:spacing w:before="28" w:after="28"/>
            </w:pPr>
            <w:r>
              <w:rPr>
                <w:sz w:val="15"/>
                <w:szCs w:val="15"/>
              </w:rPr>
              <w:t xml:space="preserve">Storage of finished olive oil</w:t>
            </w:r>
          </w:p>
        </w:tc>
        <w:tc>
          <w:tcPr>
            <w:tcW w:type="pct" w:w="874"/>
            <w:tcMar>
              <w:top w:type="dxa" w:w="50"/>
              <w:left w:type="dxa" w:w="110"/>
              <w:bottom w:type="dxa" w:w="50"/>
              <w:right w:type="dxa" w:w="110"/>
            </w:tcMar>
          </w:tcPr>
          <w:p>
            <w:pPr>
              <w:spacing w:before="28" w:after="28"/>
            </w:pPr>
            <w:r>
              <w:rPr>
                <w:sz w:val="15"/>
                <w:szCs w:val="15"/>
              </w:rPr>
              <w:t xml:space="preserve">250</w:t>
            </w:r>
          </w:p>
        </w:tc>
        <w:tc>
          <w:tcPr>
            <w:tcW w:type="pct" w:w="1526"/>
            <w:shd w:fill="FFFFFF" w:val="clear"/>
            <w:tcMar>
              <w:top w:type="dxa" w:w="50"/>
              <w:left w:type="dxa" w:w="110"/>
              <w:bottom w:type="dxa" w:w="50"/>
              <w:right w:type="dxa" w:w="110"/>
            </w:tcMar>
          </w:tcPr>
          <w:p>
            <w:pPr>
              <w:spacing w:before="46" w:after="46"/>
            </w:pPr>
            <w:r>
              <w:rPr>
                <w:b/>
                <w:bCs/>
                <w:color w:val="8186EF"/>
                <w:sz w:val="14"/>
                <w:szCs w:val="14"/>
              </w:rPr>
              <w:t xml:space="preserve">(16)</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Cost of the bottles in inventory</w:t>
            </w:r>
          </w:p>
        </w:tc>
        <w:tc>
          <w:tcPr>
            <w:tcW w:type="pct" w:w="874"/>
            <w:shd w:fill="FBFAF6" w:val="clear"/>
            <w:tcMar>
              <w:top w:type="dxa" w:w="50"/>
              <w:left w:type="dxa" w:w="110"/>
              <w:bottom w:type="dxa" w:w="50"/>
              <w:right w:type="dxa" w:w="110"/>
            </w:tcMar>
          </w:tcPr>
          <w:p>
            <w:pPr>
              <w:spacing w:before="28" w:after="28"/>
            </w:pPr>
            <w:r>
              <w:rPr>
                <w:sz w:val="15"/>
                <w:szCs w:val="15"/>
              </w:rPr>
              <w:t xml:space="preserve">22,000</w:t>
            </w:r>
          </w:p>
        </w:tc>
        <w:tc>
          <w:tcPr>
            <w:tcW w:type="pct" w:w="1526"/>
            <w:shd w:fill="FBFAF6" w:val="clear"/>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 selling expense   ·   No: period cost   ·   Yes (reduces cost)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17–21</w:t>
      </w:r>
    </w:p>
    <w:p>
      <w:pPr>
        <w:spacing w:before="20" w:after="20" w:line="360" w:lineRule="auto"/>
        <w:ind w:left="200"/>
      </w:pPr>
      <w:r>
        <w:rPr>
          <w:sz w:val="19"/>
          <w:szCs w:val="19"/>
        </w:rPr>
        <w:t xml:space="preserve">The two costs at the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of the table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after the goods are ready for use. </w:t>
      </w:r>
      <w:r>
        <w:rPr>
          <w:sz w:val="19"/>
          <w:szCs w:val="19"/>
        </w:rPr>
        <w:t xml:space="preserve">They do not bring the bottles to their present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and location, so they are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IAS 2 uses the same idea of cost and lists the same exclusions: abnormal waste, storage,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overheads and selling costs. </w:t>
      </w:r>
      <w:r>
        <w:rPr>
          <w:sz w:val="19"/>
          <w:szCs w:val="19"/>
        </w:rPr>
        <w:t xml:space="preserve">The big IFRS difference is in the next section: IAS 2 does not allow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happen   ·   expenses   ·   inventoriable cost   ·   administrative   ·   condition   ·   bottom</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72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9726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available for sale   ·   purchase discount   ·   abnormal waste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freight-in</w:t>
            </w:r>
          </w:p>
        </w:tc>
        <w:tc>
          <w:tcPr>
            <w:tcW w:type="pct" w:w="2600"/>
            <w:tcMar>
              <w:top w:type="dxa" w:w="50"/>
              <w:left w:type="dxa" w:w="110"/>
              <w:bottom w:type="dxa" w:w="50"/>
              <w:right w:type="dxa" w:w="110"/>
            </w:tcMar>
          </w:tcPr>
          <w:p>
            <w:pPr>
              <w:spacing w:before="26" w:after="26"/>
            </w:pPr>
            <w:r>
              <w:rPr>
                <w:color w:val="232733"/>
                <w:sz w:val="16"/>
                <w:szCs w:val="16"/>
              </w:rPr>
              <w:t xml:space="preserve">مصاريف نقل المشتريات</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freight-out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مصاريف نقل المبيعات</w:t>
            </w:r>
          </w:p>
        </w:tc>
      </w:tr>
      <w:tr>
        <w:tc>
          <w:tcPr>
            <w:tcW w:type="pct" w:w="2400"/>
            <w:tcMar>
              <w:top w:type="dxa" w:w="50"/>
              <w:left w:type="dxa" w:w="110"/>
              <w:bottom w:type="dxa" w:w="50"/>
              <w:right w:type="dxa" w:w="110"/>
            </w:tcMar>
          </w:tcPr>
          <w:p>
            <w:pPr>
              <w:spacing w:before="26" w:after="26"/>
            </w:pPr>
            <w:r>
              <w:rPr>
                <w:color w:val="232733"/>
                <w:sz w:val="16"/>
                <w:szCs w:val="16"/>
              </w:rPr>
              <w:t xml:space="preserve">purchase discount</w:t>
            </w:r>
          </w:p>
        </w:tc>
        <w:tc>
          <w:tcPr>
            <w:tcW w:type="pct" w:w="2600"/>
            <w:tcMar>
              <w:top w:type="dxa" w:w="50"/>
              <w:left w:type="dxa" w:w="110"/>
              <w:bottom w:type="dxa" w:w="50"/>
              <w:right w:type="dxa" w:w="110"/>
            </w:tcMar>
          </w:tcPr>
          <w:p>
            <w:pPr>
              <w:spacing w:before="26" w:after="26"/>
            </w:pPr>
            <w:r>
              <w:rPr>
                <w:color w:val="232733"/>
                <w:sz w:val="16"/>
                <w:szCs w:val="16"/>
              </w:rPr>
              <w:t xml:space="preserve">خصم المشتريات (خصم نقدي)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normal capacity</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الطاقة العادية</w:t>
            </w:r>
          </w:p>
        </w:tc>
      </w:tr>
      <w:tr>
        <w:tc>
          <w:tcPr>
            <w:tcW w:type="pct" w:w="2400"/>
            <w:tcMar>
              <w:top w:type="dxa" w:w="50"/>
              <w:left w:type="dxa" w:w="110"/>
              <w:bottom w:type="dxa" w:w="50"/>
              <w:right w:type="dxa" w:w="110"/>
            </w:tcMar>
          </w:tcPr>
          <w:p>
            <w:pPr>
              <w:spacing w:before="26" w:after="26"/>
            </w:pPr>
            <w:r>
              <w:rPr>
                <w:color w:val="232733"/>
                <w:sz w:val="16"/>
                <w:szCs w:val="16"/>
              </w:rPr>
              <w:t xml:space="preserve">abnormal waste</w:t>
            </w:r>
          </w:p>
        </w:tc>
        <w:tc>
          <w:tcPr>
            <w:tcW w:type="pct" w:w="2600"/>
            <w:tcMar>
              <w:top w:type="dxa" w:w="50"/>
              <w:left w:type="dxa" w:w="110"/>
              <w:bottom w:type="dxa" w:w="50"/>
              <w:right w:type="dxa" w:w="110"/>
            </w:tcMar>
          </w:tcPr>
          <w:p>
            <w:pPr>
              <w:spacing w:before="26" w:after="26"/>
            </w:pPr>
            <w:r>
              <w:rPr>
                <w:color w:val="232733"/>
                <w:sz w:val="16"/>
                <w:szCs w:val="16"/>
              </w:rPr>
              <w:t xml:space="preserve">التلف غير العادي</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inventoriable cost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تكلفة قابلة للتحميل على المخزون</w:t>
            </w:r>
          </w:p>
        </w:tc>
      </w:tr>
      <w:tr>
        <w:tc>
          <w:tcPr>
            <w:tcW w:type="pct" w:w="2400"/>
            <w:tcMar>
              <w:top w:type="dxa" w:w="50"/>
              <w:left w:type="dxa" w:w="110"/>
              <w:bottom w:type="dxa" w:w="50"/>
              <w:right w:type="dxa" w:w="110"/>
            </w:tcMar>
          </w:tcPr>
          <w:p>
            <w:pPr>
              <w:spacing w:before="26" w:after="26"/>
            </w:pPr>
            <w:r>
              <w:rPr>
                <w:color w:val="232733"/>
                <w:sz w:val="16"/>
                <w:szCs w:val="16"/>
              </w:rPr>
              <w:t xml:space="preserve">period cost</w:t>
            </w:r>
          </w:p>
        </w:tc>
        <w:tc>
          <w:tcPr>
            <w:tcW w:type="pct" w:w="2600"/>
            <w:tcMar>
              <w:top w:type="dxa" w:w="50"/>
              <w:left w:type="dxa" w:w="110"/>
              <w:bottom w:type="dxa" w:w="50"/>
              <w:right w:type="dxa" w:w="110"/>
            </w:tcMar>
          </w:tcPr>
          <w:p>
            <w:pPr>
              <w:spacing w:before="26" w:after="26"/>
            </w:pPr>
            <w:r>
              <w:rPr>
                <w:color w:val="232733"/>
                <w:sz w:val="16"/>
                <w:szCs w:val="16"/>
              </w:rPr>
              <w:t xml:space="preserve">تكلفة الفترة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7.2  Which costs belong in inventory?</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recorded</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imports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needed</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condition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Yes (reduces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inventoriable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No: period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become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bottom</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happen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freight-in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condition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non-refundable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expenses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administrative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capacity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purchase discount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expects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abnormal waste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unusually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Inventory is recorded at cost. Cost means all the costs needed to bring the goods to their present condition and location. These are inventoriable costs: they stay in inventory as an asset, and they become cost of goods sold when the goods are sold. Other costs are period costs: they are expenses in the period in which they occur. For goods that are bought, cost includes the purchase price, freight-in, import duties, non-refundable taxes and handling, less trade discounts and any purchase discount taken for early payment. For goods that are made, cost also includes direct labor and production overhead. Fixed production overhead needs care. It is allocated to units on the basis of normal capacity: the output the plant expects on average over several periods. If output is unusually low, the fixed overhead that is not allocated is an expense of the period. In the same way, abnormal waste (unusual spoilage, idle time or extra freight) is an expense, not inventory cost.</w:t>
      </w:r>
    </w:p>
    <w:p>
      <w:pPr>
        <w:spacing w:before="20" w:after="20"/>
        <w:ind w:left="240" w:hanging="240"/>
      </w:pPr>
      <w:r>
        <w:rPr>
          <w:b/>
          <w:bCs/>
          <w:color w:val="353A7C"/>
          <w:sz w:val="15"/>
          <w:szCs w:val="15"/>
        </w:rPr>
        <w:t xml:space="preserve">Summary 2   </w:t>
      </w:r>
      <w:r>
        <w:rPr>
          <w:color w:val="6B7280"/>
          <w:sz w:val="15"/>
          <w:szCs w:val="15"/>
        </w:rPr>
        <w:t xml:space="preserve">Orontes imports glass bottles for its Amman plant. The invoice is $20,000, and Orontes pays within the discount period, so it takes a 2% discount. Other costs are shown below (whole dollars).</w:t>
      </w:r>
    </w:p>
    <w:p>
      <w:pPr>
        <w:spacing w:before="20" w:after="20"/>
        <w:ind w:left="240" w:hanging="240"/>
      </w:pPr>
      <w:r>
        <w:rPr>
          <w:b/>
          <w:bCs/>
          <w:color w:val="353A7C"/>
          <w:sz w:val="15"/>
          <w:szCs w:val="15"/>
        </w:rPr>
        <w:t xml:space="preserve">Summary 3   </w:t>
      </w:r>
      <w:r>
        <w:rPr>
          <w:color w:val="6B7280"/>
          <w:sz w:val="15"/>
          <w:szCs w:val="15"/>
        </w:rPr>
        <w:t xml:space="preserve">The two costs at the bottom of the table happen after the goods are ready for use. They do not bring the bottles to their present condition and location, so they are expenses. IAS 2 uses the same idea of cost and lists the same exclusions: abnormal waste, storage, administrative overheads and selling costs. The big IFRS difference is in the next section: IAS 2 does not allow LIFO.</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7.3  Cost flow assumptions</w:t>
            </w:r>
          </w:p>
          <w:p>
            <w:pPr>
              <w:spacing w:before="0" w:after="46"/>
            </w:pPr>
            <w:r>
              <w:rPr>
                <w:color w:val="E8EAF6"/>
                <w:sz w:val="16"/>
                <w:szCs w:val="16"/>
              </w:rPr>
              <w:t xml:space="preserve">Chapter 7 · section 7.3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Unit costs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When a company sells some units and keeps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it must decide which costs go to cost of goods sold and which stay in ending inventory. </w:t>
      </w:r>
      <w:r>
        <w:rPr>
          <w:sz w:val="19"/>
          <w:szCs w:val="19"/>
        </w:rPr>
        <w:t xml:space="preserve">This decision is a cost flow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It does not need to match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flow of the goods. </w:t>
      </w:r>
      <w:r>
        <w:rPr>
          <w:sz w:val="19"/>
          <w:szCs w:val="19"/>
        </w:rPr>
        <w:t xml:space="preserve">Specific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tracks the actual cost of each item. </w:t>
      </w:r>
      <w:r>
        <w:rPr>
          <w:sz w:val="19"/>
          <w:szCs w:val="19"/>
        </w:rPr>
        <w:t xml:space="preserve">It suits unique,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such as cars or jewelry. </w:t>
      </w:r>
      <w:r>
        <w:rPr>
          <w:sz w:val="19"/>
          <w:szCs w:val="19"/>
        </w:rPr>
        <w:t xml:space="preserve">FIFO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first-out) sends the oldest costs to cost of goods sold. </w:t>
      </w:r>
      <w:r>
        <w:rPr>
          <w:sz w:val="19"/>
          <w:szCs w:val="19"/>
        </w:rPr>
        <w:t xml:space="preserve">Ending inventory holds the newest costs. </w:t>
      </w:r>
      <w:r>
        <w:rPr>
          <w:sz w:val="19"/>
          <w:szCs w:val="19"/>
        </w:rPr>
        <w:t xml:space="preserve">LIFO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first-out) sends the newest costs to cost of goods sold. </w:t>
      </w:r>
      <w:r>
        <w:rPr>
          <w:sz w:val="19"/>
          <w:szCs w:val="19"/>
        </w:rPr>
        <w:t xml:space="preserve">Ending inventory holds the oldest costs.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cost divides the cost of goods available by the units available and uses this one unit cost for both cost of goods sold and ending inventory.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identification   ·   change   ·   first-in   ·   periodic inventory system   ·   Weighted-average   ·   assumption   ·   last-in   ·   others   ·   expensive   ·   physical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olive oil: three methods, one set of facts</w:t>
            </w:r>
          </w:p>
        </w:tc>
      </w:tr>
    </w:tbl>
    <w:p/>
    <w:p>
      <w:pPr>
        <w:spacing w:before="44" w:after="14"/>
      </w:pPr>
      <w:r>
        <w:rPr>
          <w:b/>
          <w:bCs/>
          <w:color w:val="353A7C"/>
          <w:sz w:val="18"/>
          <w:szCs w:val="18"/>
        </w:rPr>
        <w:t xml:space="preserve">Summary 2</w:t>
      </w:r>
      <w:r>
        <w:rPr>
          <w:color w:val="6B7280"/>
          <w:sz w:val="16"/>
          <w:szCs w:val="16"/>
        </w:rPr>
        <w:t xml:space="preserve">      gaps 10–13</w:t>
      </w:r>
    </w:p>
    <w:p>
      <w:pPr>
        <w:spacing w:before="20" w:after="20" w:line="360" w:lineRule="auto"/>
        <w:ind w:left="200"/>
      </w:pPr>
      <w:r>
        <w:rPr>
          <w:sz w:val="19"/>
          <w:szCs w:val="19"/>
        </w:rPr>
        <w:t xml:space="preserve">Orontes sells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olive oil in cases of twelve bottles. </w:t>
      </w:r>
      <w:r>
        <w:rPr>
          <w:sz w:val="19"/>
          <w:szCs w:val="19"/>
        </w:rPr>
        <w:t xml:space="preserve">Orontes began the year with 1,000 cases at $40. </w:t>
      </w:r>
      <w:r>
        <w:rPr>
          <w:sz w:val="19"/>
          <w:szCs w:val="19"/>
        </w:rPr>
        <w:t xml:space="preserve">It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2,000 cases at $44, then 3,000 at $48, then 2,000 at $50. </w:t>
      </w:r>
      <w:r>
        <w:rPr>
          <w:sz w:val="19"/>
          <w:szCs w:val="19"/>
        </w:rPr>
        <w:t xml:space="preserve">It sold 6,000 cases at $70, so 2,000 cases are left. </w:t>
      </w:r>
      <w:r>
        <w:rPr>
          <w:sz w:val="19"/>
          <w:szCs w:val="19"/>
        </w:rPr>
        <w:t xml:space="preserve">The company uses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system. </w:t>
      </w:r>
      <w:r>
        <w:rPr>
          <w:sz w:val="19"/>
          <w:szCs w:val="19"/>
        </w:rPr>
        <w:t xml:space="preserve">Goods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8,000 cases costing $372,000.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moving average   ·   bought   ·   premium   ·   periodic   ·   available</w:t>
            </w:r>
          </w:p>
        </w:tc>
      </w:tr>
    </w:tbl>
    <w:p/>
    <w:p>
      <w:pPr>
        <w:spacing w:before="44" w:after="10"/>
      </w:pPr>
      <w:r>
        <w:rPr>
          <w:b/>
          <w:bCs/>
          <w:color w:val="353A7C"/>
          <w:sz w:val="18"/>
          <w:szCs w:val="18"/>
        </w:rPr>
        <w:t xml:space="preserve">Orontes olive oil: three methods, one set of facts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   consignor</w:t>
            </w:r>
          </w:p>
        </w:tc>
      </w:tr>
    </w:tbl>
    <w:p/>
    <w:p>
      <w:pPr>
        <w:pageBreakBefore w:val="true"/>
        <w:spacing w:after="0"/>
      </w:pPr>
      <w:r>
        <w:rPr>
          <w:sz w:val="2"/>
        </w:rPr>
        <w:t xml:space="preserve"> </w:t>
      </w:r>
    </w:p>
    <w:p>
      <w:pPr>
        <w:spacing w:before="44" w:after="10"/>
      </w:pPr>
      <w:r>
        <w:rPr>
          <w:b/>
          <w:bCs/>
          <w:color w:val="353A7C"/>
          <w:sz w:val="18"/>
          <w:szCs w:val="18"/>
        </w:rPr>
        <w:t xml:space="preserve">Olive oil: periodic versus perpetual results (whole USD)</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644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16447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FIFO   ·   LIFO reserve</w:t>
            </w:r>
          </w:p>
        </w:tc>
      </w:tr>
    </w:tbl>
    <w:p/>
    <w:p>
      <w:pPr>
        <w:spacing w:before="44" w:after="14"/>
      </w:pPr>
      <w:r>
        <w:rPr>
          <w:b/>
          <w:bCs/>
          <w:color w:val="353A7C"/>
          <w:sz w:val="18"/>
          <w:szCs w:val="18"/>
        </w:rPr>
        <w:t xml:space="preserve">Summary 3</w:t>
      </w:r>
      <w:r>
        <w:rPr>
          <w:color w:val="6B7280"/>
          <w:sz w:val="16"/>
          <w:szCs w:val="16"/>
        </w:rPr>
        <w:t xml:space="preserve">      gaps 16–19</w:t>
      </w:r>
    </w:p>
    <w:p>
      <w:pPr>
        <w:spacing w:before="20" w:after="20" w:line="360" w:lineRule="auto"/>
        <w:ind w:left="200"/>
      </w:pPr>
      <w:r>
        <w:rPr>
          <w:sz w:val="19"/>
          <w:szCs w:val="19"/>
        </w:rPr>
        <w:t xml:space="preserve">In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inventory system, the company counts the goods at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and calculates cost of goods sold for the whole period. </w:t>
      </w:r>
      <w:r>
        <w:rPr>
          <w:sz w:val="19"/>
          <w:szCs w:val="19"/>
        </w:rPr>
        <w:t xml:space="preserve">In a perpetual inventory system, it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inventory and cost of goods sold after every purchase and every sale. </w:t>
      </w:r>
      <w:r>
        <w:rPr>
          <w:sz w:val="19"/>
          <w:szCs w:val="19"/>
        </w:rPr>
        <w:t xml:space="preserve">The average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in a perpetual system is the moving average: the company calculates a new average after each purchase.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periodic   ·   year-end   ·   method   ·   updates   ·   cost flow assumption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Periodic LIFO for Dubai pastry trays</w:t>
            </w:r>
          </w:p>
        </w:tc>
      </w:tr>
    </w:tbl>
    <w:p/>
    <w:p>
      <w:pPr>
        <w:spacing w:before="44" w:after="14"/>
      </w:pPr>
      <w:r>
        <w:rPr>
          <w:b/>
          <w:bCs/>
          <w:color w:val="353A7C"/>
          <w:sz w:val="18"/>
          <w:szCs w:val="18"/>
        </w:rPr>
        <w:t xml:space="preserve">Summary 4</w:t>
      </w:r>
      <w:r>
        <w:rPr>
          <w:color w:val="6B7280"/>
          <w:sz w:val="16"/>
          <w:szCs w:val="16"/>
        </w:rPr>
        <w:t xml:space="preserve">      gaps 20–21</w:t>
      </w:r>
    </w:p>
    <w:p>
      <w:pPr>
        <w:spacing w:before="20" w:after="20" w:line="360" w:lineRule="auto"/>
        <w:ind w:left="200"/>
      </w:pPr>
      <w:r>
        <w:rPr>
          <w:sz w:val="19"/>
          <w:szCs w:val="19"/>
        </w:rPr>
        <w:t xml:space="preserve">IAS 2 allows FIFO and the weighted average, and it requires specific identification for items that are not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You will compare the two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again in Chapter 17.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perpetual inventory system   ·   frameworks   ·   interchangeable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553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553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weighted-average cost   ·   moving average   ·   specific identification</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15"/>
        <w:gridCol w:w="498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9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4"/>
            <w:tcMar>
              <w:top w:type="dxa" w:w="50"/>
              <w:left w:type="dxa" w:w="110"/>
              <w:bottom w:type="dxa" w:w="50"/>
              <w:right w:type="dxa" w:w="110"/>
            </w:tcMar>
          </w:tcPr>
          <w:p>
            <w:pPr>
              <w:spacing w:before="26" w:after="26"/>
            </w:pPr>
            <w:r>
              <w:rPr>
                <w:color w:val="232733"/>
                <w:sz w:val="16"/>
                <w:szCs w:val="16"/>
              </w:rPr>
              <w:t xml:space="preserve">cost flow assumption</w:t>
            </w:r>
          </w:p>
        </w:tc>
        <w:tc>
          <w:tcPr>
            <w:tcW w:type="pct" w:w="2596"/>
            <w:tcMar>
              <w:top w:type="dxa" w:w="50"/>
              <w:left w:type="dxa" w:w="110"/>
              <w:bottom w:type="dxa" w:w="50"/>
              <w:right w:type="dxa" w:w="110"/>
            </w:tcMar>
          </w:tcPr>
          <w:p>
            <w:pPr>
              <w:spacing w:before="26" w:after="26"/>
            </w:pPr>
            <w:r>
              <w:rPr>
                <w:color w:val="232733"/>
                <w:sz w:val="16"/>
                <w:szCs w:val="16"/>
              </w:rPr>
              <w:t xml:space="preserve">افتراض تدفق التكلفة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specific identification</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التحديد العيني (التمييز المحدد)</w:t>
            </w:r>
          </w:p>
        </w:tc>
      </w:tr>
      <w:tr>
        <w:tc>
          <w:tcPr>
            <w:tcW w:type="pct" w:w="2404"/>
            <w:tcMar>
              <w:top w:type="dxa" w:w="50"/>
              <w:left w:type="dxa" w:w="110"/>
              <w:bottom w:type="dxa" w:w="50"/>
              <w:right w:type="dxa" w:w="110"/>
            </w:tcMar>
          </w:tcPr>
          <w:p>
            <w:pPr>
              <w:spacing w:before="26" w:after="26"/>
            </w:pPr>
            <w:r>
              <w:rPr>
                <w:color w:val="232733"/>
                <w:sz w:val="16"/>
                <w:szCs w:val="16"/>
              </w:rPr>
              <w:t xml:space="preserve">FIFO (first-in, first-out)</w:t>
            </w:r>
          </w:p>
        </w:tc>
        <w:tc>
          <w:tcPr>
            <w:tcW w:type="pct" w:w="2596"/>
            <w:tcMar>
              <w:top w:type="dxa" w:w="50"/>
              <w:left w:type="dxa" w:w="110"/>
              <w:bottom w:type="dxa" w:w="50"/>
              <w:right w:type="dxa" w:w="110"/>
            </w:tcMar>
          </w:tcPr>
          <w:p>
            <w:pPr>
              <w:spacing w:before="26" w:after="26"/>
            </w:pPr>
            <w:r>
              <w:rPr>
                <w:color w:val="232733"/>
                <w:sz w:val="16"/>
                <w:szCs w:val="16"/>
              </w:rPr>
              <w:t xml:space="preserve">الوارد أولاً يُصرف أولاً</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LIFO (last-in, first-out)</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الوارد أخيراً يُصرف أولاً</w:t>
            </w:r>
          </w:p>
        </w:tc>
      </w:tr>
      <w:tr>
        <w:tc>
          <w:tcPr>
            <w:tcW w:type="pct" w:w="2404"/>
            <w:tcMar>
              <w:top w:type="dxa" w:w="50"/>
              <w:left w:type="dxa" w:w="110"/>
              <w:bottom w:type="dxa" w:w="50"/>
              <w:right w:type="dxa" w:w="110"/>
            </w:tcMar>
          </w:tcPr>
          <w:p>
            <w:pPr>
              <w:spacing w:before="26" w:after="26"/>
            </w:pPr>
            <w:r>
              <w:rPr>
                <w:color w:val="232733"/>
                <w:sz w:val="16"/>
                <w:szCs w:val="16"/>
              </w:rPr>
              <w:t xml:space="preserve">weighted-average cost</w:t>
            </w:r>
          </w:p>
        </w:tc>
        <w:tc>
          <w:tcPr>
            <w:tcW w:type="pct" w:w="2596"/>
            <w:tcMar>
              <w:top w:type="dxa" w:w="50"/>
              <w:left w:type="dxa" w:w="110"/>
              <w:bottom w:type="dxa" w:w="50"/>
              <w:right w:type="dxa" w:w="110"/>
            </w:tcMar>
          </w:tcPr>
          <w:p>
            <w:pPr>
              <w:spacing w:before="26" w:after="26"/>
            </w:pPr>
            <w:r>
              <w:rPr>
                <w:color w:val="232733"/>
                <w:sz w:val="16"/>
                <w:szCs w:val="16"/>
              </w:rPr>
              <w:t xml:space="preserve">المتوسط المرجح للتكلفة</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moving average</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المتوسط المتحرك</w:t>
            </w:r>
          </w:p>
        </w:tc>
      </w:tr>
      <w:tr>
        <w:tc>
          <w:tcPr>
            <w:tcW w:type="pct" w:w="2404"/>
            <w:tcMar>
              <w:top w:type="dxa" w:w="50"/>
              <w:left w:type="dxa" w:w="110"/>
              <w:bottom w:type="dxa" w:w="50"/>
              <w:right w:type="dxa" w:w="110"/>
            </w:tcMar>
          </w:tcPr>
          <w:p>
            <w:pPr>
              <w:spacing w:before="26" w:after="26"/>
            </w:pPr>
            <w:r>
              <w:rPr>
                <w:color w:val="232733"/>
                <w:sz w:val="16"/>
                <w:szCs w:val="16"/>
              </w:rPr>
              <w:t xml:space="preserve">periodic inventory system</w:t>
            </w:r>
          </w:p>
        </w:tc>
        <w:tc>
          <w:tcPr>
            <w:tcW w:type="pct" w:w="2596"/>
            <w:tcMar>
              <w:top w:type="dxa" w:w="50"/>
              <w:left w:type="dxa" w:w="110"/>
              <w:bottom w:type="dxa" w:w="50"/>
              <w:right w:type="dxa" w:w="110"/>
            </w:tcMar>
          </w:tcPr>
          <w:p>
            <w:pPr>
              <w:spacing w:before="26" w:after="26"/>
            </w:pPr>
            <w:r>
              <w:rPr>
                <w:color w:val="232733"/>
                <w:sz w:val="16"/>
                <w:szCs w:val="16"/>
              </w:rPr>
              <w:t xml:space="preserve">نظام الجرد الدوري</w:t>
            </w:r>
          </w:p>
        </w:tc>
      </w:tr>
      <w:tr>
        <w:tc>
          <w:tcPr>
            <w:tcW w:type="pct" w:w="2404"/>
            <w:shd w:fill="FBFAF6" w:val="clear"/>
            <w:tcMar>
              <w:top w:type="dxa" w:w="50"/>
              <w:left w:type="dxa" w:w="110"/>
              <w:bottom w:type="dxa" w:w="50"/>
              <w:right w:type="dxa" w:w="110"/>
            </w:tcMar>
          </w:tcPr>
          <w:p>
            <w:pPr>
              <w:spacing w:before="26" w:after="26"/>
            </w:pPr>
            <w:r>
              <w:rPr>
                <w:color w:val="232733"/>
                <w:sz w:val="16"/>
                <w:szCs w:val="16"/>
              </w:rPr>
              <w:t xml:space="preserve">perpetual inventory system</w:t>
            </w:r>
          </w:p>
        </w:tc>
        <w:tc>
          <w:tcPr>
            <w:tcW w:type="pct" w:w="2596"/>
            <w:shd w:fill="FBFAF6" w:val="clear"/>
            <w:tcMar>
              <w:top w:type="dxa" w:w="50"/>
              <w:left w:type="dxa" w:w="110"/>
              <w:bottom w:type="dxa" w:w="50"/>
              <w:right w:type="dxa" w:w="110"/>
            </w:tcMar>
          </w:tcPr>
          <w:p>
            <w:pPr>
              <w:spacing w:before="26" w:after="26"/>
            </w:pPr>
            <w:r>
              <w:rPr>
                <w:color w:val="232733"/>
                <w:sz w:val="16"/>
                <w:szCs w:val="16"/>
              </w:rPr>
              <w:t xml:space="preserve">نظام الجرد المستمر</w:t>
            </w:r>
          </w:p>
        </w:tc>
      </w:tr>
      <w:tr>
        <w:tc>
          <w:tcPr>
            <w:tcW w:type="pct" w:w="2404"/>
            <w:tcMar>
              <w:top w:type="dxa" w:w="50"/>
              <w:left w:type="dxa" w:w="110"/>
              <w:bottom w:type="dxa" w:w="50"/>
              <w:right w:type="dxa" w:w="110"/>
            </w:tcMar>
          </w:tcPr>
          <w:p>
            <w:pPr>
              <w:spacing w:before="26" w:after="26"/>
            </w:pPr>
            <w:r>
              <w:rPr>
                <w:color w:val="232733"/>
                <w:sz w:val="16"/>
                <w:szCs w:val="16"/>
              </w:rPr>
              <w:t xml:space="preserve">goods available for sale</w:t>
            </w:r>
          </w:p>
        </w:tc>
        <w:tc>
          <w:tcPr>
            <w:tcW w:type="pct" w:w="2596"/>
            <w:tcMar>
              <w:top w:type="dxa" w:w="50"/>
              <w:left w:type="dxa" w:w="110"/>
              <w:bottom w:type="dxa" w:w="50"/>
              <w:right w:type="dxa" w:w="110"/>
            </w:tcMar>
          </w:tcPr>
          <w:p>
            <w:pPr>
              <w:spacing w:before="26" w:after="26"/>
            </w:pPr>
            <w:r>
              <w:rPr>
                <w:color w:val="232733"/>
                <w:sz w:val="16"/>
                <w:szCs w:val="16"/>
              </w:rPr>
              <w:t xml:space="preserve">البضاعة المتاحة للبيع</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7.3  Cost flow assumptions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available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others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LIFO</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assumption</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FIFO</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physical</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periodic</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year-end</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updates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first-in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last-in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interchangeable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Weighted-average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frameworks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premium</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specific identification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bought</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moving average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periodic</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Unit costs change during the year. When a company sells some units and keeps others, it must decide which costs go to cost of goods sold and which stay in ending inventory. This decision is a cost flow assumption. It does not need to match the physical flow of the goods. Specific identification tracks the actual cost of each item. It suits unique, expensive items, such as cars or jewelry. FIFO (first-in, first-out) sends the oldest costs to cost of goods sold. Ending inventory holds the newest costs. LIFO (last-in, first-out) sends the newest costs to cost of goods sold. Ending inventory holds the oldest costs. Weighted-average cost divides the cost of goods available by the units available and uses this one unit cost for both cost of goods sold and ending inventory.</w:t>
      </w:r>
    </w:p>
    <w:p>
      <w:pPr>
        <w:spacing w:before="20" w:after="20"/>
        <w:ind w:left="240" w:hanging="240"/>
      </w:pPr>
      <w:r>
        <w:rPr>
          <w:b/>
          <w:bCs/>
          <w:color w:val="353A7C"/>
          <w:sz w:val="15"/>
          <w:szCs w:val="15"/>
        </w:rPr>
        <w:t xml:space="preserve">Summary 2   </w:t>
      </w:r>
      <w:r>
        <w:rPr>
          <w:color w:val="6B7280"/>
          <w:sz w:val="15"/>
          <w:szCs w:val="15"/>
        </w:rPr>
        <w:t xml:space="preserve">Orontes sells premium olive oil in cases of twelve bottles. Orontes began the year with 1,000 cases at $40. It bought 2,000 cases at $44, then 3,000 at $48, then 2,000 at $50. It sold 6,000 cases at $70, so 2,000 cases are left. The company uses a periodic system. Goods available: 8,000 cases costing $372,000.</w:t>
      </w:r>
    </w:p>
    <w:p>
      <w:pPr>
        <w:spacing w:before="20" w:after="20"/>
        <w:ind w:left="240" w:hanging="240"/>
      </w:pPr>
      <w:r>
        <w:rPr>
          <w:b/>
          <w:bCs/>
          <w:color w:val="353A7C"/>
          <w:sz w:val="15"/>
          <w:szCs w:val="15"/>
        </w:rPr>
        <w:t xml:space="preserve">Summary 3   </w:t>
      </w:r>
      <w:r>
        <w:rPr>
          <w:color w:val="6B7280"/>
          <w:sz w:val="15"/>
          <w:szCs w:val="15"/>
        </w:rPr>
        <w:t xml:space="preserve">In a periodic inventory system, the company counts the goods at year-end and calculates cost of goods sold for the whole period. In a perpetual inventory system, it updates inventory and cost of goods sold after every purchase and every sale. The average method in a perpetual system is the moving average: the company calculates a new average after each purchase.</w:t>
      </w:r>
    </w:p>
    <w:p>
      <w:pPr>
        <w:spacing w:before="20" w:after="20"/>
        <w:ind w:left="240" w:hanging="240"/>
      </w:pPr>
      <w:r>
        <w:rPr>
          <w:b/>
          <w:bCs/>
          <w:color w:val="353A7C"/>
          <w:sz w:val="15"/>
          <w:szCs w:val="15"/>
        </w:rPr>
        <w:t xml:space="preserve">Summary 4   </w:t>
      </w:r>
      <w:r>
        <w:rPr>
          <w:color w:val="6B7280"/>
          <w:sz w:val="15"/>
          <w:szCs w:val="15"/>
        </w:rPr>
        <w:t xml:space="preserve">IAS 2 allows FIFO and the weighted average, and it requires specific identification for items that are not interchangeable. You will compare the two frameworks again in Chapter 17.</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7.4  Effects on income, taxes and assets</w:t>
            </w:r>
          </w:p>
          <w:p>
            <w:pPr>
              <w:spacing w:before="0" w:after="46"/>
            </w:pPr>
            <w:r>
              <w:rPr>
                <w:color w:val="E8EAF6"/>
                <w:sz w:val="16"/>
                <w:szCs w:val="16"/>
              </w:rPr>
              <w:t xml:space="preserve">Chapter 7 · section 7.4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LIFO matches current costs with current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so its income is closer to current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reality, but its balance sheet shows old costs. </w:t>
      </w:r>
      <w:r>
        <w:rPr>
          <w:sz w:val="19"/>
          <w:szCs w:val="19"/>
        </w:rPr>
        <w:t xml:space="preserve">FIFO shows ending inventory close to current cost, but its income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gains from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inventory while prices rise. </w:t>
      </w:r>
      <w:r>
        <w:rPr>
          <w:sz w:val="19"/>
          <w:szCs w:val="19"/>
        </w:rPr>
        <w:t xml:space="preserve">Companies that use LIFO must help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compare them with FIFO companies. </w:t>
      </w:r>
      <w:r>
        <w:rPr>
          <w:sz w:val="19"/>
          <w:szCs w:val="19"/>
        </w:rPr>
        <w:t xml:space="preserve">The LIFO reserve is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between FIFO (or current cost) inventory and LIFO inventory. </w:t>
      </w:r>
      <w:r>
        <w:rPr>
          <w:sz w:val="19"/>
          <w:szCs w:val="19"/>
        </w:rPr>
        <w:t xml:space="preserve">For Orontes, the LIFO reserve at the end of 2025 is $100,000 − $84,000 = $16,000. </w:t>
      </w:r>
      <w:r>
        <w:rPr>
          <w:sz w:val="19"/>
          <w:szCs w:val="19"/>
        </w:rPr>
        <w:t xml:space="preserve">An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can convert LIFO results to FIFO with two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t>
      </w:r>
      <w:r>
        <w:rPr>
          <w:sz w:val="19"/>
          <w:szCs w:val="19"/>
        </w:rPr>
        <w:t xml:space="preserve">FIFO inventory equals LIFO inventory plus the LIFO reserve. </w:t>
      </w:r>
      <w:r>
        <w:rPr>
          <w:sz w:val="19"/>
          <w:szCs w:val="19"/>
        </w:rPr>
        <w:t xml:space="preserve">FIFO cost of goods sold equals LIFO cost of goods sold minus the increase in the LIFO reserve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year. </w:t>
      </w:r>
      <w:r>
        <w:rPr>
          <w:sz w:val="19"/>
          <w:szCs w:val="19"/>
        </w:rPr>
        <w:t xml:space="preserve">Orontes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year with no reserve, so the increase is $16,000, and FIFO cost of goods sold is $288,000 − $16,000 = $272,000.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includes   ·   started   ·   holding   ·   during   ·   relationships   ·   readers   ·   revenues   ·   analyst   ·   LIFO liquidation   ·   economic</w:t>
            </w:r>
          </w:p>
        </w:tc>
      </w:tr>
    </w:tbl>
    <w:p/>
    <w:p>
      <w:pPr>
        <w:spacing w:before="44" w:after="14"/>
      </w:pPr>
      <w:r>
        <w:rPr>
          <w:b/>
          <w:bCs/>
          <w:color w:val="353A7C"/>
          <w:sz w:val="18"/>
          <w:szCs w:val="18"/>
        </w:rPr>
        <w:t xml:space="preserve">Summary 2</w:t>
      </w:r>
      <w:r>
        <w:rPr>
          <w:color w:val="6B7280"/>
          <w:sz w:val="16"/>
          <w:szCs w:val="16"/>
        </w:rPr>
        <w:t xml:space="preserve">      gaps 11–16</w:t>
      </w:r>
    </w:p>
    <w:p>
      <w:pPr>
        <w:spacing w:before="20" w:after="20" w:line="360" w:lineRule="auto"/>
        <w:ind w:left="200"/>
      </w:pPr>
      <w:r>
        <w:rPr>
          <w:sz w:val="19"/>
          <w:szCs w:val="19"/>
        </w:rPr>
        <w:t xml:space="preserve">At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tax rate of 25%, LIFO saved $4,000 of tax this year. </w:t>
      </w:r>
      <w:r>
        <w:rPr>
          <w:sz w:val="19"/>
          <w:szCs w:val="19"/>
        </w:rPr>
        <w:t xml:space="preserve">If a LIFO company sells more units than it buys, old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layers flow into cost of goods sold. </w:t>
      </w:r>
      <w:r>
        <w:rPr>
          <w:sz w:val="19"/>
          <w:szCs w:val="19"/>
        </w:rPr>
        <w:t xml:space="preserve">This is not a lasting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and the company should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it if it is material. </w:t>
      </w:r>
      <w:r>
        <w:rPr>
          <w:sz w:val="19"/>
          <w:szCs w:val="19"/>
        </w:rPr>
        <w:t xml:space="preserve">A company that uses LIFO for its tax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must also use LIFO in its financial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This is why U.S. companies that want the tax benefit of LIFO also report lower LIFO profits to investors.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return   ·   low-cost   ·   statements   ·   gross profit   ·   improvement   ·   disclose   ·   illustrative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Signs and directions</w:t>
            </w:r>
          </w:p>
        </w:tc>
      </w:tr>
    </w:tbl>
    <w:p/>
    <w:p>
      <w:pPr>
        <w:spacing w:before="44" w:after="14"/>
      </w:pPr>
      <w:r>
        <w:rPr>
          <w:b/>
          <w:bCs/>
          <w:color w:val="353A7C"/>
          <w:sz w:val="18"/>
          <w:szCs w:val="18"/>
        </w:rPr>
        <w:t xml:space="preserve">Summary 3</w:t>
      </w:r>
      <w:r>
        <w:rPr>
          <w:color w:val="6B7280"/>
          <w:sz w:val="16"/>
          <w:szCs w:val="16"/>
        </w:rPr>
        <w:t xml:space="preserve">      gaps 17–20</w:t>
      </w:r>
    </w:p>
    <w:p>
      <w:pPr>
        <w:spacing w:before="20" w:after="20" w:line="360" w:lineRule="auto"/>
        <w:ind w:left="200"/>
      </w:pPr>
      <w:r>
        <w:rPr>
          <w:sz w:val="19"/>
          <w:szCs w:val="19"/>
        </w:rPr>
        <w:t xml:space="preserve">To get FIFO cost of goods sold,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the increase in the LIFO reserve from LIFO cost of goods sold. </w:t>
      </w:r>
      <w:r>
        <w:rPr>
          <w:sz w:val="19"/>
          <w:szCs w:val="19"/>
        </w:rPr>
        <w:t xml:space="preserve">In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prices, LIFO gives LOWER income and LOWER taxes, not higher. </w:t>
      </w:r>
      <w:r>
        <w:rPr>
          <w:sz w:val="19"/>
          <w:szCs w:val="19"/>
        </w:rPr>
        <w:t xml:space="preserve">A LIFO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raises income once. </w:t>
      </w:r>
      <w:r>
        <w:rPr>
          <w:sz w:val="19"/>
          <w:szCs w:val="19"/>
        </w:rPr>
        <w:t xml:space="preserve">Do not treat it as a better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Periodic and perpetual LIFO give different answers.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business   ·   rising   ·   SUBTRACT   ·   LIFO conformity rule   ·   liquidation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Reserve does not mean reserve</w:t>
            </w:r>
          </w:p>
        </w:tc>
      </w:tr>
    </w:tbl>
    <w:p/>
    <w:p>
      <w:pPr>
        <w:spacing w:before="44" w:after="14"/>
      </w:pPr>
      <w:r>
        <w:rPr>
          <w:b/>
          <w:bCs/>
          <w:color w:val="353A7C"/>
          <w:sz w:val="18"/>
          <w:szCs w:val="18"/>
        </w:rPr>
        <w:t xml:space="preserve">Summary 4</w:t>
      </w:r>
      <w:r>
        <w:rPr>
          <w:color w:val="6B7280"/>
          <w:sz w:val="16"/>
          <w:szCs w:val="16"/>
        </w:rPr>
        <w:t xml:space="preserve">      gaps 21–22</w:t>
      </w:r>
    </w:p>
    <w:p>
      <w:pPr>
        <w:spacing w:before="20" w:after="20" w:line="360" w:lineRule="auto"/>
        <w:ind w:left="200"/>
      </w:pPr>
      <w:r>
        <w:rPr>
          <w:sz w:val="19"/>
          <w:szCs w:val="19"/>
        </w:rPr>
        <w:t xml:space="preserve">The LIFO reserve is not an equity reserve (احتياطي in the equity section, or réserve in French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t>
      </w:r>
      <w:r>
        <w:rPr>
          <w:sz w:val="19"/>
          <w:szCs w:val="19"/>
        </w:rPr>
        <w:t xml:space="preserve">It is only the difference between two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amounts. </w:t>
      </w:r>
      <w:r>
        <w:rPr>
          <w:sz w:val="19"/>
          <w:szCs w:val="19"/>
        </w:rPr>
        <w:t xml:space="preserve">It is sometimes called the LIFO allowance or revaluation to LIFO.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LIFO conformity rule   ·   accounts   ·   inventory</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goods in transit   ·   LIFO conformity rule   ·   LIFO reserve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LIFO reserve</w:t>
            </w:r>
          </w:p>
        </w:tc>
        <w:tc>
          <w:tcPr>
            <w:tcW w:type="pct" w:w="2600"/>
            <w:tcMar>
              <w:top w:type="dxa" w:w="50"/>
              <w:left w:type="dxa" w:w="110"/>
              <w:bottom w:type="dxa" w:w="50"/>
              <w:right w:type="dxa" w:w="110"/>
            </w:tcMar>
          </w:tcPr>
          <w:p>
            <w:pPr>
              <w:spacing w:before="26" w:after="26"/>
            </w:pPr>
            <w:r>
              <w:rPr>
                <w:color w:val="232733"/>
                <w:sz w:val="16"/>
                <w:szCs w:val="16"/>
              </w:rPr>
              <w:t xml:space="preserve">احتياطي LIFO (فرق تقويم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LIFO liquidation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تصفية طبقات LIFO</w:t>
            </w:r>
          </w:p>
        </w:tc>
      </w:tr>
      <w:tr>
        <w:tc>
          <w:tcPr>
            <w:tcW w:type="pct" w:w="2400"/>
            <w:tcMar>
              <w:top w:type="dxa" w:w="50"/>
              <w:left w:type="dxa" w:w="110"/>
              <w:bottom w:type="dxa" w:w="50"/>
              <w:right w:type="dxa" w:w="110"/>
            </w:tcMar>
          </w:tcPr>
          <w:p>
            <w:pPr>
              <w:spacing w:before="26" w:after="26"/>
            </w:pPr>
            <w:r>
              <w:rPr>
                <w:color w:val="232733"/>
                <w:sz w:val="16"/>
                <w:szCs w:val="16"/>
              </w:rPr>
              <w:t xml:space="preserve">LIFO conformity rule</w:t>
            </w:r>
          </w:p>
        </w:tc>
        <w:tc>
          <w:tcPr>
            <w:tcW w:type="pct" w:w="2600"/>
            <w:tcMar>
              <w:top w:type="dxa" w:w="50"/>
              <w:left w:type="dxa" w:w="110"/>
              <w:bottom w:type="dxa" w:w="50"/>
              <w:right w:type="dxa" w:w="110"/>
            </w:tcMar>
          </w:tcPr>
          <w:p>
            <w:pPr>
              <w:spacing w:before="26" w:after="26"/>
            </w:pPr>
            <w:r>
              <w:rPr>
                <w:color w:val="232733"/>
                <w:sz w:val="16"/>
                <w:szCs w:val="16"/>
              </w:rPr>
              <w:t xml:space="preserve">قاعدة التوافق الضريبي لطريقة LIFO</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gross profit</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مجمل الربح</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7.4  Effects on income, taxes and assets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revenues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improvement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economic</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includes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return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holding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readers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SUBTRACT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difference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rising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analyst</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liquidation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relationships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business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during</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started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illustrative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LIFO reserve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low-cost</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LIFO conformity rule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LIFO matches current costs with current revenues, so its income is closer to current economic reality, but its balance sheet shows old costs. FIFO shows ending inventory close to current cost, but its income includes gains from holding inventory while prices rise. Companies that use LIFO must help readers compare them with FIFO companies. The LIFO reserve is the difference between FIFO (or current cost) inventory and LIFO inventory. For Orontes, the LIFO reserve at the end of 2025 is $100,000 − $84,000 = $16,000. An analyst can convert LIFO results to FIFO with two relationships. FIFO inventory equals LIFO inventory plus the LIFO reserve. FIFO cost of goods sold equals LIFO cost of goods sold minus the increase in the LIFO reserve during the year. Orontes started the year with no reserve, so the increase is $16,000, and FIFO cost of goods sold is $288,000 − $16,000 = $272,000.</w:t>
      </w:r>
    </w:p>
    <w:p>
      <w:pPr>
        <w:spacing w:before="20" w:after="20"/>
        <w:ind w:left="240" w:hanging="240"/>
      </w:pPr>
      <w:r>
        <w:rPr>
          <w:b/>
          <w:bCs/>
          <w:color w:val="353A7C"/>
          <w:sz w:val="15"/>
          <w:szCs w:val="15"/>
        </w:rPr>
        <w:t xml:space="preserve">Summary 2   </w:t>
      </w:r>
      <w:r>
        <w:rPr>
          <w:color w:val="6B7280"/>
          <w:sz w:val="15"/>
          <w:szCs w:val="15"/>
        </w:rPr>
        <w:t xml:space="preserve">At an illustrative tax rate of 25%, LIFO saved $4,000 of tax this year. If a LIFO company sells more units than it buys, old low-cost layers flow into cost of goods sold. This is not a lasting improvement, and the company should disclose it if it is material. A company that uses LIFO for its tax return must also use LIFO in its financial statements. This is why U.S. companies that want the tax benefit of LIFO also report lower LIFO profits to investors.</w:t>
      </w:r>
    </w:p>
    <w:p>
      <w:pPr>
        <w:spacing w:before="20" w:after="20"/>
        <w:ind w:left="240" w:hanging="240"/>
      </w:pPr>
      <w:r>
        <w:rPr>
          <w:b/>
          <w:bCs/>
          <w:color w:val="353A7C"/>
          <w:sz w:val="15"/>
          <w:szCs w:val="15"/>
        </w:rPr>
        <w:t xml:space="preserve">Summary 3   </w:t>
      </w:r>
      <w:r>
        <w:rPr>
          <w:color w:val="6B7280"/>
          <w:sz w:val="15"/>
          <w:szCs w:val="15"/>
        </w:rPr>
        <w:t xml:space="preserve">To get FIFO cost of goods sold, SUBTRACT the increase in the LIFO reserve from LIFO cost of goods sold. In rising prices, LIFO gives LOWER income and LOWER taxes, not higher. A LIFO liquidation raises income once. Do not treat it as a better business. Periodic and perpetual LIFO give different answers.</w:t>
      </w:r>
    </w:p>
    <w:p>
      <w:pPr>
        <w:spacing w:before="20" w:after="20"/>
        <w:ind w:left="240" w:hanging="240"/>
      </w:pPr>
      <w:r>
        <w:rPr>
          <w:b/>
          <w:bCs/>
          <w:color w:val="353A7C"/>
          <w:sz w:val="15"/>
          <w:szCs w:val="15"/>
        </w:rPr>
        <w:t xml:space="preserve">Summary 4   </w:t>
      </w:r>
      <w:r>
        <w:rPr>
          <w:color w:val="6B7280"/>
          <w:sz w:val="15"/>
          <w:szCs w:val="15"/>
        </w:rPr>
        <w:t xml:space="preserve">The LIFO reserve is not an equity reserve (احتياطي in the equity section, or réserve in French accounts). It is only the difference between two inventory amounts. It is sometimes called the LIFO allowance or revaluation to LIFO.</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7.5  Inventory errors</w:t>
            </w:r>
          </w:p>
          <w:p>
            <w:pPr>
              <w:spacing w:before="0" w:after="46"/>
            </w:pPr>
            <w:r>
              <w:rPr>
                <w:color w:val="E8EAF6"/>
                <w:sz w:val="16"/>
                <w:szCs w:val="16"/>
              </w:rPr>
              <w:t xml:space="preserve">Chapter 7 · section 7.5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1–11</w:t>
      </w:r>
    </w:p>
    <w:p>
      <w:pPr>
        <w:spacing w:before="20" w:after="20" w:line="360" w:lineRule="auto"/>
        <w:ind w:left="200"/>
      </w:pPr>
      <w:r>
        <w:rPr>
          <w:sz w:val="19"/>
          <w:szCs w:val="19"/>
        </w:rPr>
        <w:t xml:space="preserve">Cost of goods sold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on the count: beginning inventory plus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minus ending inventory. </w:t>
      </w:r>
      <w:r>
        <w:rPr>
          <w:sz w:val="19"/>
          <w:szCs w:val="19"/>
        </w:rPr>
        <w:t xml:space="preserve">If ending inventory is wrong, cost of goods sold is wrong in the same year. </w:t>
      </w:r>
      <w:r>
        <w:rPr>
          <w:sz w:val="19"/>
          <w:szCs w:val="19"/>
        </w:rPr>
        <w:t xml:space="preserve">And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this year's ending inventory is next year's beginning inventory, the error moves into the next year too. </w:t>
      </w:r>
      <w:r>
        <w:rPr>
          <w:sz w:val="19"/>
          <w:szCs w:val="19"/>
        </w:rPr>
        <w:t xml:space="preserve">Over the two years, the two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cancel. </w:t>
      </w:r>
      <w:r>
        <w:rPr>
          <w:sz w:val="19"/>
          <w:szCs w:val="19"/>
        </w:rPr>
        <w:t xml:space="preserve">Retained earnings are overstated at the end of 2025 but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at the end of 2026. </w:t>
      </w:r>
      <w:r>
        <w:rPr>
          <w:sz w:val="19"/>
          <w:szCs w:val="19"/>
        </w:rPr>
        <w:t xml:space="preserve">This is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error.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the tax effect: at a 25% tax rate, net income was overstated by only 30 in the first year. </w:t>
      </w:r>
      <w:r>
        <w:rPr>
          <w:sz w:val="19"/>
          <w:szCs w:val="19"/>
        </w:rPr>
        <w:t xml:space="preserve">If a company finds an error from a prior year, it corrects the error by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prior-year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with an adjustment to beginning retained earnings (ASC 250). </w:t>
      </w:r>
      <w:r>
        <w:rPr>
          <w:sz w:val="19"/>
          <w:szCs w:val="19"/>
        </w:rPr>
        <w:t xml:space="preserve">If the error has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counterbalanced, retained earnings need no adjustment, but the prior-year income figures shown for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are still restated.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already   ·   purchases   ·   FOB destination   ·   correct   ·   errors   ·   because   ·   Remember   ·   comparison   ·   statements   ·   restating   ·   counterbalancing   ·   depends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Over- and under-</w:t>
            </w:r>
          </w:p>
        </w:tc>
      </w:tr>
    </w:tbl>
    <w:p/>
    <w:p>
      <w:pPr>
        <w:spacing w:before="44" w:after="14"/>
      </w:pPr>
      <w:r>
        <w:rPr>
          <w:b/>
          <w:bCs/>
          <w:color w:val="353A7C"/>
          <w:sz w:val="18"/>
          <w:szCs w:val="18"/>
        </w:rPr>
        <w:t xml:space="preserve">Summary 2</w:t>
      </w:r>
      <w:r>
        <w:rPr>
          <w:color w:val="6B7280"/>
          <w:sz w:val="16"/>
          <w:szCs w:val="16"/>
        </w:rPr>
        <w:t xml:space="preserve">      gaps 12–13</w:t>
      </w:r>
    </w:p>
    <w:p>
      <w:pPr>
        <w:spacing w:before="20" w:after="20" w:line="360" w:lineRule="auto"/>
        <w:ind w:left="200"/>
      </w:pPr>
      <w:r>
        <w:rPr>
          <w:sz w:val="19"/>
          <w:szCs w:val="19"/>
        </w:rPr>
        <w:t xml:space="preserve">Net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is overstated by 40 (the size of the error), not overstated to 940. </w:t>
      </w:r>
      <w:r>
        <w:rPr>
          <w:sz w:val="19"/>
          <w:szCs w:val="19"/>
        </w:rPr>
        <w:t xml:space="preserve">In a question, find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for the first year, then reverse it for the second year.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counterbalancing error   ·   income   ·   direction</w:t>
            </w:r>
          </w:p>
        </w:tc>
      </w:tr>
    </w:tbl>
    <w:p/>
    <w:p>
      <w:pPr>
        <w:pageBreakBefore w:val="true"/>
        <w:spacing w:after="0"/>
      </w:pPr>
      <w:r>
        <w:rPr>
          <w:sz w:val="2"/>
        </w:rPr>
        <w:t xml:space="preserve"> </w:t>
      </w:r>
    </w:p>
    <w:p>
      <w:pPr>
        <w:spacing w:before="44" w:after="10"/>
      </w:pPr>
      <w:r>
        <w:rPr>
          <w:b/>
          <w:bCs/>
          <w:color w:val="353A7C"/>
          <w:sz w:val="18"/>
          <w:szCs w:val="18"/>
        </w:rPr>
        <w:t xml:space="preserve">Over- and under-</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3757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3757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M3   ·   Jan 1   ·   Feb 14   ·   inventory   ·   Jun 3</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tcMar>
              <w:top w:type="dxa" w:w="50"/>
              <w:left w:type="dxa" w:w="110"/>
              <w:bottom w:type="dxa" w:w="50"/>
              <w:right w:type="dxa" w:w="110"/>
            </w:tcMar>
          </w:tcPr>
          <w:p>
            <w:pPr>
              <w:spacing w:before="26" w:after="26"/>
            </w:pPr>
            <w:r>
              <w:rPr>
                <w:b/>
                <w:bCs/>
                <w:color w:val="353A7C"/>
                <w:sz w:val="15"/>
                <w:szCs w:val="15"/>
              </w:rPr>
              <w:t xml:space="preserve">Item</w:t>
            </w:r>
          </w:p>
        </w:tc>
        <w:tc>
          <w:tcPr>
            <w:tcW w:type="pct" w:w="2600"/>
            <w:tcMar>
              <w:top w:type="dxa" w:w="50"/>
              <w:left w:type="dxa" w:w="110"/>
              <w:bottom w:type="dxa" w:w="50"/>
              <w:right w:type="dxa" w:w="110"/>
            </w:tcMar>
          </w:tcPr>
          <w:p>
            <w:pPr>
              <w:spacing w:before="26" w:after="26"/>
            </w:pPr>
            <w:r>
              <w:rPr>
                <w:b/>
                <w:bCs/>
                <w:color w:val="353A7C"/>
                <w:sz w:val="15"/>
                <w:szCs w:val="15"/>
              </w:rPr>
              <w:t xml:space="preserve">Answer</w:t>
            </w:r>
          </w:p>
        </w:tc>
      </w:tr>
      <w:tr>
        <w:tc>
          <w:tcPr>
            <w:tcW w:type="pct" w:w="2400"/>
            <w:tcMar>
              <w:top w:type="dxa" w:w="50"/>
              <w:left w:type="dxa" w:w="110"/>
              <w:bottom w:type="dxa" w:w="50"/>
              <w:right w:type="dxa" w:w="110"/>
            </w:tcMar>
          </w:tcPr>
          <w:p>
            <w:pPr>
              <w:spacing w:before="26" w:after="26"/>
            </w:pPr>
            <w:r>
              <w:rPr>
                <w:color w:val="232733"/>
                <w:sz w:val="16"/>
                <w:szCs w:val="16"/>
              </w:rPr>
              <w:t xml:space="preserve">COGS, line 2: 1,200 × $22</w:t>
            </w:r>
          </w:p>
        </w:tc>
        <w:tc>
          <w:tcPr>
            <w:tcW w:type="pct" w:w="2600"/>
            <w:tcMar>
              <w:top w:type="dxa" w:w="50"/>
              <w:left w:type="dxa" w:w="110"/>
              <w:bottom w:type="dxa" w:w="50"/>
              <w:right w:type="dxa" w:w="110"/>
            </w:tcMar>
          </w:tcPr>
          <w:p>
            <w:pPr>
              <w:spacing w:before="26" w:after="26"/>
            </w:pPr>
            <w:r>
              <w:rPr>
                <w:color w:val="232733"/>
                <w:sz w:val="16"/>
                <w:szCs w:val="16"/>
              </w:rPr>
              <w:t xml:space="preserve">$26,400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Ending inventory, line 1: 300 × $22</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$6,600</w:t>
            </w:r>
          </w:p>
        </w:tc>
      </w:tr>
      <w:tr>
        <w:tc>
          <w:tcPr>
            <w:tcW w:type="pct" w:w="2400"/>
            <w:tcMar>
              <w:top w:type="dxa" w:w="50"/>
              <w:left w:type="dxa" w:w="110"/>
              <w:bottom w:type="dxa" w:w="50"/>
              <w:right w:type="dxa" w:w="110"/>
            </w:tcMar>
          </w:tcPr>
          <w:p>
            <w:pPr>
              <w:spacing w:before="26" w:after="26"/>
            </w:pPr>
            <w:r>
              <w:rPr>
                <w:color w:val="232733"/>
                <w:sz w:val="16"/>
                <w:szCs w:val="16"/>
              </w:rPr>
              <w:t xml:space="preserve">Ending inventory, line 2: 500 × $20</w:t>
            </w:r>
          </w:p>
        </w:tc>
        <w:tc>
          <w:tcPr>
            <w:tcW w:type="pct" w:w="2600"/>
            <w:tcMar>
              <w:top w:type="dxa" w:w="50"/>
              <w:left w:type="dxa" w:w="110"/>
              <w:bottom w:type="dxa" w:w="50"/>
              <w:right w:type="dxa" w:w="110"/>
            </w:tcMar>
          </w:tcPr>
          <w:p>
            <w:pPr>
              <w:spacing w:before="26" w:after="26"/>
            </w:pPr>
            <w:r>
              <w:rPr>
                <w:color w:val="232733"/>
                <w:sz w:val="16"/>
                <w:szCs w:val="16"/>
              </w:rPr>
              <w:t xml:space="preserve">$10,000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Total COGS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$25,000 + $26,400 = $51,400</w:t>
            </w:r>
          </w:p>
        </w:tc>
      </w:tr>
      <w:tr>
        <w:tc>
          <w:tcPr>
            <w:tcW w:type="pct" w:w="2400"/>
            <w:tcMar>
              <w:top w:type="dxa" w:w="50"/>
              <w:left w:type="dxa" w:w="110"/>
              <w:bottom w:type="dxa" w:w="50"/>
              <w:right w:type="dxa" w:w="110"/>
            </w:tcMar>
          </w:tcPr>
          <w:p>
            <w:pPr>
              <w:spacing w:before="26" w:after="26"/>
            </w:pPr>
            <w:r>
              <w:rPr>
                <w:color w:val="232733"/>
                <w:sz w:val="16"/>
                <w:szCs w:val="16"/>
              </w:rPr>
              <w:t xml:space="preserve">Total ending inventory</w:t>
            </w:r>
          </w:p>
        </w:tc>
        <w:tc>
          <w:tcPr>
            <w:tcW w:type="pct" w:w="2600"/>
            <w:tcMar>
              <w:top w:type="dxa" w:w="50"/>
              <w:left w:type="dxa" w:w="110"/>
              <w:bottom w:type="dxa" w:w="50"/>
              <w:right w:type="dxa" w:w="110"/>
            </w:tcMar>
          </w:tcPr>
          <w:p>
            <w:pPr>
              <w:spacing w:before="26" w:after="26"/>
            </w:pPr>
            <w:r>
              <w:rPr>
                <w:color w:val="232733"/>
                <w:sz w:val="16"/>
                <w:szCs w:val="16"/>
              </w:rPr>
              <w:t xml:space="preserve">$6,600 + $10,000 = $16,600</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Check</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$51,400 + $16,600 = $68,000, the cost of goods available.</w:t>
            </w:r>
          </w:p>
        </w:tc>
      </w:tr>
    </w:tbl>
    <w:p/>
    <w:p>
      <w:pPr>
        <w:pageBreakBefore w:val="true"/>
        <w:spacing w:after="0"/>
      </w:pPr>
      <w:r>
        <w:rPr>
          <w:sz w:val="2"/>
        </w:rPr>
        <w:t xml:space="preserve"> </w:t>
      </w:r>
    </w:p>
    <w:p>
      <w:pPr>
        <w:spacing w:before="44" w:after="10"/>
      </w:pPr>
      <w:r>
        <w:rPr>
          <w:b/>
          <w:bCs/>
          <w:color w:val="353A7C"/>
          <w:sz w:val="18"/>
          <w:szCs w:val="18"/>
        </w:rPr>
        <w:t xml:space="preserve">Memo item — Category</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41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9" cstate="none"/>
                    <a:srcRect/>
                    <a:stretch>
                      <a:fillRect/>
                    </a:stretch>
                  </pic:blipFill>
                  <pic:spPr bwMode="auto">
                    <a:xfrm>
                      <a:off x="0" y="0"/>
                      <a:ext cx="5734050" cy="14184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inventoriable cost   ·   M4 (at a Doha consignee)   ·   M2 (FOB destination, sold)</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0"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period cost   ·   cost of goods sold   ·   inventory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counterbalancing error</w:t>
            </w:r>
          </w:p>
        </w:tc>
        <w:tc>
          <w:tcPr>
            <w:tcW w:type="pct" w:w="2600"/>
            <w:tcMar>
              <w:top w:type="dxa" w:w="50"/>
              <w:left w:type="dxa" w:w="110"/>
              <w:bottom w:type="dxa" w:w="50"/>
              <w:right w:type="dxa" w:w="110"/>
            </w:tcMar>
          </w:tcPr>
          <w:p>
            <w:pPr>
              <w:spacing w:before="26" w:after="26"/>
            </w:pPr>
            <w:r>
              <w:rPr>
                <w:color w:val="232733"/>
                <w:sz w:val="16"/>
                <w:szCs w:val="16"/>
              </w:rPr>
              <w:t xml:space="preserve">خطأ ذاتي التصحيح (خطأ معاكس)</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7.5  Inventory errors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depends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purchases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direction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Jan 1</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errors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Feb 14</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correct</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Jun 3</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counterbalancing</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M3</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Remember</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M2 (FOB destination,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restating</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M4 (at a Doha consignee)</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already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cost of goods sold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comparison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Cost of goods sold depends on the count: beginning inventory plus purchases minus ending inventory. If ending inventory is wrong, cost of goods sold is wrong in the same year. And because this year's ending inventory is next year's beginning inventory, the error moves into the next year too. Over the two years, the two errors cancel. Retained earnings are overstated at the end of 2025 but correct at the end of 2026. This is a counterbalancing error. Remember the tax effect: at a 25% tax rate, net income was overstated by only 30 in the first year. If a company finds an error from a prior year, it corrects the error by restating the prior-year statements, with an adjustment to beginning retained earnings (ASC 250). If the error has already counterbalanced, retained earnings need no adjustment, but the prior-year income figures shown for comparison are still restated.</w:t>
      </w:r>
    </w:p>
    <w:p>
      <w:pPr>
        <w:spacing w:before="20" w:after="20"/>
        <w:ind w:left="240" w:hanging="240"/>
      </w:pPr>
      <w:r>
        <w:rPr>
          <w:b/>
          <w:bCs/>
          <w:color w:val="353A7C"/>
          <w:sz w:val="15"/>
          <w:szCs w:val="15"/>
        </w:rPr>
        <w:t xml:space="preserve">Summary 2   </w:t>
      </w:r>
      <w:r>
        <w:rPr>
          <w:color w:val="6B7280"/>
          <w:sz w:val="15"/>
          <w:szCs w:val="15"/>
        </w:rPr>
        <w:t xml:space="preserve">Net income is overstated by 40 (the size of the error), not overstated to 940. In a question, find the direction for the first year, then reverse it for the second year.</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7.1 · Which goods belong in inventory?</w:t>
          </w:r>
        </w:p>
      </w:tc>
      <w:tc>
        <w:tcPr>
          <w:tcW w:type="pct" w:w="1400"/>
          <w:tcMar>
            <w:top w:type="dxa" w:w="-30"/>
            <w:left w:type="dxa" w:w="30"/>
            <w:bottom w:type="dxa" w:w="-30"/>
            <w:right w:type="dxa" w:w="30"/>
          </w:tcMar>
        </w:tcPr>
        <w:p>
          <w:pPr>
            <w:jc w:val="right"/>
          </w:pPr>
          <w:r>
            <w:rPr>
              <w:color w:val="6B7280"/>
              <w:sz w:val="16"/>
              <w:szCs w:val="16"/>
            </w:rPr>
            <w:t xml:space="preserve">Handout 7.1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7.2 · Which costs belong in inventory?</w:t>
          </w:r>
        </w:p>
      </w:tc>
      <w:tc>
        <w:tcPr>
          <w:tcW w:type="pct" w:w="1400"/>
          <w:tcMar>
            <w:top w:type="dxa" w:w="-30"/>
            <w:left w:type="dxa" w:w="30"/>
            <w:bottom w:type="dxa" w:w="-30"/>
            <w:right w:type="dxa" w:w="30"/>
          </w:tcMar>
        </w:tcPr>
        <w:p>
          <w:pPr>
            <w:jc w:val="right"/>
          </w:pPr>
          <w:r>
            <w:rPr>
              <w:color w:val="6B7280"/>
              <w:sz w:val="16"/>
              <w:szCs w:val="16"/>
            </w:rPr>
            <w:t xml:space="preserve">Handout 7.2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7.3 · Cost flow assumptions</w:t>
          </w:r>
        </w:p>
      </w:tc>
      <w:tc>
        <w:tcPr>
          <w:tcW w:type="pct" w:w="1400"/>
          <w:tcMar>
            <w:top w:type="dxa" w:w="-30"/>
            <w:left w:type="dxa" w:w="30"/>
            <w:bottom w:type="dxa" w:w="-30"/>
            <w:right w:type="dxa" w:w="30"/>
          </w:tcMar>
        </w:tcPr>
        <w:p>
          <w:pPr>
            <w:jc w:val="right"/>
          </w:pPr>
          <w:r>
            <w:rPr>
              <w:color w:val="6B7280"/>
              <w:sz w:val="16"/>
              <w:szCs w:val="16"/>
            </w:rPr>
            <w:t xml:space="preserve">Handout 7.3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7.4 · Effects on income, taxes and assets</w:t>
          </w:r>
        </w:p>
      </w:tc>
      <w:tc>
        <w:tcPr>
          <w:tcW w:type="pct" w:w="1400"/>
          <w:tcMar>
            <w:top w:type="dxa" w:w="-30"/>
            <w:left w:type="dxa" w:w="30"/>
            <w:bottom w:type="dxa" w:w="-30"/>
            <w:right w:type="dxa" w:w="30"/>
          </w:tcMar>
        </w:tcPr>
        <w:p>
          <w:pPr>
            <w:jc w:val="right"/>
          </w:pPr>
          <w:r>
            <w:rPr>
              <w:color w:val="6B7280"/>
              <w:sz w:val="16"/>
              <w:szCs w:val="16"/>
            </w:rPr>
            <w:t xml:space="preserve">Handout 7.4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7.5 · Inventory errors</w:t>
          </w:r>
        </w:p>
      </w:tc>
      <w:tc>
        <w:tcPr>
          <w:tcW w:type="pct" w:w="1400"/>
          <w:tcMar>
            <w:top w:type="dxa" w:w="-30"/>
            <w:left w:type="dxa" w:w="30"/>
            <w:bottom w:type="dxa" w:w="-30"/>
            <w:right w:type="dxa" w:w="30"/>
          </w:tcMar>
        </w:tcPr>
        <w:p>
          <w:pPr>
            <w:jc w:val="right"/>
          </w:pPr>
          <w:r>
            <w:rPr>
              <w:color w:val="6B7280"/>
              <w:sz w:val="16"/>
              <w:szCs w:val="16"/>
            </w:rPr>
            <w:t xml:space="preserve">Handout 7.5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7.5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18cb3d65c70f96269a973232ef7f864a22c93b7.png" Type="http://schemas.openxmlformats.org/officeDocument/2006/relationships/image"/><Relationship Id="rId102" Target="media/7ccf25285a9c45fb6bdf7cbeb2fb592abb3811ea.png" Type="http://schemas.openxmlformats.org/officeDocument/2006/relationships/image"/><Relationship Id="rId103" Target="media/c884a374a57d9bae943fb7aa63433dd0245ff0a7.png" Type="http://schemas.openxmlformats.org/officeDocument/2006/relationships/image"/><Relationship Id="rId104" Target="media/e4438032fe3f2c07bf84c1166cdc275233dda2ed.png" Type="http://schemas.openxmlformats.org/officeDocument/2006/relationships/image"/><Relationship Id="rId105" Target="media/9ed9d86e56e8e56c8a75a797df2720fe66edd262.png" Type="http://schemas.openxmlformats.org/officeDocument/2006/relationships/image"/><Relationship Id="rId106" Target="media/3d7edb6eac10bfc9cabd19367c792e763f7db5f3.png" Type="http://schemas.openxmlformats.org/officeDocument/2006/relationships/image"/><Relationship Id="rId107" Target="media/63594e4b27b486e87e305d4bcbccb59209eef868.png" Type="http://schemas.openxmlformats.org/officeDocument/2006/relationships/image"/><Relationship Id="rId108" Target="media/0395d3cba9828c316edd9da1c8246ffb2c209bc7.png" Type="http://schemas.openxmlformats.org/officeDocument/2006/relationships/image"/><Relationship Id="rId109" Target="media/f6c0221cd66e6357d7e73c25877dfd361c61da63.png" Type="http://schemas.openxmlformats.org/officeDocument/2006/relationships/image"/><Relationship Id="rId110" Target="media/cbd6a12b42fd3e2374b6ac118c3f451915e86dee.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7</dc:title>
  <dc:subject>Summary handouts</dc:subject>
  <cp:category>Student Book</cp:category>
</cp:coreProperties>
</file>