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retail inventory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Inventory measured by FIFO,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separate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   transport   ·   write-down   ·   market   ·   identification   ·   average   ·   net realizable value (NRV)   ·   estimated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939"/>
            <w:tcMar>
              <w:top w:type="dxa" w:w="50"/>
              <w:left w:type="dxa" w:w="110"/>
              <w:bottom w:type="dxa" w:w="50"/>
              <w:right w:type="dxa" w:w="110"/>
            </w:tcMar>
          </w:tcPr>
          <w:p>
            <w:pPr>
              <w:spacing w:before="28" w:after="28"/>
            </w:pPr>
            <w:r>
              <w:rPr>
                <w:sz w:val="15"/>
                <w:szCs w:val="15"/>
              </w:rPr>
              <w:t xml:space="preserve">Olive oil cases on hand (FIFO layer from Chapter 7)</w:t>
            </w:r>
          </w:p>
        </w:tc>
        <w:tc>
          <w:tcPr>
            <w:tcW w:type="pct" w:w="2061"/>
            <w:tcMar>
              <w:top w:type="dxa" w:w="50"/>
              <w:left w:type="dxa" w:w="110"/>
              <w:bottom w:type="dxa" w:w="50"/>
              <w:right w:type="dxa" w:w="110"/>
            </w:tcMar>
          </w:tcPr>
          <w:p>
            <w:pPr>
              <w:spacing w:before="28" w:after="28"/>
            </w:pPr>
            <w:r>
              <w:rPr>
                <w:sz w:val="15"/>
                <w:szCs w:val="15"/>
              </w:rPr>
              <w:t xml:space="preserve">2,000</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061"/>
            <w:shd w:fill="FBFAF6" w:val="clear"/>
            <w:tcMar>
              <w:top w:type="dxa" w:w="50"/>
              <w:left w:type="dxa" w:w="110"/>
              <w:bottom w:type="dxa" w:w="50"/>
              <w:right w:type="dxa" w:w="110"/>
            </w:tcMar>
          </w:tcPr>
          <w:p>
            <w:pPr>
              <w:spacing w:before="28" w:after="28"/>
            </w:pPr>
            <w:r>
              <w:rPr>
                <w:sz w:val="15"/>
                <w:szCs w:val="15"/>
              </w:rPr>
              <w:t xml:space="preserve">$50</w:t>
            </w:r>
          </w:p>
        </w:tc>
      </w:tr>
      <w:tr>
        <w:tc>
          <w:tcPr>
            <w:tcW w:type="pct" w:w="2939"/>
            <w:tcMar>
              <w:top w:type="dxa" w:w="50"/>
              <w:left w:type="dxa" w:w="110"/>
              <w:bottom w:type="dxa" w:w="50"/>
              <w:right w:type="dxa" w:w="110"/>
            </w:tcMar>
          </w:tcPr>
          <w:p>
            <w:pPr>
              <w:spacing w:before="28" w:after="28"/>
            </w:pPr>
            <w:r>
              <w:rPr>
                <w:sz w:val="15"/>
                <w:szCs w:val="15"/>
              </w:rPr>
              <w:t xml:space="preserve">New estimated selling price per case</w:t>
            </w:r>
          </w:p>
        </w:tc>
        <w:tc>
          <w:tcPr>
            <w:tcW w:type="pct" w:w="2061"/>
            <w:tcMar>
              <w:top w:type="dxa" w:w="50"/>
              <w:left w:type="dxa" w:w="110"/>
              <w:bottom w:type="dxa" w:w="50"/>
              <w:right w:type="dxa" w:w="110"/>
            </w:tcMar>
          </w:tcPr>
          <w:p>
            <w:pPr>
              <w:spacing w:before="28" w:after="28"/>
            </w:pPr>
            <w:r>
              <w:rPr>
                <w:sz w:val="15"/>
                <w:szCs w:val="15"/>
              </w:rPr>
              <w:t xml:space="preserve">$54</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939"/>
            <w:tcMar>
              <w:top w:type="dxa" w:w="50"/>
              <w:left w:type="dxa" w:w="110"/>
              <w:bottom w:type="dxa" w:w="50"/>
              <w:right w:type="dxa" w:w="110"/>
            </w:tcMar>
          </w:tcPr>
          <w:p>
            <w:pPr>
              <w:spacing w:before="28" w:after="28"/>
            </w:pPr>
            <w:r>
              <w:rPr>
                <w:sz w:val="15"/>
                <w:szCs w:val="15"/>
              </w:rPr>
              <w:t xml:space="preserve">NRV per case</w:t>
            </w:r>
          </w:p>
        </w:tc>
        <w:tc>
          <w:tcPr>
            <w:tcW w:type="pct" w:w="2061"/>
            <w:tcMar>
              <w:top w:type="dxa" w:w="50"/>
              <w:left w:type="dxa" w:w="110"/>
              <w:bottom w:type="dxa" w:w="50"/>
              <w:right w:type="dxa" w:w="110"/>
            </w:tcMar>
          </w:tcPr>
          <w:p>
            <w:pPr>
              <w:spacing w:before="28" w:after="28"/>
            </w:pPr>
            <w:r>
              <w:rPr>
                <w:sz w:val="15"/>
                <w:szCs w:val="15"/>
              </w:rPr>
              <w:t xml:space="preserve">$48</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Inventory at cost</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939"/>
            <w:tcMar>
              <w:top w:type="dxa" w:w="50"/>
              <w:left w:type="dxa" w:w="110"/>
              <w:bottom w:type="dxa" w:w="50"/>
              <w:right w:type="dxa" w:w="110"/>
            </w:tcMar>
          </w:tcPr>
          <w:p>
            <w:pPr>
              <w:spacing w:before="28" w:after="28"/>
            </w:pPr>
            <w:r>
              <w:rPr>
                <w:sz w:val="15"/>
                <w:szCs w:val="15"/>
              </w:rPr>
              <w:t xml:space="preserve">Inventory at LCNRV</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   ·   $96,000   ·   $50   ·   $100,000   ·   $4,000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14–19</w:t>
      </w:r>
    </w:p>
    <w:p>
      <w:pPr>
        <w:spacing w:before="20" w:after="20" w:line="360" w:lineRule="auto"/>
        <w:ind w:left="200"/>
      </w:pPr>
      <w:r>
        <w:rPr>
          <w:sz w:val="19"/>
          <w:szCs w:val="19"/>
        </w:rPr>
        <w:t xml:space="preserve">The write-down of $4,000 is a loss of 2025. </w:t>
      </w:r>
      <w:r>
        <w:rPr>
          <w:sz w:val="19"/>
          <w:szCs w:val="19"/>
        </w:rPr>
        <w:t xml:space="preserve">The new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$48 a case, is now the cost basis of these cases. </w:t>
      </w:r>
      <w:r>
        <w:rPr>
          <w:sz w:val="19"/>
          <w:szCs w:val="19"/>
        </w:rPr>
        <w:t xml:space="preserve">If prices recover in 2026,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does not reverse the write-down under U.S. GAAP. </w:t>
      </w:r>
      <w:r>
        <w:rPr>
          <w:sz w:val="19"/>
          <w:szCs w:val="19"/>
        </w:rPr>
        <w:t xml:space="preserve">A write-down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 an interim quarter is the only exception: it may be recovered in a later quarter of the same fiscal year. </w:t>
      </w:r>
      <w:r>
        <w:rPr>
          <w:sz w:val="19"/>
          <w:szCs w:val="19"/>
        </w:rPr>
        <w:t xml:space="preserve">IAS 2 uses LCNRV for all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including retail, and it has no LCM test. </w:t>
      </w:r>
      <w:r>
        <w:rPr>
          <w:sz w:val="19"/>
          <w:szCs w:val="19"/>
        </w:rPr>
        <w:t xml:space="preserve">When prices recover, IAS 2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reversal, limited to the original write-down. </w:t>
      </w:r>
      <w:r>
        <w:rPr>
          <w:sz w:val="19"/>
          <w:szCs w:val="19"/>
        </w:rPr>
        <w:t xml:space="preserve">If NRV rises to $53 in 2026, an IFRS company in Orontes's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would reverse $4,000. </w:t>
      </w:r>
      <w:r>
        <w:rPr>
          <w:sz w:val="19"/>
          <w:szCs w:val="19"/>
        </w:rPr>
        <w:t xml:space="preserve">Under U.S. GAAP the reversal is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recognized   ·   amount   ·   write-down   ·   inventories   ·   requires   ·   Orontes   ·   position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NRV = selling price − costs to complete, sell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 LCNRV; LIFO or retail → LCM. </w:t>
      </w:r>
      <w:r>
        <w:rPr>
          <w:sz w:val="19"/>
          <w:szCs w:val="19"/>
        </w:rPr>
        <w:t xml:space="preserve">U.S. GAAP never reverses an annual write-down.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floor   ·   transport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shrinkage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$6</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$100,000</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$96,000</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The write-down of $4,000 is a loss of 2025. The new amount, $48 a case, is now the cost basis of these cases. If prices recover in 2026, Orontes does not reverse the write-down under U.S. GAAP. A write-down recognized in an interim quarter is the only exception: it may be recovered in a later quarter of the same fiscal year. IAS 2 uses LCNRV for all inventories, including retail, and it has no LCM test. When prices recover, IAS 2 requires a reversal, limited to the original write-down. If NRV rises to $53 in 2026, an IFRS company in Orontes's position would reverse $4,000. Under U.S. GAAP the reversal is zero.</w:t>
      </w:r>
    </w:p>
    <w:p>
      <w:pPr>
        <w:spacing w:before="20" w:after="20"/>
        <w:ind w:left="240" w:hanging="240"/>
      </w:pPr>
      <w:r>
        <w:rPr>
          <w:b/>
          <w:bCs/>
          <w:color w:val="353A7C"/>
          <w:sz w:val="15"/>
          <w:szCs w:val="15"/>
        </w:rPr>
        <w:t xml:space="preserve">Summary 3   </w:t>
      </w:r>
      <w:r>
        <w:rPr>
          <w:color w:val="6B7280"/>
          <w:sz w:val="15"/>
          <w:szCs w:val="15"/>
        </w:rPr>
        <w:t xml:space="preserve">NRV = selling price − costs to complete, sell and transport. Do NOT deduct a normal profit; that only defines the LCM floor. Check the method first: FIFO or average → LCNRV; LIFO or retail → LCM. U.S. GAAP never reverses an annual write-down.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Under LCM,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starts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the current cost to buy or make the item again.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Why the limits? The ceiling stops the company from carrying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write-down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   higher   ·   recover   ·   floor   ·   inventory   ·   replacement   ·   market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p>
      <w:pPr>
        <w:spacing w:before="44" w:after="14"/>
      </w:pPr>
      <w:r>
        <w:rPr>
          <w:b/>
          <w:bCs/>
          <w:color w:val="353A7C"/>
          <w:sz w:val="18"/>
          <w:szCs w:val="18"/>
        </w:rPr>
        <w:t xml:space="preserve">Summary 2</w:t>
      </w:r>
      <w:r>
        <w:rPr>
          <w:color w:val="6B7280"/>
          <w:sz w:val="16"/>
          <w:szCs w:val="16"/>
        </w:rPr>
        <w:t xml:space="preserve">      gaps 7–13</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non-cancellable   ·   because   ·   consistently   ·   inventory   ·   floor   ·   conservative   ·   compared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Do not compare replacement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ceiling   ·   directly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Dépréciation is a write-down</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In French, dépréciation des stocks is an inventory write-down, not depreciation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تخفيض قيمة المخزون is the write-down; do not use استهلاك, which is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Arabic   ·   replacement cost   ·   amortissement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lower of cost or market (LCM)   ·   floor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replacement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amortissement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Arabic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consistently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because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It cannot be higher than a ceiling equal to NRV, and it cannot be lower than a floor equal to NRV minus a normal profit margin.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pacing w:before="20" w:after="20"/>
        <w:ind w:left="240" w:hanging="240"/>
      </w:pPr>
      <w:r>
        <w:rPr>
          <w:b/>
          <w:bCs/>
          <w:color w:val="353A7C"/>
          <w:sz w:val="15"/>
          <w:szCs w:val="15"/>
        </w:rPr>
        <w:t xml:space="preserve">Summary 4   </w:t>
      </w:r>
      <w:r>
        <w:rPr>
          <w:color w:val="6B7280"/>
          <w:sz w:val="15"/>
          <w:szCs w:val="15"/>
        </w:rPr>
        <w:t xml:space="preserve">In French, dépréciation des stocks is an inventory write-down, not depreciation (amortissement). In Arabic, تخفيض قيمة المخزون is the write-down; do not use استهلاك, which is depreciation.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approximates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thousands   ·   change   ·   conventional   ·   markup   ·   estimates   ·   cost-to-retail   ·   expensive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floor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11–18</w:t>
      </w:r>
    </w:p>
    <w:p>
      <w:pPr>
        <w:spacing w:before="20" w:after="20" w:line="360" w:lineRule="auto"/>
        <w:ind w:left="200"/>
      </w:pPr>
      <w:r>
        <w:rPr>
          <w:sz w:val="19"/>
          <w:szCs w:val="19"/>
        </w:rPr>
        <w:t xml:space="preserve">A 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also exists. </w:t>
      </w:r>
      <w:r>
        <w:rPr>
          <w:sz w:val="19"/>
          <w:szCs w:val="19"/>
        </w:rPr>
        <w:t xml:space="preserve">It leaves beginning inventory out of the ratio, includes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gross profit method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   estimates   ·   physical   ·   purchases   ·   costing   ·   destroyed   ·   acceptable   ·   markup   ·   markdowns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If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gives a markup on cost, convert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retail: markups IN the ratio, markdowns OUT. </w:t>
      </w:r>
      <w:r>
        <w:rPr>
          <w:sz w:val="19"/>
          <w:szCs w:val="19"/>
        </w:rPr>
        <w:t xml:space="preserve">Freight-in goes in the cost column only; normal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Conventional   ·   cost-to-retail ratio   ·   question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normal profit margin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markdowns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A LIFO retail method also exists. It leaves beginning inventory out of the ratio, includes markdowns, and adds a new layer each year at that year's ratio.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3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smooths price changes and is hard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identical items it is costly and lets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trade-off is between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prices change, but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statements   ·   includes   ·   out-of-date   ·   replacement cost   ·   manipulate   ·   strengths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Always check the facts that can rule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 </w:t>
      </w:r>
      <w:r>
        <w:rPr>
          <w:sz w:val="19"/>
          <w:szCs w:val="19"/>
        </w:rPr>
        <w:t xml:space="preserve">If the company, or its parent,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reports   ·   identification   ·   shrinkage   ·   manipulation   ·   method   ·   possible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physical flow and gives lenders a current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Recommendation: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reports   ·   conformity   ·   oldest-first   ·   gross profit method   ·   perishable   ·   director   ·   inventory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a case-based question,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net realizable value (NRV)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Recommendations need reasons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tcMar>
              <w:top w:type="dxa" w:w="50"/>
              <w:left w:type="dxa" w:w="110"/>
              <w:bottom w:type="dxa" w:w="50"/>
              <w:right w:type="dxa" w:w="110"/>
            </w:tcMar>
          </w:tcPr>
          <w:p>
            <w:pPr>
              <w:spacing w:before="28" w:after="28"/>
            </w:pPr>
            <w:r>
              <w:rPr>
                <w:sz w:val="15"/>
                <w:szCs w:val="15"/>
              </w:rPr>
              <w:t xml:space="preserve">90,000 ÷ 150,000 = 0.60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144,000 − 120,000 = 24,000   ·   150,000 − 6,000 = 144,000   ·   90,000 ÷ 150,000 = 0.60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Product line</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Pomegranate molasses</w:t>
            </w:r>
          </w:p>
        </w:tc>
        <w:tc>
          <w:tcPr>
            <w:tcW w:type="pct" w:w="2600"/>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Rose water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tcMar>
              <w:top w:type="dxa" w:w="50"/>
              <w:left w:type="dxa" w:w="110"/>
              <w:bottom w:type="dxa" w:w="50"/>
              <w:right w:type="dxa" w:w="110"/>
            </w:tcMar>
          </w:tcPr>
          <w:p>
            <w:pPr>
              <w:spacing w:before="26" w:after="26"/>
            </w:pPr>
            <w:r>
              <w:rPr>
                <w:color w:val="232733"/>
                <w:sz w:val="16"/>
                <w:szCs w:val="16"/>
              </w:rPr>
              <w:t xml:space="preserve">Za'atar mix</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Frozen kibbeh</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LCNRV</w:t>
            </w:r>
          </w:p>
        </w:tc>
      </w:tr>
      <w:tr>
        <w:tc>
          <w:tcPr>
            <w:tcW w:type="pct" w:w="2400"/>
            <w:tcMar>
              <w:top w:type="dxa" w:w="50"/>
              <w:left w:type="dxa" w:w="110"/>
              <w:bottom w:type="dxa" w:w="50"/>
              <w:right w:type="dxa" w:w="110"/>
            </w:tcMar>
          </w:tcPr>
          <w:p>
            <w:pPr>
              <w:spacing w:before="26" w:after="26"/>
            </w:pPr>
            <w:r>
              <w:rPr>
                <w:color w:val="232733"/>
                <w:sz w:val="16"/>
                <w:szCs w:val="16"/>
              </w:rPr>
              <w:t xml:space="preserve">Olive-oil soap</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oldest-first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conformity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150,000 − 6,000 = 144,000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perishable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9acf5b77b9bdee4cd2168ffe7307ac02c4273d3.png" Type="http://schemas.openxmlformats.org/officeDocument/2006/relationships/image"/><Relationship Id="rId102" Target="media/7d1f02d859fac8beb93ce15db0ccb197467c85d8.png" Type="http://schemas.openxmlformats.org/officeDocument/2006/relationships/image"/><Relationship Id="rId103" Target="media/9b933c6c94148a81f419117adc712444e7a9186f.png" Type="http://schemas.openxmlformats.org/officeDocument/2006/relationships/image"/><Relationship Id="rId104" Target="media/b03dd13ea1547e61bacf7723b241b14c44ca32e9.png" Type="http://schemas.openxmlformats.org/officeDocument/2006/relationships/image"/><Relationship Id="rId105" Target="media/c428d3f6dc49d00ebbd13d34d590ecc9c3b03d0f.png" Type="http://schemas.openxmlformats.org/officeDocument/2006/relationships/image"/><Relationship Id="rId106" Target="media/e8b25e07cdaf15d08cbffc91acf11f97ae33497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dc:title>
  <dc:subject>Summary handouts</dc:subject>
  <cp:category>Student Book</cp:category>
</cp:coreProperties>
</file>