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held-to-maturity (HTM) securities   ·   Measuring debt securities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(HTM) securities are securities the company has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intent and the ability to hold until they mature.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(AFS) securities are all other debt securities. </w:t>
      </w:r>
      <w:r>
        <w:rPr>
          <w:sz w:val="19"/>
          <w:szCs w:val="19"/>
        </w:rPr>
        <w:t xml:space="preserve">If the company would sell the bond when interest rates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when it needs cash, it does not have the intent to hold it. </w:t>
      </w:r>
      <w:r>
        <w:rPr>
          <w:sz w:val="19"/>
          <w:szCs w:val="19"/>
        </w:rPr>
        <w:t xml:space="preserve">And if it sells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HTM securities for other reasons, it taints the whole HTM portfolio, which raises doubt about its intent for all its other HTM securities. </w:t>
      </w:r>
      <w:r>
        <w:rPr>
          <w:sz w:val="19"/>
          <w:szCs w:val="19"/>
        </w:rPr>
        <w:t xml:space="preserve">The standard allows a few exceptions, such as a sale after the issuer's credit quality falls sharply, or a sale very close to maturity. </w:t>
      </w:r>
      <w:r>
        <w:rPr>
          <w:sz w:val="19"/>
          <w:szCs w:val="19"/>
        </w:rPr>
        <w:t xml:space="preserve">A company may also elect the fair value option for a security when it first recognizes it. </w:t>
      </w:r>
      <w:r>
        <w:rPr>
          <w:sz w:val="19"/>
          <w:szCs w:val="19"/>
        </w:rPr>
        <w:t xml:space="preserve">The election is irrevocable,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   positive   ·   repayment   ·   holder   ·   Available-for-sale   ·   debt security   ·   covers   ·   transfers   ·   bought   ·   shares   ·   change   ·   Trading   ·   ownership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fair value option   ·   change   ·   ability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option   ·   trading securities   ·   held-to-maturity (HTM)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positive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transfers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held-to-maturity (HTM)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fair value 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Held-to-maturity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Trading securities are bought and held mainly to sell in the near term. Held-to-maturity (HTM) securities are securities the company has the positive intent and the ability to hold until they mature. Available-for-sale (AFS) securities are all other debt securities.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 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2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basis difference   ·   Equity method</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toward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fair value   ·   received   ·   higher   ·   difference   ·   purchase   ·   bought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On January 1, 2025, Orontes buys a 3-year bond with a face amount of $100,000 and a stated rate of 6%, paid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December   ·   fair value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Balance sheet amount at Dec 31, 2025</w:t>
            </w:r>
          </w:p>
        </w:tc>
      </w:tr>
    </w:tbl>
    <w:p/>
    <w:p>
      <w:pPr>
        <w:spacing w:before="44" w:after="14"/>
      </w:pPr>
      <w:r>
        <w:rPr>
          <w:b/>
          <w:bCs/>
          <w:color w:val="353A7C"/>
          <w:sz w:val="18"/>
          <w:szCs w:val="18"/>
        </w:rPr>
        <w:t xml:space="preserve">Summary 3</w:t>
      </w:r>
      <w:r>
        <w:rPr>
          <w:color w:val="6B7280"/>
          <w:sz w:val="16"/>
          <w:szCs w:val="16"/>
        </w:rPr>
        <w:t xml:space="preserve">      gaps 13–20</w:t>
      </w:r>
    </w:p>
    <w:p>
      <w:pPr>
        <w:spacing w:before="20" w:after="20" w:line="360" w:lineRule="auto"/>
        <w:ind w:left="200"/>
      </w:pPr>
      <w:r>
        <w:rPr>
          <w:sz w:val="19"/>
          <w:szCs w:val="19"/>
        </w:rPr>
        <w:t xml:space="preserve">Interest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sheet amount and the place of the unrealized loss differ. </w:t>
      </w:r>
      <w:r>
        <w:rPr>
          <w:sz w:val="19"/>
          <w:szCs w:val="19"/>
        </w:rPr>
        <w:t xml:space="preserve">On the sale,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gain is the price minus the amortized cost: $101,500 − $100,952 = $548. </w:t>
      </w:r>
      <w:r>
        <w:rPr>
          <w:sz w:val="19"/>
          <w:szCs w:val="19"/>
        </w:rPr>
        <w:t xml:space="preserve">Accumulated OCI for the bond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zero, so the gain is never counted twice. </w:t>
      </w:r>
      <w:r>
        <w:rPr>
          <w:sz w:val="19"/>
          <w:szCs w:val="19"/>
        </w:rPr>
        <w:t xml:space="preserve">Transfers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method   ·   between   ·   realized   ·   revenue   ·   balance   ·   immediately   ·   remaining   ·   returns   ·   should</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4</w:t>
      </w:r>
      <w:r>
        <w:rPr>
          <w:color w:val="6B7280"/>
          <w:sz w:val="16"/>
          <w:szCs w:val="16"/>
        </w:rPr>
        <w:t xml:space="preserve">      gaps 21–22</w:t>
      </w:r>
    </w:p>
    <w:p>
      <w:pPr>
        <w:spacing w:before="20" w:after="20" w:line="360" w:lineRule="auto"/>
        <w:ind w:left="200"/>
      </w:pPr>
      <w:r>
        <w:rPr>
          <w:sz w:val="19"/>
          <w:szCs w:val="19"/>
        </w:rPr>
        <w:t xml:space="preserve">Trading: fair value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accumulated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beginning   ·   changes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method   ·   bond premium   ·   reclassification adjustment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Balance sheet amount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Interest revenue is the same in all three categories. Only the balance sheet amount and the place of the unrealized loss differ.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4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For very safe bonds, such as 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follow a different model. </w:t>
      </w:r>
      <w:r>
        <w:rPr>
          <w:sz w:val="19"/>
          <w:szCs w:val="19"/>
        </w:rPr>
        <w:t xml:space="preserve">A security is impaired when its fair value is below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w:t>
      </w:r>
      <w:r>
        <w:rPr>
          <w:sz w:val="19"/>
          <w:szCs w:val="19"/>
        </w:rPr>
        <w:t xml:space="preserve">If the company intends to sell it, or will more likely than not have to sell it before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writes the security down to fair value through net income.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separates the decline into two parts. </w:t>
      </w:r>
      <w:r>
        <w:rPr>
          <w:sz w:val="19"/>
          <w:szCs w:val="19"/>
        </w:rPr>
        <w:t xml:space="preserve">The credit part is recorded in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through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fair value   ·   allowance   ·   amortized   ·   Otherwise   ·   recovers   ·   securities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$6,000. </w:t>
      </w:r>
      <w:r>
        <w:rPr>
          <w:sz w:val="19"/>
          <w:szCs w:val="19"/>
        </w:rPr>
        <w:t xml:space="preserve">If credit quality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later, the allowance can be reversed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reclassification adjustment   ·   decline   ·   limited   ·   improves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AFS allowance ≤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If the company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measurement alternative</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very safe bonds, such as U.S. Treasury bonds, the expected loss can be zero. AFS securities follow a different model. A security is impaired when its fair value is below its amortized cost. If the company intends to sell it, or will more likely than not have to sell it before it recovers, it writes the security down to fair value through net income. Otherwise it separates the decline into two parts.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If the company intends to sell, there is no allowance: write the bond down to fair value.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Shares with a readily determinable fair value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influence can take part in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financial and operating decisions. </w:t>
      </w:r>
      <w:r>
        <w:rPr>
          <w:sz w:val="19"/>
          <w:szCs w:val="19"/>
        </w:rPr>
        <w:t xml:space="preserve">Influence is presumed when the investor holds 20% to 50% of the voting stock, but the evidence decides: a board seat, participation in policy decisions or large transactions between the companies can show influence even below 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   year-end   ·   significant   ·   category   ·   measurement   ·   bought   ·   unrealized   ·   changes   ·   investee's   ·   equity method   ·   option   ·   measured   ·   transaction</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With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share of the investee's net income and decreases by the dividends the investor receives. </w:t>
      </w:r>
      <w:r>
        <w:rPr>
          <w:sz w:val="19"/>
          <w:szCs w:val="19"/>
        </w:rPr>
        <w:t xml:space="preserve">The dividends are not income, because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   measurement alternative   ·   investor's   ·   starts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16–22</w:t>
      </w:r>
    </w:p>
    <w:p>
      <w:pPr>
        <w:spacing w:before="20" w:after="20" w:line="360" w:lineRule="auto"/>
        <w:ind w:left="200"/>
      </w:pPr>
      <w:r>
        <w:rPr>
          <w:sz w:val="19"/>
          <w:szCs w:val="19"/>
        </w:rPr>
        <w:t xml:space="preserve">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$300,000 has two parts: $30,000 for Orontes's share of equipment worth more than its book value, which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 10 years ($3,000 a year), and $270,000 of goodwill, which is not amortized. </w:t>
      </w:r>
      <w:r>
        <w:rPr>
          <w:sz w:val="19"/>
          <w:szCs w:val="19"/>
        </w:rPr>
        <w:t xml:space="preserve">Orontes reports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of $60,000 are cash in and investment out; they do not change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   difference   ·   dividends   ·   depreciated   ·   Glass's   ·   significant influence   ·   January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23–34</w:t>
      </w:r>
    </w:p>
    <w:p>
      <w:pPr>
        <w:spacing w:before="20" w:after="20" w:line="360" w:lineRule="auto"/>
        <w:ind w:left="200"/>
      </w:pPr>
      <w:r>
        <w:rPr>
          <w:sz w:val="19"/>
          <w:szCs w:val="19"/>
        </w:rPr>
        <w:t xml:space="preserve">Three more equity-method rules appear in exam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reduce the investment only to zero, unless the investor has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until the goods are sold to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And when an investor first gains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influence, it starts the equity method from that date; it does not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are measured at fair value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net income. </w:t>
      </w:r>
      <w:r>
        <w:rPr>
          <w:sz w:val="19"/>
          <w:szCs w:val="19"/>
        </w:rPr>
        <w:t xml:space="preserve">This rule became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for fiscal years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after December 15, 2024, so it is now testable. </w:t>
      </w:r>
      <w:r>
        <w:rPr>
          <w:sz w:val="19"/>
          <w:szCs w:val="19"/>
        </w:rPr>
        <w:t xml:space="preserve">IFRS 9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irrevocable election to put fair value changes in OCI, with no recycling on sale; U.S. GAAP has no such option. </w:t>
      </w:r>
      <w:r>
        <w:rPr>
          <w:sz w:val="19"/>
          <w:szCs w:val="19"/>
        </w:rPr>
        <w:t xml:space="preserve">Under IAS 28, an equity-method investment that is impaired can later be written back up; under U.S. GAAP the impairment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eliminated   ·   basis difference   ·   questions   ·   outsiders   ·   beginning   ·   restate   ·   definition   ·   classifies   ·   through   ·   guaranteed   ·   significant   ·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35–36</w:t>
      </w:r>
    </w:p>
    <w:p>
      <w:pPr>
        <w:spacing w:before="20" w:after="20" w:line="360" w:lineRule="auto"/>
        <w:ind w:left="200"/>
      </w:pPr>
      <w:r>
        <w:rPr>
          <w:sz w:val="19"/>
          <w:szCs w:val="19"/>
        </w:rPr>
        <w:t xml:space="preserve">Equity method: dividends reduce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w:t>
      </w:r>
      <w:r>
        <w:rPr>
          <w:sz w:val="19"/>
          <w:szCs w:val="19"/>
        </w:rPr>
        <w:t xml:space="preserve">Take only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Depreciate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investment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2123"/>
        <w:gridCol w:w="4992"/>
        <w:gridCol w:w="162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6"/>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844"/>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450"/>
            <w:tcMar>
              <w:top w:type="dxa" w:w="50"/>
              <w:left w:type="dxa" w:w="110"/>
              <w:bottom w:type="dxa" w:w="50"/>
              <w:right w:type="dxa" w:w="110"/>
            </w:tcMar>
          </w:tcPr>
          <w:p>
            <w:pPr>
              <w:spacing w:before="28" w:after="28"/>
            </w:pPr>
            <w:r>
              <w:rPr>
                <w:sz w:val="15"/>
                <w:szCs w:val="15"/>
              </w:rPr>
              <w:t xml:space="preserve">A</w:t>
            </w:r>
          </w:p>
        </w:tc>
        <w:tc>
          <w:tcPr>
            <w:tcW w:type="pct" w:w="1106"/>
            <w:tcMar>
              <w:top w:type="dxa" w:w="50"/>
              <w:left w:type="dxa" w:w="110"/>
              <w:bottom w:type="dxa" w:w="50"/>
              <w:right w:type="dxa" w:w="110"/>
            </w:tcMar>
          </w:tcPr>
          <w:p>
            <w:pPr>
              <w:spacing w:before="28" w:after="28"/>
            </w:pPr>
            <w:r>
              <w:rPr>
                <w:sz w:val="15"/>
                <w:szCs w:val="15"/>
              </w:rPr>
              <w:t xml:space="preserve">Corporate bond</w:t>
            </w:r>
          </w:p>
        </w:tc>
        <w:tc>
          <w:tcPr>
            <w:tcW w:type="pct" w:w="2600"/>
            <w:tcMar>
              <w:top w:type="dxa" w:w="50"/>
              <w:left w:type="dxa" w:w="110"/>
              <w:bottom w:type="dxa" w:w="50"/>
              <w:right w:type="dxa" w:w="110"/>
            </w:tcMar>
          </w:tcPr>
          <w:p>
            <w:pPr>
              <w:spacing w:before="28" w:after="28"/>
            </w:pPr>
            <w:r>
              <w:rPr>
                <w:sz w:val="15"/>
                <w:szCs w:val="15"/>
              </w:rPr>
              <w:t xml:space="preserve">Bought to sell in the near term; the treasury team trades it actively.</w:t>
            </w:r>
          </w:p>
        </w:tc>
        <w:tc>
          <w:tcPr>
            <w:tcW w:type="pct" w:w="844"/>
            <w:shd w:fill="FFFFFF" w:val="clear"/>
            <w:tcMar>
              <w:top w:type="dxa" w:w="50"/>
              <w:left w:type="dxa" w:w="110"/>
              <w:bottom w:type="dxa" w:w="50"/>
              <w:right w:type="dxa" w:w="110"/>
            </w:tcMar>
          </w:tcPr>
          <w:p>
            <w:pPr>
              <w:spacing w:before="46" w:after="46"/>
            </w:pPr>
            <w:r>
              <w:rPr>
                <w:b/>
                <w:bCs/>
                <w:color w:val="8186EF"/>
                <w:sz w:val="14"/>
                <w:szCs w:val="14"/>
              </w:rPr>
              <w:t xml:space="preserve">(37)</w:t>
            </w:r>
          </w:p>
        </w:tc>
      </w:tr>
      <w:tr>
        <w:tc>
          <w:tcPr>
            <w:tcW w:type="pct" w:w="450"/>
            <w:shd w:fill="FBFAF6" w:val="clear"/>
            <w:tcMar>
              <w:top w:type="dxa" w:w="50"/>
              <w:left w:type="dxa" w:w="110"/>
              <w:bottom w:type="dxa" w:w="50"/>
              <w:right w:type="dxa" w:w="110"/>
            </w:tcMar>
          </w:tcPr>
          <w:p>
            <w:pPr>
              <w:spacing w:before="28" w:after="28"/>
            </w:pPr>
            <w:r>
              <w:rPr>
                <w:sz w:val="15"/>
                <w:szCs w:val="15"/>
              </w:rPr>
              <w:t xml:space="preserve">B</w:t>
            </w:r>
          </w:p>
        </w:tc>
        <w:tc>
          <w:tcPr>
            <w:tcW w:type="pct" w:w="1106"/>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intends and is able to hold it until it matures in 2029.</w:t>
            </w:r>
          </w:p>
        </w:tc>
        <w:tc>
          <w:tcPr>
            <w:tcW w:type="pct" w:w="844"/>
            <w:shd w:fill="FFFFFF" w:val="clear"/>
            <w:tcMar>
              <w:top w:type="dxa" w:w="50"/>
              <w:left w:type="dxa" w:w="110"/>
              <w:bottom w:type="dxa" w:w="50"/>
              <w:right w:type="dxa" w:w="110"/>
            </w:tcMar>
          </w:tcPr>
          <w:p>
            <w:pPr>
              <w:spacing w:before="46" w:after="46"/>
            </w:pPr>
            <w:r>
              <w:rPr>
                <w:b/>
                <w:bCs/>
                <w:color w:val="8186EF"/>
                <w:sz w:val="14"/>
                <w:szCs w:val="14"/>
              </w:rPr>
              <w:t xml:space="preserve">(38)</w:t>
            </w:r>
          </w:p>
        </w:tc>
      </w:tr>
      <w:tr>
        <w:tc>
          <w:tcPr>
            <w:tcW w:type="pct" w:w="450"/>
            <w:tcMar>
              <w:top w:type="dxa" w:w="50"/>
              <w:left w:type="dxa" w:w="110"/>
              <w:bottom w:type="dxa" w:w="50"/>
              <w:right w:type="dxa" w:w="110"/>
            </w:tcMar>
          </w:tcPr>
          <w:p>
            <w:pPr>
              <w:spacing w:before="28" w:after="28"/>
            </w:pPr>
            <w:r>
              <w:rPr>
                <w:sz w:val="15"/>
                <w:szCs w:val="15"/>
              </w:rPr>
              <w:t xml:space="preserve">C</w:t>
            </w:r>
          </w:p>
        </w:tc>
        <w:tc>
          <w:tcPr>
            <w:tcW w:type="pct" w:w="1106"/>
            <w:tcMar>
              <w:top w:type="dxa" w:w="50"/>
              <w:left w:type="dxa" w:w="110"/>
              <w:bottom w:type="dxa" w:w="50"/>
              <w:right w:type="dxa" w:w="110"/>
            </w:tcMar>
          </w:tcPr>
          <w:p>
            <w:pPr>
              <w:spacing w:before="28" w:after="28"/>
            </w:pPr>
            <w:r>
              <w:rPr>
                <w:sz w:val="15"/>
                <w:szCs w:val="15"/>
              </w:rPr>
              <w:t xml:space="preserve">Corporate bond</w:t>
            </w:r>
          </w:p>
        </w:tc>
        <w:tc>
          <w:tcPr>
            <w:tcW w:type="pct" w:w="26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844"/>
            <w:shd w:fill="FFFFFF" w:val="clear"/>
            <w:tcMar>
              <w:top w:type="dxa" w:w="50"/>
              <w:left w:type="dxa" w:w="110"/>
              <w:bottom w:type="dxa" w:w="50"/>
              <w:right w:type="dxa" w:w="110"/>
            </w:tcMar>
          </w:tcPr>
          <w:p>
            <w:pPr>
              <w:spacing w:before="46" w:after="46"/>
            </w:pPr>
            <w:r>
              <w:rPr>
                <w:b/>
                <w:bCs/>
                <w:color w:val="8186EF"/>
                <w:sz w:val="14"/>
                <w:szCs w:val="14"/>
              </w:rPr>
              <w:t xml:space="preserve">(39)</w:t>
            </w:r>
          </w:p>
        </w:tc>
      </w:tr>
      <w:tr>
        <w:tc>
          <w:tcPr>
            <w:tcW w:type="pct" w:w="450"/>
            <w:shd w:fill="FBFAF6" w:val="clear"/>
            <w:tcMar>
              <w:top w:type="dxa" w:w="50"/>
              <w:left w:type="dxa" w:w="110"/>
              <w:bottom w:type="dxa" w:w="50"/>
              <w:right w:type="dxa" w:w="110"/>
            </w:tcMar>
          </w:tcPr>
          <w:p>
            <w:pPr>
              <w:spacing w:before="28" w:after="28"/>
            </w:pPr>
            <w:r>
              <w:rPr>
                <w:sz w:val="15"/>
                <w:szCs w:val="15"/>
              </w:rPr>
              <w:t xml:space="preserve">D</w:t>
            </w:r>
          </w:p>
        </w:tc>
        <w:tc>
          <w:tcPr>
            <w:tcW w:type="pct" w:w="1106"/>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26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844"/>
            <w:shd w:fill="FBFAF6" w:val="clear"/>
            <w:tcMar>
              <w:top w:type="dxa" w:w="50"/>
              <w:left w:type="dxa" w:w="110"/>
              <w:bottom w:type="dxa" w:w="50"/>
              <w:right w:type="dxa" w:w="110"/>
            </w:tcMar>
          </w:tcPr>
          <w:p>
            <w:pPr>
              <w:spacing w:before="28" w:after="28"/>
            </w:pPr>
            <w:r>
              <w:rPr>
                <w:sz w:val="15"/>
                <w:szCs w:val="15"/>
              </w:rPr>
              <w:t xml:space="preserve">cost 25,000; fair value 27,000</w:t>
            </w:r>
          </w:p>
        </w:tc>
      </w:tr>
      <w:tr>
        <w:tc>
          <w:tcPr>
            <w:tcW w:type="pct" w:w="450"/>
            <w:tcMar>
              <w:top w:type="dxa" w:w="50"/>
              <w:left w:type="dxa" w:w="110"/>
              <w:bottom w:type="dxa" w:w="50"/>
              <w:right w:type="dxa" w:w="110"/>
            </w:tcMar>
          </w:tcPr>
          <w:p>
            <w:pPr>
              <w:spacing w:before="28" w:after="28"/>
            </w:pPr>
            <w:r>
              <w:rPr>
                <w:sz w:val="15"/>
                <w:szCs w:val="15"/>
              </w:rPr>
              <w:t xml:space="preserve">E</w:t>
            </w:r>
          </w:p>
        </w:tc>
        <w:tc>
          <w:tcPr>
            <w:tcW w:type="pct" w:w="1106"/>
            <w:tcMar>
              <w:top w:type="dxa" w:w="50"/>
              <w:left w:type="dxa" w:w="110"/>
              <w:bottom w:type="dxa" w:w="50"/>
              <w:right w:type="dxa" w:w="110"/>
            </w:tcMar>
          </w:tcPr>
          <w:p>
            <w:pPr>
              <w:spacing w:before="28" w:after="28"/>
            </w:pPr>
            <w:r>
              <w:rPr>
                <w:sz w:val="15"/>
                <w:szCs w:val="15"/>
              </w:rPr>
              <w:t xml:space="preserve">Shares of Amman Cold Storage Co. (25%)</w:t>
            </w:r>
          </w:p>
        </w:tc>
        <w:tc>
          <w:tcPr>
            <w:tcW w:type="pct" w:w="26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844"/>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Listed shares (5% of the company)   ·   cost 30,000; fair value 28,500   ·   cost 40,000; fair value 42,000   ·   Shares of Amman Cold Storage Co. (25%)   ·   cost 60,000; fair value 57,000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30% × 100,000 = 30,000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A</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w:t>
            </w:r>
          </w:p>
        </w:tc>
        <w:tc>
          <w:tcPr>
            <w:tcW w:type="pct" w:w="2600"/>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400"/>
            <w:tcMar>
              <w:top w:type="dxa" w:w="50"/>
              <w:left w:type="dxa" w:w="110"/>
              <w:bottom w:type="dxa" w:w="50"/>
              <w:right w:type="dxa" w:w="110"/>
            </w:tcMar>
          </w:tcPr>
          <w:p>
            <w:pPr>
              <w:spacing w:before="28" w:after="28"/>
            </w:pPr>
            <w:r>
              <w:rPr>
                <w:sz w:val="15"/>
                <w:szCs w:val="15"/>
              </w:rPr>
              <w:t xml:space="preserve">C</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w:t>
            </w:r>
          </w:p>
        </w:tc>
        <w:tc>
          <w:tcPr>
            <w:tcW w:type="pct" w:w="2600"/>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400"/>
            <w:tcMar>
              <w:top w:type="dxa" w:w="50"/>
              <w:left w:type="dxa" w:w="110"/>
              <w:bottom w:type="dxa" w:w="50"/>
              <w:right w:type="dxa" w:w="110"/>
            </w:tcMar>
          </w:tcPr>
          <w:p>
            <w:pPr>
              <w:spacing w:before="28" w:after="28"/>
            </w:pPr>
            <w:r>
              <w:rPr>
                <w:sz w:val="15"/>
                <w:szCs w:val="15"/>
              </w:rPr>
              <w:t xml:space="preserve">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Held-to-maturity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investee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outsiders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through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cost 40,000; fair value 42,000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cost 60,000; fair value 57,000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cost 30,000; fair value 28,500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Listed shares (5% of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measurement alternative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Losses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 Influence is presumed when the investor holds 20% to 50% of the voting stock, but the evidence decides: a board seat, participation in policy decisions or large transactions between the companies can show influence even below 20%.</w:t>
      </w:r>
    </w:p>
    <w:p>
      <w:pPr>
        <w:spacing w:before="20" w:after="20"/>
        <w:ind w:left="240" w:hanging="240"/>
      </w:pPr>
      <w:r>
        <w:rPr>
          <w:b/>
          <w:bCs/>
          <w:color w:val="353A7C"/>
          <w:sz w:val="15"/>
          <w:szCs w:val="15"/>
        </w:rPr>
        <w:t xml:space="preserve">Summary 2   </w:t>
      </w:r>
      <w:r>
        <w:rPr>
          <w:color w:val="6B7280"/>
          <w:sz w:val="15"/>
          <w:szCs w:val="15"/>
        </w:rPr>
        <w:t xml:space="preserve">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Take only the investor's share of the investee's income. Depreciate the part of the basis difference assigned to assets; do not amortize the goodwill.</w:t>
      </w:r>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d9448a94a94932da46d18e13a5bad8268512901.png" Type="http://schemas.openxmlformats.org/officeDocument/2006/relationships/image"/><Relationship Id="rId102" Target="media/ce1392cb18a1686e21761c518dc6fee8974973ba.png" Type="http://schemas.openxmlformats.org/officeDocument/2006/relationships/image"/><Relationship Id="rId103" Target="media/ca821dc7724e8d7a963392327aebeb84ce07a2ae.png" Type="http://schemas.openxmlformats.org/officeDocument/2006/relationships/image"/><Relationship Id="rId104" Target="media/374e9d923d2e907e8e898ce5e8ca5afb17d0900d.png" Type="http://schemas.openxmlformats.org/officeDocument/2006/relationships/image"/><Relationship Id="rId105" Target="media/2e21b92d5cc87044950a792f74dd2603ffe875f4.png" Type="http://schemas.openxmlformats.org/officeDocument/2006/relationships/image"/><Relationship Id="rId106" Target="media/5ec51f54f52404664c415df54d39f84728042df6.png" Type="http://schemas.openxmlformats.org/officeDocument/2006/relationships/image"/><Relationship Id="rId107" Target="media/a0c1b74f962fdc917b3030607887c6a217a9356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9</dc:title>
  <dc:subject>Summary handouts</dc:subject>
  <cp:category>Student Book</cp:category>
</cp:coreProperties>
</file>