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units-of-production method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construction.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relative   ·   equipment   ·   demolition   ·   maintenance   ·   several   ·   construction   ·   increases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14–16</w:t>
      </w:r>
    </w:p>
    <w:p>
      <w:pPr>
        <w:spacing w:before="20" w:after="20" w:line="360" w:lineRule="auto"/>
        <w:ind w:left="200"/>
      </w:pPr>
      <w:r>
        <w:rPr>
          <w:sz w:val="19"/>
          <w:szCs w:val="19"/>
        </w:rPr>
        <w:t xml:space="preserve">Actual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capitalized.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qualifying   ·   Capitalization   ·   revenue expenditure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substance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capital expenditure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Depreciation spreads the depreciable base, cost minus salvage value, over the useful life in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method: twice the straight-line rate, applied to the beginning book value. </w:t>
      </w:r>
      <w:r>
        <w:rPr>
          <w:sz w:val="19"/>
          <w:szCs w:val="19"/>
        </w:rPr>
        <w:t xml:space="preserve">Salvage is ignored in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Units-of-production   ·   Sum-of-the-years'-digits   ·   calculation   ·   Double-declining-balance   ·   amount   ·   methods   ·   useful life   ·   systematic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8–13</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salvage value of $150,000 after 5 years, or after 21,000 machine hours.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21,000 hours = $50 an hour; year 1 = 5,000 hours × $50 = $250,000.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expects   ·   useful life   ·   Straight-line   ·   depreciable   ·   Double-declining   ·   Sum-of-the-years'-digits   ·   production</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6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61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amount in early years   ·   commercial substance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15–25</w:t>
      </w:r>
    </w:p>
    <w:p>
      <w:pPr>
        <w:spacing w:before="20" w:after="20" w:line="360" w:lineRule="auto"/>
        <w:ind w:left="200"/>
      </w:pPr>
      <w:r>
        <w:rPr>
          <w:sz w:val="19"/>
          <w:szCs w:val="19"/>
        </w:rPr>
        <w:t xml:space="preserve">A new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   ·   expensing   ·   Suppose   ·   salvage value   ·   restate   ·   accounting   ·   preferable   ·   useful   ·   composite   ·   straight-line   ·   capitalized   ·   remaining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26–31</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IAS 16 requires component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each significant part of an asset is depreciated separately. </w:t>
      </w:r>
      <w:r>
        <w:rPr>
          <w:sz w:val="19"/>
          <w:szCs w:val="19"/>
        </w:rPr>
        <w:t xml:space="preserve">U.S. GAAP allows this but does not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w:t>
      </w:r>
      <w:r>
        <w:rPr>
          <w:sz w:val="19"/>
          <w:szCs w:val="19"/>
        </w:rPr>
        <w:t xml:space="preserve">IAS 16 also allows the revaluation model, with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going to a revaluation surplus in OCI. </w:t>
      </w:r>
      <w:r>
        <w:rPr>
          <w:sz w:val="19"/>
          <w:szCs w:val="19"/>
        </w:rPr>
        <w:t xml:space="preserve">U.S. GAAP does not allow upward revaluation.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require   ·   prospective   ·   depreciable   ·   increases   ·   carrying amount   ·   subtract</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units-of-production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Units-of-production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composite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restate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w:t>
      </w:r>
    </w:p>
    <w:p>
      <w:pPr>
        <w:spacing w:before="20" w:after="20"/>
        <w:ind w:left="240" w:hanging="240"/>
      </w:pPr>
      <w:r>
        <w:rPr>
          <w:b/>
          <w:bCs/>
          <w:color w:val="353A7C"/>
          <w:sz w:val="15"/>
          <w:szCs w:val="15"/>
        </w:rPr>
        <w:t xml:space="preserve">Summary 3   </w:t>
      </w:r>
      <w:r>
        <w:rPr>
          <w:color w:val="6B7280"/>
          <w:sz w:val="15"/>
          <w:szCs w:val="15"/>
        </w:rPr>
        <w:t xml:space="preserve">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 IAS 16 requires component depreciation: each significant part of an asset is depreciated separately. U.S. GAAP allows this but does not require it. IAS 16 also allows the revaluation model, with increases going to a revaluation surplus in OCI. U.S. GAAP does not allow upward revaluation.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truck wears out with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driven, so units of production fits. </w:t>
      </w:r>
      <w:r>
        <w:rPr>
          <w:sz w:val="19"/>
          <w:szCs w:val="19"/>
        </w:rPr>
        <w:t xml:space="preserve">A computer server loses value quickly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changes, so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method fits. </w:t>
      </w:r>
      <w:r>
        <w:rPr>
          <w:sz w:val="19"/>
          <w:szCs w:val="19"/>
        </w:rPr>
        <w:t xml:space="preserve">An office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gives similar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each year, so straight-line fits. </w:t>
      </w:r>
      <w:r>
        <w:rPr>
          <w:sz w:val="19"/>
          <w:szCs w:val="19"/>
        </w:rPr>
        <w:t xml:space="preserve">For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line, machine hours drive the wear, so units of production gives the best matching; straight-line is simpler and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if use is fairly even. </w:t>
      </w:r>
      <w:r>
        <w:rPr>
          <w:sz w:val="19"/>
          <w:szCs w:val="19"/>
        </w:rPr>
        <w:t xml:space="preserve">Other factors can support the choice: comparability with other companies in the industry, the cost of tracking usage, and management's view of income smoothing. </w:t>
      </w:r>
      <w:r>
        <w:rPr>
          <w:sz w:val="19"/>
          <w:szCs w:val="19"/>
        </w:rPr>
        <w:t xml:space="preserve">The tax method is a separate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substance   ·   technology   ·   delivery   ·   bottling   ·   kilometres   ·   acceptable   ·   accelerated   ·   service   ·   building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In a Level C question,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asset group</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kilometres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technology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accelerated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benefits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delivery truck wears out with kilometres driven, so units of production fits. A computer server loses value quickly as technology changes, so an accelerated method fits. An office building gives similar service each year, so straight-line 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records depreciation up to the date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depreciation and compares the proceeds with the carrying amount. </w:t>
      </w:r>
      <w:r>
        <w:rPr>
          <w:sz w:val="19"/>
          <w:szCs w:val="19"/>
        </w:rPr>
        <w:t xml:space="preserve">If the proceeds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records a gain; if lower, a loss. </w:t>
      </w:r>
      <w:r>
        <w:rPr>
          <w:sz w:val="19"/>
          <w:szCs w:val="19"/>
        </w:rPr>
        <w:t xml:space="preserve">The gain or loss is part of income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higher   ·   disposal   ·   continuing   ·   involuntary conversion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4"/>
      </w:pPr>
      <w:r>
        <w:rPr>
          <w:b/>
          <w:bCs/>
          <w:color w:val="353A7C"/>
          <w:sz w:val="18"/>
          <w:szCs w:val="18"/>
        </w:rPr>
        <w:t xml:space="preserve">Summary 2</w:t>
      </w:r>
      <w:r>
        <w:rPr>
          <w:color w:val="6B7280"/>
          <w:sz w:val="16"/>
          <w:szCs w:val="16"/>
        </w:rPr>
        <w:t xml:space="preserve">      gaps 5–9</w:t>
      </w:r>
    </w:p>
    <w:p>
      <w:pPr>
        <w:spacing w:before="20" w:after="20" w:line="360" w:lineRule="auto"/>
        <w:ind w:left="200"/>
      </w:pPr>
      <w:r>
        <w:rPr>
          <w:sz w:val="19"/>
          <w:szCs w:val="19"/>
        </w:rPr>
        <w:t xml:space="preserve">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commercial substance, the new asset is recorded at fair value and the gain or loss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commercial substance   ·   expropriation   ·   recognized   ·   special   ·   assets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Record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conversion   ·   proceeds   ·   depreciation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special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involuntary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If the proceeds are higher, it records a gain; if lower, a loss.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occurs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has committed to a plan to sell it, it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immediate sale, and the sale is expected within one year. </w:t>
      </w:r>
      <w:r>
        <w:rPr>
          <w:sz w:val="19"/>
          <w:szCs w:val="19"/>
        </w:rPr>
        <w:t xml:space="preserve">It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the lower of its carrying amount and fair value less cost to sell, and it is no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depreciated. </w:t>
      </w:r>
      <w:r>
        <w:rPr>
          <w:sz w:val="19"/>
          <w:szCs w:val="19"/>
        </w:rPr>
        <w:t xml:space="preserve">If fair value less cost to sell rises later, the company records a gain, but only up to the losses it recognized before. </w:t>
      </w:r>
      <w:r>
        <w:rPr>
          <w:sz w:val="19"/>
          <w:szCs w:val="19"/>
        </w:rPr>
        <w:t xml:space="preserve">Finite-lived intangibles, such as patents, are subject to amortization over their useful lives and follow the PP&amp;E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   ·   reduced   ·   measured   ·   available   ·   impairment   ·   longer   ·   goodwill   ·   management   ·   remaining   ·   reversed   ·   assets</w:t>
            </w:r>
          </w:p>
        </w:tc>
      </w:tr>
    </w:tbl>
    <w:p/>
    <w:p>
      <w:pPr>
        <w:spacing w:before="44" w:after="14"/>
      </w:pPr>
      <w:r>
        <w:rPr>
          <w:b/>
          <w:bCs/>
          <w:color w:val="353A7C"/>
          <w:sz w:val="18"/>
          <w:szCs w:val="18"/>
        </w:rPr>
        <w:t xml:space="preserve">Summary 2</w:t>
      </w:r>
      <w:r>
        <w:rPr>
          <w:color w:val="6B7280"/>
          <w:sz w:val="16"/>
          <w:szCs w:val="16"/>
        </w:rPr>
        <w:t xml:space="preserve">      gaps 11–20</w:t>
      </w:r>
    </w:p>
    <w:p>
      <w:pPr>
        <w:spacing w:before="20" w:after="20" w:line="360" w:lineRule="auto"/>
        <w:ind w:left="200"/>
      </w:pPr>
      <w:r>
        <w:rPr>
          <w:sz w:val="19"/>
          <w:szCs w:val="19"/>
        </w:rPr>
        <w:t xml:space="preserve">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intangible asset, such as a brand with no expected end, is not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It is tested at least every year in one step: carrying amount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fair value. </w:t>
      </w:r>
      <w:r>
        <w:rPr>
          <w:sz w:val="19"/>
          <w:szCs w:val="19"/>
        </w:rPr>
        <w:t xml:space="preserve">ASU 2025-06 changes when companies start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rule, neither is tested yet. </w:t>
      </w:r>
      <w:r>
        <w:rPr>
          <w:sz w:val="19"/>
          <w:szCs w:val="19"/>
        </w:rPr>
        <w:t xml:space="preserve">IAS 36 uses one step: compare the carrying amount with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amount). </w:t>
      </w:r>
      <w:r>
        <w:rPr>
          <w:sz w:val="19"/>
          <w:szCs w:val="19"/>
        </w:rPr>
        <w:t xml:space="preserve">IFRS allows the reversal of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recoverable   ·   effective   ·   amortized   ·   government   ·   against   ·   capitalizing   ·   one-year   ·   asset group   ·   discounted   ·   indefinite-lived   ·   impairment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3</w:t>
      </w:r>
      <w:r>
        <w:rPr>
          <w:color w:val="6B7280"/>
          <w:sz w:val="16"/>
          <w:szCs w:val="16"/>
        </w:rPr>
        <w:t xml:space="preserve">      gaps 21–24</w:t>
      </w:r>
    </w:p>
    <w:p>
      <w:pPr>
        <w:spacing w:before="20" w:after="20" w:line="360" w:lineRule="auto"/>
        <w:ind w:left="200"/>
      </w:pPr>
      <w:r>
        <w:rPr>
          <w:sz w:val="19"/>
          <w:szCs w:val="19"/>
        </w:rPr>
        <w:t xml:space="preserve">Step 1 uses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earlier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indefinite-lived   ·   balance   ·   recoverability test   ·   measures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25–26</w:t>
      </w:r>
    </w:p>
    <w:p>
      <w:pPr>
        <w:spacing w:before="20" w:after="20" w:line="360" w:lineRule="auto"/>
        <w:ind w:left="200"/>
      </w:pPr>
      <w:r>
        <w:rPr>
          <w:sz w:val="19"/>
          <w:szCs w:val="19"/>
        </w:rPr>
        <w:t xml:space="preserve">Arabic texts use three words for impairment: الهبوط في القيمة (SOCPA), انخفاض القيمة (Gulf and Levant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الاضمحلال (Egypt). </w:t>
      </w:r>
      <w:r>
        <w:rPr>
          <w:sz w:val="19"/>
          <w:szCs w:val="19"/>
        </w:rPr>
        <w:t xml:space="preserve">In French, dépréciation means impairment; depreciation 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practice   ·   amortissement   ·   impairment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2095"/>
        <w:gridCol w:w="2772"/>
        <w:gridCol w:w="386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1"/>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444"/>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2015"/>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450"/>
            <w:tcMar>
              <w:top w:type="dxa" w:w="50"/>
              <w:left w:type="dxa" w:w="110"/>
              <w:bottom w:type="dxa" w:w="50"/>
              <w:right w:type="dxa" w:w="110"/>
            </w:tcMar>
          </w:tcPr>
          <w:p>
            <w:pPr>
              <w:spacing w:before="28" w:after="28"/>
            </w:pPr>
            <w:r>
              <w:rPr>
                <w:sz w:val="15"/>
                <w:szCs w:val="15"/>
              </w:rPr>
              <w:t xml:space="preserve">P</w:t>
            </w:r>
          </w:p>
        </w:tc>
        <w:tc>
          <w:tcPr>
            <w:tcW w:type="pct" w:w="1091"/>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1444"/>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2015"/>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450"/>
            <w:shd w:fill="FBFAF6" w:val="clear"/>
            <w:tcMar>
              <w:top w:type="dxa" w:w="50"/>
              <w:left w:type="dxa" w:w="110"/>
              <w:bottom w:type="dxa" w:w="50"/>
              <w:right w:type="dxa" w:w="110"/>
            </w:tcMar>
          </w:tcPr>
          <w:p>
            <w:pPr>
              <w:spacing w:before="28" w:after="28"/>
            </w:pPr>
            <w:r>
              <w:rPr>
                <w:sz w:val="15"/>
                <w:szCs w:val="15"/>
              </w:rPr>
              <w:t xml:space="preserve">W</w:t>
            </w:r>
          </w:p>
        </w:tc>
        <w:tc>
          <w:tcPr>
            <w:tcW w:type="pct" w:w="1091"/>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444"/>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015"/>
            <w:shd w:fill="FBFAF6" w:val="clear"/>
            <w:tcMar>
              <w:top w:type="dxa" w:w="50"/>
              <w:left w:type="dxa" w:w="110"/>
              <w:bottom w:type="dxa" w:w="50"/>
              <w:right w:type="dxa" w:w="110"/>
            </w:tcMar>
          </w:tcPr>
          <w:p>
            <w:pPr>
              <w:spacing w:before="28" w:after="28"/>
            </w:pPr>
            <w:r>
              <w:rPr>
                <w:sz w:val="15"/>
                <w:szCs w:val="15"/>
              </w:rPr>
              <w:t xml:space="preserve">carrying 1,000; undiscounted cash flows 1,300; fair value 900</w:t>
            </w:r>
          </w:p>
        </w:tc>
      </w:tr>
      <w:tr>
        <w:tc>
          <w:tcPr>
            <w:tcW w:type="pct" w:w="450"/>
            <w:tcMar>
              <w:top w:type="dxa" w:w="50"/>
              <w:left w:type="dxa" w:w="110"/>
              <w:bottom w:type="dxa" w:w="50"/>
              <w:right w:type="dxa" w:w="110"/>
            </w:tcMar>
          </w:tcPr>
          <w:p>
            <w:pPr>
              <w:spacing w:before="28" w:after="28"/>
            </w:pPr>
            <w:r>
              <w:rPr>
                <w:sz w:val="15"/>
                <w:szCs w:val="15"/>
              </w:rPr>
              <w:t xml:space="preserve">B</w:t>
            </w:r>
          </w:p>
        </w:tc>
        <w:tc>
          <w:tcPr>
            <w:tcW w:type="pct" w:w="1091"/>
            <w:tcMar>
              <w:top w:type="dxa" w:w="50"/>
              <w:left w:type="dxa" w:w="110"/>
              <w:bottom w:type="dxa" w:w="50"/>
              <w:right w:type="dxa" w:w="110"/>
            </w:tcMar>
          </w:tcPr>
          <w:p>
            <w:pPr>
              <w:spacing w:before="28" w:after="28"/>
            </w:pPr>
            <w:r>
              <w:rPr>
                <w:sz w:val="15"/>
                <w:szCs w:val="15"/>
              </w:rPr>
              <w:t xml:space="preserve">Brand 'Orontes Gold' (indefinite life)</w:t>
            </w:r>
          </w:p>
        </w:tc>
        <w:tc>
          <w:tcPr>
            <w:tcW w:type="pct" w:w="1444"/>
            <w:tcMar>
              <w:top w:type="dxa" w:w="50"/>
              <w:left w:type="dxa" w:w="110"/>
              <w:bottom w:type="dxa" w:w="50"/>
              <w:right w:type="dxa" w:w="110"/>
            </w:tcMar>
          </w:tcPr>
          <w:p>
            <w:pPr>
              <w:spacing w:before="28" w:after="28"/>
            </w:pPr>
            <w:r>
              <w:rPr>
                <w:sz w:val="15"/>
                <w:szCs w:val="15"/>
              </w:rPr>
              <w:t xml:space="preserve">Annual test.</w:t>
            </w:r>
          </w:p>
        </w:tc>
        <w:tc>
          <w:tcPr>
            <w:tcW w:type="pct" w:w="2015"/>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450"/>
            <w:shd w:fill="FBFAF6" w:val="clear"/>
            <w:tcMar>
              <w:top w:type="dxa" w:w="50"/>
              <w:left w:type="dxa" w:w="110"/>
              <w:bottom w:type="dxa" w:w="50"/>
              <w:right w:type="dxa" w:w="110"/>
            </w:tcMar>
          </w:tcPr>
          <w:p>
            <w:pPr>
              <w:spacing w:before="28" w:after="28"/>
            </w:pPr>
            <w:r>
              <w:rPr>
                <w:sz w:val="15"/>
                <w:szCs w:val="15"/>
              </w:rPr>
              <w:t xml:space="preserve">G</w:t>
            </w:r>
          </w:p>
        </w:tc>
        <w:tc>
          <w:tcPr>
            <w:tcW w:type="pct" w:w="1091"/>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444"/>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015"/>
            <w:shd w:fill="FBFAF6" w:val="clear"/>
            <w:tcMar>
              <w:top w:type="dxa" w:w="50"/>
              <w:left w:type="dxa" w:w="110"/>
              <w:bottom w:type="dxa" w:w="50"/>
              <w:right w:type="dxa" w:w="110"/>
            </w:tcMar>
          </w:tcPr>
          <w:p>
            <w:pPr>
              <w:spacing w:before="28" w:after="28"/>
            </w:pPr>
            <w:r>
              <w:rPr>
                <w:sz w:val="15"/>
                <w:szCs w:val="15"/>
              </w:rPr>
              <w:t xml:space="preserve">carrying 2,000; goodwill included 150; fair value 1,700</w:t>
            </w:r>
          </w:p>
        </w:tc>
      </w:tr>
      <w:tr>
        <w:tc>
          <w:tcPr>
            <w:tcW w:type="pct" w:w="450"/>
            <w:tcMar>
              <w:top w:type="dxa" w:w="50"/>
              <w:left w:type="dxa" w:w="110"/>
              <w:bottom w:type="dxa" w:w="50"/>
              <w:right w:type="dxa" w:w="110"/>
            </w:tcMar>
          </w:tcPr>
          <w:p>
            <w:pPr>
              <w:spacing w:before="28" w:after="28"/>
            </w:pPr>
            <w:r>
              <w:rPr>
                <w:sz w:val="15"/>
                <w:szCs w:val="15"/>
              </w:rPr>
              <w:t xml:space="preserve">V</w:t>
            </w:r>
          </w:p>
        </w:tc>
        <w:tc>
          <w:tcPr>
            <w:tcW w:type="pct" w:w="1091"/>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1444"/>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2015"/>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Local property prices fell.   ·   Unit carrying amount includes the goodwill.   ·   Annual test.   ·   Pastry line, Dubai   ·   carrying 300; fair value 260   ·   Delivery van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061"/>
            <w:tcMar>
              <w:top w:type="dxa" w:w="50"/>
              <w:left w:type="dxa" w:w="110"/>
              <w:bottom w:type="dxa" w:w="50"/>
              <w:right w:type="dxa" w:w="110"/>
            </w:tcMar>
          </w:tcPr>
          <w:p>
            <w:pPr>
              <w:spacing w:before="26" w:after="26"/>
            </w:pPr>
            <w:r>
              <w:rPr>
                <w:color w:val="232733"/>
                <w:sz w:val="16"/>
                <w:szCs w:val="16"/>
              </w:rPr>
              <w:t xml:space="preserve">Year 2</w:t>
            </w:r>
          </w:p>
        </w:tc>
        <w:tc>
          <w:tcPr>
            <w:tcW w:type="pct" w:w="2939"/>
            <w:tcMar>
              <w:top w:type="dxa" w:w="50"/>
              <w:left w:type="dxa" w:w="110"/>
              <w:bottom w:type="dxa" w:w="50"/>
              <w:right w:type="dxa" w:w="110"/>
            </w:tcMar>
          </w:tcPr>
          <w:p>
            <w:pPr>
              <w:spacing w:before="26" w:after="26"/>
            </w:pPr>
            <w:r>
              <w:rPr>
                <w:color w:val="232733"/>
                <w:sz w:val="16"/>
                <w:szCs w:val="16"/>
              </w:rPr>
              <w:t xml:space="preserve">50% × 45,000 = 22,500; ending book value 22,500</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Year 3</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50% × 22,500 = 11,250; ending book value 11,250</w:t>
            </w:r>
          </w:p>
        </w:tc>
      </w:tr>
      <w:tr>
        <w:tc>
          <w:tcPr>
            <w:tcW w:type="pct" w:w="2061"/>
            <w:tcMar>
              <w:top w:type="dxa" w:w="50"/>
              <w:left w:type="dxa" w:w="110"/>
              <w:bottom w:type="dxa" w:w="50"/>
              <w:right w:type="dxa" w:w="110"/>
            </w:tcMar>
          </w:tcPr>
          <w:p>
            <w:pPr>
              <w:spacing w:before="26" w:after="26"/>
            </w:pPr>
            <w:r>
              <w:rPr>
                <w:color w:val="232733"/>
                <w:sz w:val="16"/>
                <w:szCs w:val="16"/>
              </w:rPr>
              <w:t xml:space="preserve">Year 4</w:t>
            </w:r>
          </w:p>
        </w:tc>
        <w:tc>
          <w:tcPr>
            <w:tcW w:type="pct" w:w="2939"/>
            <w:tcMar>
              <w:top w:type="dxa" w:w="50"/>
              <w:left w:type="dxa" w:w="110"/>
              <w:bottom w:type="dxa" w:w="50"/>
              <w:right w:type="dxa" w:w="110"/>
            </w:tcMar>
          </w:tcPr>
          <w:p>
            <w:pPr>
              <w:spacing w:before="26" w:after="26"/>
            </w:pPr>
            <w:r>
              <w:rPr>
                <w:color w:val="232733"/>
                <w:sz w:val="16"/>
                <w:szCs w:val="16"/>
              </w:rPr>
              <w:t xml:space="preserve">The rate would give more than is left above salvage, so depreciation is 11,250 − 10,000 = 1,250; ending book value 10,000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061"/>
            <w:tcMar>
              <w:top w:type="dxa" w:w="50"/>
              <w:left w:type="dxa" w:w="110"/>
              <w:bottom w:type="dxa" w:w="50"/>
              <w:right w:type="dxa" w:w="110"/>
            </w:tcMar>
          </w:tcPr>
          <w:p>
            <w:pPr>
              <w:spacing w:before="26" w:after="26"/>
            </w:pPr>
            <w:r>
              <w:rPr>
                <w:b/>
                <w:bCs/>
                <w:color w:val="353A7C"/>
                <w:sz w:val="15"/>
                <w:szCs w:val="15"/>
              </w:rPr>
              <w:t xml:space="preserve">Asset</w:t>
            </w:r>
          </w:p>
        </w:tc>
        <w:tc>
          <w:tcPr>
            <w:tcW w:type="pct" w:w="2939"/>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061"/>
            <w:tcMar>
              <w:top w:type="dxa" w:w="50"/>
              <w:left w:type="dxa" w:w="110"/>
              <w:bottom w:type="dxa" w:w="50"/>
              <w:right w:type="dxa" w:w="110"/>
            </w:tcMar>
          </w:tcPr>
          <w:p>
            <w:pPr>
              <w:spacing w:before="26" w:after="26"/>
            </w:pPr>
            <w:r>
              <w:rPr>
                <w:color w:val="232733"/>
                <w:sz w:val="16"/>
                <w:szCs w:val="16"/>
              </w:rPr>
              <w:t xml:space="preserve">P</w:t>
            </w:r>
          </w:p>
        </w:tc>
        <w:tc>
          <w:tcPr>
            <w:tcW w:type="pct" w:w="2939"/>
            <w:tcMar>
              <w:top w:type="dxa" w:w="50"/>
              <w:left w:type="dxa" w:w="110"/>
              <w:bottom w:type="dxa" w:w="50"/>
              <w:right w:type="dxa" w:w="110"/>
            </w:tcMar>
          </w:tcPr>
          <w:p>
            <w:pPr>
              <w:spacing w:before="26" w:after="26"/>
            </w:pPr>
            <w:r>
              <w:rPr>
                <w:color w:val="232733"/>
                <w:sz w:val="16"/>
                <w:szCs w:val="16"/>
              </w:rPr>
              <w:t xml:space="preserve">Two steps: recoverability, then fair value</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W</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Two steps: recoverability, then fair value</w:t>
            </w:r>
          </w:p>
        </w:tc>
      </w:tr>
      <w:tr>
        <w:tc>
          <w:tcPr>
            <w:tcW w:type="pct" w:w="2061"/>
            <w:tcMar>
              <w:top w:type="dxa" w:w="50"/>
              <w:left w:type="dxa" w:w="110"/>
              <w:bottom w:type="dxa" w:w="50"/>
              <w:right w:type="dxa" w:w="110"/>
            </w:tcMar>
          </w:tcPr>
          <w:p>
            <w:pPr>
              <w:spacing w:before="26" w:after="26"/>
            </w:pPr>
            <w:r>
              <w:rPr>
                <w:color w:val="232733"/>
                <w:sz w:val="16"/>
                <w:szCs w:val="16"/>
              </w:rPr>
              <w:t xml:space="preserve">B</w:t>
            </w:r>
          </w:p>
        </w:tc>
        <w:tc>
          <w:tcPr>
            <w:tcW w:type="pct" w:w="2939"/>
            <w:tcMar>
              <w:top w:type="dxa" w:w="50"/>
              <w:left w:type="dxa" w:w="110"/>
              <w:bottom w:type="dxa" w:w="50"/>
              <w:right w:type="dxa" w:w="110"/>
            </w:tcMar>
          </w:tcPr>
          <w:p>
            <w:pPr>
              <w:spacing w:before="26" w:after="26"/>
            </w:pPr>
            <w:r>
              <w:rPr>
                <w:color w:val="232733"/>
                <w:sz w:val="16"/>
                <w:szCs w:val="16"/>
              </w:rPr>
              <w:t xml:space="preserve">One step: carrying amount vs fair value</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G</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Single-step goodwill test</w:t>
            </w:r>
          </w:p>
        </w:tc>
      </w:tr>
      <w:tr>
        <w:tc>
          <w:tcPr>
            <w:tcW w:type="pct" w:w="2061"/>
            <w:tcMar>
              <w:top w:type="dxa" w:w="50"/>
              <w:left w:type="dxa" w:w="110"/>
              <w:bottom w:type="dxa" w:w="50"/>
              <w:right w:type="dxa" w:w="110"/>
            </w:tcMar>
          </w:tcPr>
          <w:p>
            <w:pPr>
              <w:spacing w:before="26" w:after="26"/>
            </w:pPr>
            <w:r>
              <w:rPr>
                <w:color w:val="232733"/>
                <w:sz w:val="16"/>
                <w:szCs w:val="16"/>
              </w:rPr>
              <w:t xml:space="preserve">V</w:t>
            </w:r>
          </w:p>
        </w:tc>
        <w:tc>
          <w:tcPr>
            <w:tcW w:type="pct" w:w="2939"/>
            <w:tcMar>
              <w:top w:type="dxa" w:w="50"/>
              <w:left w:type="dxa" w:w="110"/>
              <w:bottom w:type="dxa" w:w="50"/>
              <w:right w:type="dxa" w:w="110"/>
            </w:tcMar>
          </w:tcPr>
          <w:p>
            <w:pPr>
              <w:spacing w:before="26" w:after="26"/>
            </w:pPr>
            <w:r>
              <w:rPr>
                <w:color w:val="232733"/>
                <w:sz w:val="16"/>
                <w:szCs w:val="16"/>
              </w:rPr>
              <w:t xml:space="preserve">Lower of carrying amount and fair value less cost to sell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unit   ·   impairment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amortissement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longer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indefinite-lived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Local property prices fell.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carrying 300; fair value 260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Unit carrying amount includes the 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capitalizing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reporting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one-year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 If fair value less cost to sell rises later, the company records a gain, but only up to the losses it recognized before. Finite-lived intangibles, such as patents, are subject to amortization over their useful lives and follow the PP&amp;E test.</w:t>
      </w:r>
    </w:p>
    <w:p>
      <w:pPr>
        <w:spacing w:before="20" w:after="20"/>
        <w:ind w:left="240" w:hanging="240"/>
      </w:pPr>
      <w:r>
        <w:rPr>
          <w:b/>
          <w:bCs/>
          <w:color w:val="353A7C"/>
          <w:sz w:val="15"/>
          <w:szCs w:val="15"/>
        </w:rPr>
        <w:t xml:space="preserve">Summary 2   </w:t>
      </w:r>
      <w:r>
        <w:rPr>
          <w:color w:val="6B7280"/>
          <w:sz w:val="15"/>
          <w:szCs w:val="15"/>
        </w:rPr>
        <w:t xml:space="preserve">An indefinite-lived intangible asset, such as a brand with no expected end, is not amortized. It is tested at least every year in one step: carrying amount against fair value.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3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pacing w:before="20" w:after="20"/>
        <w:ind w:left="240" w:hanging="240"/>
      </w:pPr>
      <w:r>
        <w:rPr>
          <w:b/>
          <w:bCs/>
          <w:color w:val="353A7C"/>
          <w:sz w:val="15"/>
          <w:szCs w:val="15"/>
        </w:rPr>
        <w:t xml:space="preserve">Summary 4   </w:t>
      </w:r>
      <w:r>
        <w:rPr>
          <w:color w:val="6B7280"/>
          <w:sz w:val="15"/>
          <w:szCs w:val="15"/>
        </w:rPr>
        <w:t xml:space="preserve">Arabic texts use three words for impairment: الهبوط في القيمة (SOCPA), انخفاض القيمة (Gulf and Levant practice) and الاضمحلال (Egypt). In French, dépréciation means impairment; depreciation is amortissement.</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e5ccee9198bd8fea1b64be4cd22f35127820495.png" Type="http://schemas.openxmlformats.org/officeDocument/2006/relationships/image"/><Relationship Id="rId102" Target="media/a7a9a6942ef379b0e7593efc6f057a4150e4dd95.png" Type="http://schemas.openxmlformats.org/officeDocument/2006/relationships/image"/><Relationship Id="rId103" Target="media/11b37e28fcf03aa717b94cff63b56ee89866c427.png" Type="http://schemas.openxmlformats.org/officeDocument/2006/relationships/image"/><Relationship Id="rId104" Target="media/bf2f6c504060436b5818161b147ec3ec4a82fe1f.png" Type="http://schemas.openxmlformats.org/officeDocument/2006/relationships/image"/><Relationship Id="rId105" Target="media/eaa228771ba620023696c60970094a604025e42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10</dc:title>
  <dc:subject>Summary handouts</dc:subject>
  <cp:category>Student Book</cp:category>
</cp:coreProperties>
</file>