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What makes a liability current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742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debt expected to be refinanced   ·   warranty liability   ·   What makes a liability current</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Current liabilities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a company expects to settle by using current assets or by creating other current liabilities, normally within one year. </w:t>
      </w:r>
      <w:r>
        <w:rPr>
          <w:sz w:val="19"/>
          <w:szCs w:val="19"/>
        </w:rPr>
        <w:t xml:space="preserve">They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the amount to be paid. </w:t>
      </w:r>
      <w:r>
        <w:rPr>
          <w:sz w:val="19"/>
          <w:szCs w:val="19"/>
        </w:rPr>
        <w:t xml:space="preserve">Because the time is short, they are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present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obligations   ·   discounted   ·   current liabilities   ·   measured</w:t>
            </w:r>
          </w:p>
        </w:tc>
      </w:tr>
    </w:tbl>
    <w:p/>
    <w:p>
      <w:pPr>
        <w:spacing w:before="44" w:after="10"/>
      </w:pPr>
      <w:r>
        <w:rPr>
          <w:b/>
          <w:bCs/>
          <w:color w:val="353A7C"/>
          <w:sz w:val="18"/>
          <w:szCs w:val="18"/>
        </w:rPr>
        <w:t xml:space="preserve">Orontes's current liabilities at December 31, 2025</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payable   ·   payroll taxes   ·   Income taxes payable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Customer deposits are contract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as Chapter 11 showed: they become revenue when Orontes delivers. </w:t>
      </w:r>
      <w:r>
        <w:rPr>
          <w:sz w:val="19"/>
          <w:szCs w:val="19"/>
        </w:rPr>
        <w:t xml:space="preserve">Cash dividends become a liability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date. </w:t>
      </w:r>
      <w:r>
        <w:rPr>
          <w:sz w:val="19"/>
          <w:szCs w:val="19"/>
        </w:rPr>
        <w:t xml:space="preserve">A stock dividend distributable is not a liability, because no assets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declaration   ·   sales tax payable</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What makes a liability current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makes a liability current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Short-term debt expected to be refinanced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declaration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w:t>
      </w:r>
    </w:p>
    <w:p>
      <w:pPr>
        <w:spacing w:before="20" w:after="20"/>
        <w:ind w:left="240" w:hanging="240"/>
      </w:pPr>
      <w:r>
        <w:rPr>
          <w:b/>
          <w:bCs/>
          <w:color w:val="353A7C"/>
          <w:sz w:val="15"/>
          <w:szCs w:val="15"/>
        </w:rPr>
        <w:t xml:space="preserve">Summary 2   </w:t>
      </w:r>
      <w:r>
        <w:rPr>
          <w:color w:val="6B7280"/>
          <w:sz w:val="15"/>
          <w:szCs w:val="15"/>
        </w:rPr>
        <w:t xml:space="preserve">Customer deposits are contract liabilities, as Chapter 11 showed: they become revenue when Orontes delivers. Cash dividends become a liability on the declaration date. A stock dividend distributable is not a liability, because no assets will be paid.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Payroll, taxes collected and compensated absences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Payroll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several liabilities. </w:t>
      </w:r>
      <w:r>
        <w:rPr>
          <w:sz w:val="19"/>
          <w:szCs w:val="19"/>
        </w:rPr>
        <w:t xml:space="preserve">The employer deducts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income tax and the employees' share of social security, from gross wages. </w:t>
      </w:r>
      <w:r>
        <w:rPr>
          <w:sz w:val="19"/>
          <w:szCs w:val="19"/>
        </w:rPr>
        <w:t xml:space="preserve">These amounts belong to the government, so they are liabilities, not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own payroll taxes, such as its share of social security, are an additional expense.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Barada's gross wages for a month are $40,000. </w:t>
      </w:r>
      <w:r>
        <w:rPr>
          <w:sz w:val="19"/>
          <w:szCs w:val="19"/>
        </w:rPr>
        <w:t xml:space="preserve">It withholds $4,000 of income tax and $2,800 of social security, so employees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$33,200. </w:t>
      </w:r>
      <w:r>
        <w:rPr>
          <w:sz w:val="19"/>
          <w:szCs w:val="19"/>
        </w:rPr>
        <w:t xml:space="preserve">Barada's total payroll cost is the gross wages plus its own social security. </w:t>
      </w:r>
      <w:r>
        <w:rPr>
          <w:sz w:val="19"/>
          <w:szCs w:val="19"/>
        </w:rPr>
        <w:t xml:space="preserve">Sales tax and VAT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from customers are also owed to the government. </w:t>
      </w:r>
      <w:r>
        <w:rPr>
          <w:sz w:val="19"/>
          <w:szCs w:val="19"/>
        </w:rPr>
        <w:t xml:space="preserve">They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sales tax payable, not as revenue.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absences, such as earned vacation, are accrued when employees have already worked for them, the rights vest or accumulate, and payment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collected   ·   receive   ·   expenses   ·   creates   ·   payroll taxes   ·   Suppose   ·   recorded   ·   Compensated   ·   employer's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payroll and sales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Barada's payroll and sales tax for one month (complete the blanks)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Barada, one month in 2027</w:t>
            </w:r>
          </w:p>
        </w:tc>
        <w:tc>
          <w:tcPr>
            <w:tcW w:type="pct" w:w="2400"/>
            <w:tcMar>
              <w:top w:type="dxa" w:w="50"/>
              <w:left w:type="dxa" w:w="110"/>
              <w:bottom w:type="dxa" w:w="50"/>
              <w:right w:type="dxa" w:w="110"/>
            </w:tcMar>
          </w:tcPr>
          <w:p>
            <w:pPr>
              <w:spacing w:before="26" w:after="26"/>
            </w:pPr>
            <w:r>
              <w:rPr>
                <w:b/>
                <w:bCs/>
                <w:color w:val="353A7C"/>
                <w:sz w:val="15"/>
                <w:szCs w:val="15"/>
              </w:rPr>
              <w:t xml:space="preserve">Whole USD</w:t>
            </w:r>
          </w:p>
        </w:tc>
      </w:tr>
      <w:tr>
        <w:tc>
          <w:tcPr>
            <w:tcW w:type="pct" w:w="2600"/>
            <w:tcMar>
              <w:top w:type="dxa" w:w="50"/>
              <w:left w:type="dxa" w:w="110"/>
              <w:bottom w:type="dxa" w:w="50"/>
              <w:right w:type="dxa" w:w="110"/>
            </w:tcMar>
          </w:tcPr>
          <w:p>
            <w:pPr>
              <w:spacing w:before="26" w:after="26"/>
            </w:pPr>
            <w:r>
              <w:rPr>
                <w:color w:val="232733"/>
                <w:sz w:val="16"/>
                <w:szCs w:val="16"/>
              </w:rPr>
              <w:t xml:space="preserve">Gross wages for the month</w:t>
            </w:r>
          </w:p>
        </w:tc>
        <w:tc>
          <w:tcPr>
            <w:tcW w:type="pct" w:w="2400"/>
            <w:tcMar>
              <w:top w:type="dxa" w:w="50"/>
              <w:left w:type="dxa" w:w="110"/>
              <w:bottom w:type="dxa" w:w="50"/>
              <w:right w:type="dxa" w:w="110"/>
            </w:tcMar>
          </w:tcPr>
          <w:p>
            <w:pPr>
              <w:spacing w:before="26" w:after="26"/>
            </w:pPr>
            <w:r>
              <w:rPr>
                <w:color w:val="232733"/>
                <w:sz w:val="16"/>
                <w:szCs w:val="16"/>
              </w:rPr>
              <w:t xml:space="preserve">40,000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withheld from employees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4,000</w:t>
            </w:r>
          </w:p>
        </w:tc>
      </w:tr>
      <w:tr>
        <w:tc>
          <w:tcPr>
            <w:tcW w:type="pct" w:w="2600"/>
            <w:tcMar>
              <w:top w:type="dxa" w:w="50"/>
              <w:left w:type="dxa" w:w="110"/>
              <w:bottom w:type="dxa" w:w="50"/>
              <w:right w:type="dxa" w:w="110"/>
            </w:tcMar>
          </w:tcPr>
          <w:p>
            <w:pPr>
              <w:spacing w:before="26" w:after="26"/>
            </w:pPr>
            <w:r>
              <w:rPr>
                <w:color w:val="232733"/>
                <w:sz w:val="16"/>
                <w:szCs w:val="16"/>
              </w:rPr>
              <w:t xml:space="preserve">Employees' social security withheld (7%)</w:t>
            </w:r>
          </w:p>
        </w:tc>
        <w:tc>
          <w:tcPr>
            <w:tcW w:type="pct" w:w="2400"/>
            <w:tcMar>
              <w:top w:type="dxa" w:w="50"/>
              <w:left w:type="dxa" w:w="110"/>
              <w:bottom w:type="dxa" w:w="50"/>
              <w:right w:type="dxa" w:w="110"/>
            </w:tcMar>
          </w:tcPr>
          <w:p>
            <w:pPr>
              <w:spacing w:before="26" w:after="26"/>
            </w:pPr>
            <w:r>
              <w:rPr>
                <w:color w:val="232733"/>
                <w:sz w:val="16"/>
                <w:szCs w:val="16"/>
              </w:rPr>
              <w:t xml:space="preserve">2,800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pay to employees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33,200</w:t>
            </w:r>
          </w:p>
        </w:tc>
      </w:tr>
      <w:tr>
        <w:tc>
          <w:tcPr>
            <w:tcW w:type="pct" w:w="2600"/>
            <w:tcMar>
              <w:top w:type="dxa" w:w="50"/>
              <w:left w:type="dxa" w:w="110"/>
              <w:bottom w:type="dxa" w:w="50"/>
              <w:right w:type="dxa" w:w="110"/>
            </w:tcMar>
          </w:tcPr>
          <w:p>
            <w:pPr>
              <w:spacing w:before="26" w:after="26"/>
            </w:pPr>
            <w:r>
              <w:rPr>
                <w:color w:val="232733"/>
                <w:sz w:val="16"/>
                <w:szCs w:val="16"/>
              </w:rPr>
              <w:t xml:space="preserve">Employer's social security (payroll tax expense, 7%)</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owed to the tax authorities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Cash register total, including 5% sales tax: 21,000. Sales revenue</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current liabilities   ·   payroll taxes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payroll taxes</w:t>
            </w:r>
          </w:p>
        </w:tc>
        <w:tc>
          <w:tcPr>
            <w:tcW w:type="pct" w:w="2600"/>
            <w:tcMar>
              <w:top w:type="dxa" w:w="50"/>
              <w:left w:type="dxa" w:w="110"/>
              <w:bottom w:type="dxa" w:w="50"/>
              <w:right w:type="dxa" w:w="110"/>
            </w:tcMar>
          </w:tcPr>
          <w:p>
            <w:pPr>
              <w:spacing w:before="26" w:after="26"/>
            </w:pPr>
            <w:r>
              <w:rPr>
                <w:color w:val="232733"/>
                <w:sz w:val="16"/>
                <w:szCs w:val="16"/>
              </w:rPr>
              <w:t xml:space="preserve">ضرائب الرواتب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r>
        <w:tc>
          <w:tcPr>
            <w:tcW w:type="pct" w:w="2400"/>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600"/>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Payroll, taxes collected and compensated absences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withholding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Compensated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employer's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payroll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withholding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 Suppose Barada's gross wages for a month are $40,000. It withholds $4,000 of income tax and $2,800 of social security, so employees receive $33,200. Barada's total payroll cost is the gross wages plus its own social security. Sales tax and VAT collected from customers are also owed to the government. They are recorded as sales tax payable, not as revenue. Compensated absences, such as earned vacation, are accrued when employees have already worked for them, the rights vest or accumulate, and payment is probable.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Short-term debt expected to be refinanced</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 short-term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normally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may be shown as noncurrent only if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refinance it on a long-term basis and shows that it can. </w:t>
      </w:r>
      <w:r>
        <w:rPr>
          <w:sz w:val="19"/>
          <w:szCs w:val="19"/>
        </w:rPr>
        <w:t xml:space="preserve">The company shows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one of two ways, before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issued. </w:t>
      </w:r>
      <w:r>
        <w:rPr>
          <w:sz w:val="19"/>
          <w:szCs w:val="19"/>
        </w:rPr>
        <w:t xml:space="preserve">It can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refinance: issue long-term debt or shares after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sheet date and use the cash for the short-term debt. </w:t>
      </w:r>
      <w:r>
        <w:rPr>
          <w:sz w:val="19"/>
          <w:szCs w:val="19"/>
        </w:rPr>
        <w:t xml:space="preserve">Or it can sign a qualifying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agreement. </w:t>
      </w:r>
      <w:r>
        <w:rPr>
          <w:sz w:val="19"/>
          <w:szCs w:val="19"/>
        </w:rPr>
        <w:t xml:space="preserve">A qualifying agreement does not expire within one year, cannot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except for an objective violation, has no violation, and the lender can pay. </w:t>
      </w:r>
      <w:r>
        <w:rPr>
          <w:sz w:val="19"/>
          <w:szCs w:val="19"/>
        </w:rPr>
        <w:t xml:space="preserve">An agreement that the lender may cancel for a 'material adverse change' does not qualify, because that clause is subjective.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financing   ·   ability   ·   cancelled   ·   balance   ·   commercial paper   ·   current   ·   intends   ·   obligation   ·   actually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commercial paper</w:t>
            </w:r>
          </w:p>
        </w:tc>
      </w:tr>
    </w:tbl>
    <w:p/>
    <w:p>
      <w:pPr>
        <w:spacing w:before="44" w:after="14"/>
      </w:pPr>
      <w:r>
        <w:rPr>
          <w:b/>
          <w:bCs/>
          <w:color w:val="353A7C"/>
          <w:sz w:val="18"/>
          <w:szCs w:val="18"/>
        </w:rPr>
        <w:t xml:space="preserve">Summary 2</w:t>
      </w:r>
      <w:r>
        <w:rPr>
          <w:color w:val="6B7280"/>
          <w:sz w:val="16"/>
          <w:szCs w:val="16"/>
        </w:rPr>
        <w:t xml:space="preserve">      gaps 10–14</w:t>
      </w:r>
    </w:p>
    <w:p>
      <w:pPr>
        <w:spacing w:before="20" w:after="20" w:line="360" w:lineRule="auto"/>
        <w:ind w:left="200"/>
      </w:pPr>
      <w:r>
        <w:rPr>
          <w:sz w:val="19"/>
          <w:szCs w:val="19"/>
        </w:rPr>
        <w:t xml:space="preserve">Suppose Orontes has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paper of $3,000,000 due March 31, 2027, and intends to refinance it. </w:t>
      </w:r>
      <w:r>
        <w:rPr>
          <w:sz w:val="19"/>
          <w:szCs w:val="19"/>
        </w:rPr>
        <w:t xml:space="preserve">Its 2026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on March 1, 2027. </w:t>
      </w:r>
      <w:r>
        <w:rPr>
          <w:sz w:val="19"/>
          <w:szCs w:val="19"/>
        </w:rPr>
        <w:t xml:space="preserve">Scenario A. Bonds issued 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10 replace the paper: the whole $3,000,000 is noncurrent. </w:t>
      </w:r>
      <w:r>
        <w:rPr>
          <w:sz w:val="19"/>
          <w:szCs w:val="19"/>
        </w:rPr>
        <w:t xml:space="preserve">Scenario C.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issued for $2,400,000: that amount is noncurrent and $600,000 stays current. </w:t>
      </w:r>
      <w:r>
        <w:rPr>
          <w:sz w:val="19"/>
          <w:szCs w:val="19"/>
        </w:rPr>
        <w:t xml:space="preserve">Scenario D.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agreement for 80% of inventory of at least $3,125,000: $2,500,000 noncurrent, $500,000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   Shares   ·   February   ·   short-term obligation   ·   qualifying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Refinancing traps</w:t>
            </w:r>
          </w:p>
        </w:tc>
      </w:tr>
    </w:tbl>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Repaid first, refinanced later: still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Refinanced with shares: noncurrent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up to the proceeds, not equity. </w:t>
      </w:r>
      <w:r>
        <w:rPr>
          <w:sz w:val="19"/>
          <w:szCs w:val="19"/>
        </w:rPr>
        <w:t xml:space="preserve">A 'material adverse change' clause makes the agreement fail.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short-term obligation   ·   liability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267"/>
        <w:gridCol w:w="2167"/>
        <w:gridCol w:w="21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five refinancing scenarios for Orontes's commercial paper</w:t>
            </w:r>
          </w:p>
        </w:tc>
      </w:tr>
      <w:tr>
        <w:tc>
          <w:tcPr>
            <w:tcW w:type="pct" w:w="2743"/>
            <w:tcMar>
              <w:top w:type="dxa" w:w="50"/>
              <w:left w:type="dxa" w:w="110"/>
              <w:bottom w:type="dxa" w:w="50"/>
              <w:right w:type="dxa" w:w="110"/>
            </w:tcMar>
          </w:tcPr>
          <w:p>
            <w:pPr>
              <w:spacing w:before="26" w:after="26"/>
            </w:pPr>
            <w:r>
              <w:rPr>
                <w:b/>
                <w:bCs/>
                <w:color w:val="353A7C"/>
                <w:sz w:val="15"/>
                <w:szCs w:val="15"/>
              </w:rPr>
              <w:t xml:space="preserve">Suppose: Orontes, commercial paper of 3,000,000</w:t>
            </w:r>
          </w:p>
        </w:tc>
        <w:tc>
          <w:tcPr>
            <w:tcW w:type="pct" w:w="1128"/>
            <w:tcMar>
              <w:top w:type="dxa" w:w="50"/>
              <w:left w:type="dxa" w:w="110"/>
              <w:bottom w:type="dxa" w:w="50"/>
              <w:right w:type="dxa" w:w="110"/>
            </w:tcMar>
          </w:tcPr>
          <w:p>
            <w:pPr>
              <w:spacing w:before="26" w:after="26"/>
            </w:pPr>
            <w:r>
              <w:rPr>
                <w:b/>
                <w:bCs/>
                <w:color w:val="353A7C"/>
                <w:sz w:val="15"/>
                <w:szCs w:val="15"/>
              </w:rPr>
              <w:t xml:space="preserve">Noncurrent (U.S. GAAP)</w:t>
            </w:r>
          </w:p>
        </w:tc>
        <w:tc>
          <w:tcPr>
            <w:tcW w:type="pct" w:w="1128"/>
            <w:tcMar>
              <w:top w:type="dxa" w:w="50"/>
              <w:left w:type="dxa" w:w="110"/>
              <w:bottom w:type="dxa" w:w="50"/>
              <w:right w:type="dxa" w:w="110"/>
            </w:tcMar>
          </w:tcPr>
          <w:p>
            <w:pPr>
              <w:spacing w:before="26" w:after="26"/>
            </w:pPr>
            <w:r>
              <w:rPr>
                <w:b/>
                <w:bCs/>
                <w:color w:val="353A7C"/>
                <w:sz w:val="15"/>
                <w:szCs w:val="15"/>
              </w:rPr>
              <w:t xml:space="preserve">Current (U.S. GAAP)</w:t>
            </w:r>
          </w:p>
        </w:tc>
      </w:tr>
      <w:tr>
        <w:tc>
          <w:tcPr>
            <w:tcW w:type="pct" w:w="2743"/>
            <w:tcMar>
              <w:top w:type="dxa" w:w="50"/>
              <w:left w:type="dxa" w:w="110"/>
              <w:bottom w:type="dxa" w:w="50"/>
              <w:right w:type="dxa" w:w="110"/>
            </w:tcMar>
          </w:tcPr>
          <w:p>
            <w:pPr>
              <w:spacing w:before="26" w:after="26"/>
            </w:pPr>
            <w:r>
              <w:rPr>
                <w:color w:val="232733"/>
                <w:sz w:val="16"/>
                <w:szCs w:val="16"/>
              </w:rPr>
              <w:t xml:space="preserve">A. Issues 5-year bonds on February 10 and uses the cash to repay the paper at maturity</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c>
          <w:tcPr>
            <w:tcW w:type="pct" w:w="1128"/>
            <w:tcMar>
              <w:top w:type="dxa" w:w="50"/>
              <w:left w:type="dxa" w:w="110"/>
              <w:bottom w:type="dxa" w:w="50"/>
              <w:right w:type="dxa" w:w="110"/>
            </w:tcMar>
          </w:tcPr>
          <w:p>
            <w:pPr>
              <w:spacing w:before="26" w:after="26"/>
            </w:pPr>
            <w:r>
              <w:rPr>
                <w:color w:val="232733"/>
                <w:sz w:val="16"/>
                <w:szCs w:val="16"/>
              </w:rPr>
              <w:t xml:space="preserve">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B. Repays the paper with cash on January 15, then issues bonds on February 10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743"/>
            <w:tcMar>
              <w:top w:type="dxa" w:w="50"/>
              <w:left w:type="dxa" w:w="110"/>
              <w:bottom w:type="dxa" w:w="50"/>
              <w:right w:type="dxa" w:w="110"/>
            </w:tcMar>
          </w:tcPr>
          <w:p>
            <w:pPr>
              <w:spacing w:before="26" w:after="26"/>
            </w:pPr>
            <w:r>
              <w:rPr>
                <w:color w:val="232733"/>
                <w:sz w:val="16"/>
                <w:szCs w:val="16"/>
              </w:rPr>
              <w:t xml:space="preserve">C. Issues shares on February 10 for 2,400,000 to repay the paper</w:t>
            </w:r>
          </w:p>
        </w:tc>
        <w:tc>
          <w:tcPr>
            <w:tcW w:type="pct" w:w="1128"/>
            <w:tcMar>
              <w:top w:type="dxa" w:w="50"/>
              <w:left w:type="dxa" w:w="110"/>
              <w:bottom w:type="dxa" w:w="50"/>
              <w:right w:type="dxa" w:w="110"/>
            </w:tcMar>
          </w:tcPr>
          <w:p>
            <w:pPr>
              <w:spacing w:before="26" w:after="26"/>
            </w:pPr>
            <w:r>
              <w:rPr>
                <w:color w:val="232733"/>
                <w:sz w:val="16"/>
                <w:szCs w:val="16"/>
              </w:rPr>
              <w:t xml:space="preserve">2,400,000</w:t>
            </w:r>
          </w:p>
        </w:tc>
        <w:tc>
          <w:tcPr>
            <w:tcW w:type="pct" w:w="1128"/>
            <w:tcMar>
              <w:top w:type="dxa" w:w="50"/>
              <w:left w:type="dxa" w:w="110"/>
              <w:bottom w:type="dxa" w:w="50"/>
              <w:right w:type="dxa" w:w="110"/>
            </w:tcMar>
          </w:tcPr>
          <w:p>
            <w:pPr>
              <w:spacing w:before="26" w:after="26"/>
            </w:pPr>
            <w:r>
              <w:rPr>
                <w:color w:val="232733"/>
                <w:sz w:val="16"/>
                <w:szCs w:val="16"/>
              </w:rPr>
              <w:t xml:space="preserve">600,000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D. Signs a qualifying agreement on February 1 to borrow 80% of inventory; inventory will not fall below 3,125,000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2,500,000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500,000</w:t>
            </w:r>
          </w:p>
        </w:tc>
      </w:tr>
      <w:tr>
        <w:tc>
          <w:tcPr>
            <w:tcW w:type="pct" w:w="2743"/>
            <w:tcMar>
              <w:top w:type="dxa" w:w="50"/>
              <w:left w:type="dxa" w:w="110"/>
              <w:bottom w:type="dxa" w:w="50"/>
              <w:right w:type="dxa" w:w="110"/>
            </w:tcMar>
          </w:tcPr>
          <w:p>
            <w:pPr>
              <w:spacing w:before="26" w:after="26"/>
            </w:pPr>
            <w:r>
              <w:rPr>
                <w:color w:val="232733"/>
                <w:sz w:val="16"/>
                <w:szCs w:val="16"/>
              </w:rPr>
              <w:t xml:space="preserve">E. Same as D, but the lender may cancel if it sees a 'material adverse change'</w:t>
            </w:r>
          </w:p>
        </w:tc>
        <w:tc>
          <w:tcPr>
            <w:tcW w:type="pct" w:w="1128"/>
            <w:tcMar>
              <w:top w:type="dxa" w:w="50"/>
              <w:left w:type="dxa" w:w="110"/>
              <w:bottom w:type="dxa" w:w="50"/>
              <w:right w:type="dxa" w:w="110"/>
            </w:tcMar>
          </w:tcPr>
          <w:p>
            <w:pPr>
              <w:spacing w:before="26" w:after="26"/>
            </w:pPr>
            <w:r>
              <w:rPr>
                <w:color w:val="232733"/>
                <w:sz w:val="16"/>
                <w:szCs w:val="16"/>
              </w:rPr>
              <w:t xml:space="preserve">0</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الأوراق التجارية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Short-term debt expected to be refinanced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cancelled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commercial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intends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obligation is normally current. It may be shown as noncurrent only if the company intends to refinance it on a long-term basis and shows that it can. The company shows its ability in one of two ways, before the statements are issued. It can actually refinance: issue long-term debt or shares after the balance sheet date and use the cash for the short-term debt. Or it can sign a qualifying financing agreement. A qualifying agreement does not expire within one year, cannot be cancelled except for an objective violation, has no violation, and the lender can pay. An agreement that the lender may cancel for a 'material adverse change' does not qualify, because that clause is subjective.</w:t>
      </w:r>
    </w:p>
    <w:p>
      <w:pPr>
        <w:spacing w:before="20" w:after="20"/>
        <w:ind w:left="240" w:hanging="240"/>
      </w:pPr>
      <w:r>
        <w:rPr>
          <w:b/>
          <w:bCs/>
          <w:color w:val="353A7C"/>
          <w:sz w:val="15"/>
          <w:szCs w:val="15"/>
        </w:rPr>
        <w:t xml:space="preserve">Summary 2   </w:t>
      </w:r>
      <w:r>
        <w:rPr>
          <w:color w:val="6B7280"/>
          <w:sz w:val="15"/>
          <w:szCs w:val="15"/>
        </w:rPr>
        <w:t xml:space="preserve">Suppose Orontes has commercial paper of $3,000,000 due March 31, 2027, and intends to refinance it. Its 2026 statements are issued on March 1, 2027. Scenario A. Bonds issued on February 10 replace the paper: the whole $3,000,000 is noncurrent. Scenario C. Shares issued for $2,400,000: that amount is noncurrent and $600,000 stays current. Scenario D. A qualifying agreement for 80% of inventory of at least $3,125,000: $2,500,000 noncurrent, $500,000 current.</w:t>
      </w:r>
    </w:p>
    <w:p>
      <w:pPr>
        <w:spacing w:before="20" w:after="20"/>
        <w:ind w:left="240" w:hanging="240"/>
      </w:pPr>
      <w:r>
        <w:rPr>
          <w:b/>
          <w:bCs/>
          <w:color w:val="353A7C"/>
          <w:sz w:val="15"/>
          <w:szCs w:val="15"/>
        </w:rPr>
        <w:t xml:space="preserve">Summary 3   </w:t>
      </w:r>
      <w:r>
        <w:rPr>
          <w:color w:val="6B7280"/>
          <w:sz w:val="15"/>
          <w:szCs w:val="15"/>
        </w:rPr>
        <w:t xml:space="preserve">Repaid first, refinanced later: still current. Refinanced with shares: noncurrent liability up to the proceeds, not equity. A 'material adverse change' clause makes the agreement fail.</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IFRS and covenants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IAS 1 asks only one question: at the reporting date, does the company have a right to defer settlement for at least twelve months?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agreed after the reporting date does not change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even if it happens before the statements are issued.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C and D above, an IFRS company would show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paper as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Refinancing   ·   scenarios   ·   classification   ·   short-term obligation   ·   commercial</w:t>
            </w:r>
          </w:p>
        </w:tc>
      </w:tr>
    </w:tbl>
    <w:p/>
    <w:p>
      <w:pPr>
        <w:spacing w:before="44" w:after="10"/>
      </w:pPr>
      <w:r>
        <w:rPr>
          <w:b/>
          <w:bCs/>
          <w:color w:val="353A7C"/>
          <w:sz w:val="18"/>
          <w:szCs w:val="18"/>
        </w:rPr>
        <w:t xml:space="preserve">Classification, covenants and warranty costs: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liabilities   ·   Can make the debt noncurrent   ·   Consider only violations at the balance sheet date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The IAS 1 amendments on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covenants apply from January 1, 2024, and are testable now as IFRS contrasts. </w:t>
      </w:r>
      <w:r>
        <w:rPr>
          <w:sz w:val="19"/>
          <w:szCs w:val="19"/>
        </w:rPr>
        <w:t xml:space="preserve">They confirm that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intention to refinance does not matter; only rights at the reporting date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classification   ·   management's   ·   warranty liability</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IFRS and covenants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Refinancing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 make the debt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Consider only violations at the balance sheet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management's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w:t>
      </w:r>
    </w:p>
    <w:p>
      <w:pPr>
        <w:spacing w:before="20" w:after="20"/>
        <w:ind w:left="240" w:hanging="240"/>
      </w:pPr>
      <w:r>
        <w:rPr>
          <w:b/>
          <w:bCs/>
          <w:color w:val="353A7C"/>
          <w:sz w:val="15"/>
          <w:szCs w:val="15"/>
        </w:rPr>
        <w:t xml:space="preserve">Summary 2   </w:t>
      </w:r>
      <w:r>
        <w:rPr>
          <w:color w:val="6B7280"/>
          <w:sz w:val="15"/>
          <w:szCs w:val="15"/>
        </w:rPr>
        <w:t xml:space="preserve">The IAS 1 amendments on classification and covenants apply from January 1, 2024, and are testable now as IFRS contrasts. They confirm that management's intention to refinance does not matter; only rights at the reporting date do.</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Warranties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warranty only promises that a product will work as agreed. </w:t>
      </w:r>
      <w:r>
        <w:rPr>
          <w:sz w:val="19"/>
          <w:szCs w:val="19"/>
        </w:rPr>
        <w:t xml:space="preserve">It is not a separate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obligation. </w:t>
      </w:r>
      <w:r>
        <w:rPr>
          <w:sz w:val="19"/>
          <w:szCs w:val="19"/>
        </w:rPr>
        <w:t xml:space="preserve">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repair cost at the time of sale, records warranty expense and a warranty liability, and reduces the liability as repairs are made.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estimates   ·   assurance-type   ·   service-type warranty   ·   performance</w:t>
            </w:r>
          </w:p>
        </w:tc>
      </w:tr>
    </w:tbl>
    <w:p/>
    <w:p>
      <w:pPr>
        <w:spacing w:before="44" w:after="10"/>
      </w:pPr>
      <w:r>
        <w:rPr>
          <w:b/>
          <w:bCs/>
          <w:color w:val="353A7C"/>
          <w:sz w:val="18"/>
          <w:szCs w:val="18"/>
        </w:rPr>
        <w:t xml:space="preserve">Suppose: Orontes's warranty entries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assurance-type warranty   ·   Repairs made in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Warranty traps</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Standard warranty: accrue the cost at the sale; do not defer revenue. </w:t>
      </w:r>
      <w:r>
        <w:rPr>
          <w:sz w:val="19"/>
          <w:szCs w:val="19"/>
        </w:rPr>
        <w:t xml:space="preserve">Extended plan sold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defer revenue; do not accrue a cost.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warranty costs in the year of the sale, not when repairs are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service-type warranty   ·   Expense   ·   separately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مخصص, محتمل, provision</w:t>
            </w:r>
          </w:p>
        </w:tc>
      </w:tr>
    </w:tbl>
    <w:p/>
    <w:p>
      <w:pPr>
        <w:spacing w:before="44" w:after="14"/>
      </w:pPr>
      <w:r>
        <w:rPr>
          <w:b/>
          <w:bCs/>
          <w:color w:val="353A7C"/>
          <w:sz w:val="18"/>
          <w:szCs w:val="18"/>
        </w:rPr>
        <w:t xml:space="preserve">Summary 3</w:t>
      </w:r>
      <w:r>
        <w:rPr>
          <w:color w:val="6B7280"/>
          <w:sz w:val="16"/>
          <w:szCs w:val="16"/>
        </w:rPr>
        <w:t xml:space="preserve">      gaps 7–8</w:t>
      </w:r>
    </w:p>
    <w:p>
      <w:pPr>
        <w:spacing w:before="20" w:after="20" w:line="360" w:lineRule="auto"/>
        <w:ind w:left="200"/>
      </w:pPr>
      <w:r>
        <w:rPr>
          <w:sz w:val="19"/>
          <w:szCs w:val="19"/>
        </w:rPr>
        <w:t xml:space="preserve">Arabic مخصص can mean a U.S.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liability or an IFRS provision; use warranty liability here. </w:t>
      </w:r>
      <w:r>
        <w:rPr>
          <w:sz w:val="19"/>
          <w:szCs w:val="19"/>
        </w:rPr>
        <w:t xml:space="preserve">French provision pour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IFRS term; never call a U.S. liability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   garantie   ·   warranty liability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مخصص, محتمل, provision</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Barada Wholesale, selected liabilities, December</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tcMar>
              <w:top w:type="dxa" w:w="50"/>
              <w:left w:type="dxa" w:w="110"/>
              <w:bottom w:type="dxa" w:w="50"/>
              <w:right w:type="dxa" w:w="110"/>
            </w:tcMar>
          </w:tcPr>
          <w:p>
            <w:pPr>
              <w:spacing w:before="26" w:after="26"/>
            </w:pPr>
            <w:r>
              <w:rPr>
                <w:color w:val="232733"/>
                <w:sz w:val="16"/>
                <w:szCs w:val="16"/>
              </w:rPr>
              <w:t xml:space="preserve">450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Bank loan due April 30, 2028</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400</w:t>
            </w:r>
          </w:p>
        </w:tc>
      </w:tr>
      <w:tr>
        <w:tc>
          <w:tcPr>
            <w:tcW w:type="pct" w:w="2400"/>
            <w:tcMar>
              <w:top w:type="dxa" w:w="50"/>
              <w:left w:type="dxa" w:w="110"/>
              <w:bottom w:type="dxa" w:w="50"/>
              <w:right w:type="dxa" w:w="110"/>
            </w:tcMar>
          </w:tcPr>
          <w:p>
            <w:pPr>
              <w:spacing w:before="26" w:after="26"/>
            </w:pPr>
            <w:r>
              <w:rPr>
                <w:color w:val="232733"/>
                <w:sz w:val="16"/>
                <w:szCs w:val="16"/>
              </w:rPr>
              <w:t xml:space="preserve">Note payable due in 2029 (from the Chapter 2 case)</w:t>
            </w:r>
          </w:p>
        </w:tc>
        <w:tc>
          <w:tcPr>
            <w:tcW w:type="pct" w:w="2600"/>
            <w:tcMar>
              <w:top w:type="dxa" w:w="50"/>
              <w:left w:type="dxa" w:w="110"/>
              <w:bottom w:type="dxa" w:w="50"/>
              <w:right w:type="dxa" w:w="110"/>
            </w:tcMar>
          </w:tcPr>
          <w:p>
            <w:pPr>
              <w:spacing w:before="26" w:after="26"/>
            </w:pPr>
            <w:r>
              <w:rPr>
                <w:color w:val="232733"/>
                <w:sz w:val="16"/>
                <w:szCs w:val="16"/>
              </w:rPr>
              <w:t xml:space="preserve">1,500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60</w:t>
            </w:r>
          </w:p>
        </w:tc>
      </w:tr>
      <w:tr>
        <w:tc>
          <w:tcPr>
            <w:tcW w:type="pct" w:w="2400"/>
            <w:tcMar>
              <w:top w:type="dxa" w:w="50"/>
              <w:left w:type="dxa" w:w="110"/>
              <w:bottom w:type="dxa" w:w="50"/>
              <w:right w:type="dxa" w:w="110"/>
            </w:tcMar>
          </w:tcPr>
          <w:p>
            <w:pPr>
              <w:spacing w:before="26" w:after="26"/>
            </w:pPr>
            <w:r>
              <w:rPr>
                <w:color w:val="232733"/>
                <w:sz w:val="16"/>
                <w:szCs w:val="16"/>
              </w:rPr>
              <w:t xml:space="preserve">Customer deposits for orders to be delivered in 2028</w:t>
            </w:r>
          </w:p>
        </w:tc>
        <w:tc>
          <w:tcPr>
            <w:tcW w:type="pct" w:w="2600"/>
            <w:tcMar>
              <w:top w:type="dxa" w:w="50"/>
              <w:left w:type="dxa" w:w="110"/>
              <w:bottom w:type="dxa" w:w="50"/>
              <w:right w:type="dxa" w:w="110"/>
            </w:tcMar>
          </w:tcPr>
          <w:p>
            <w:pPr>
              <w:spacing w:before="26" w:after="26"/>
            </w:pPr>
            <w:r>
              <w:rPr>
                <w:color w:val="232733"/>
                <w:sz w:val="16"/>
                <w:szCs w:val="16"/>
              </w:rPr>
              <w:t xml:space="preserve">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Wages payable / income tax withheld / employer payroll taxes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25 / 5 / 3</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On February 15, 2028, before the statements were issued on March 1, 2028, Barada signed a non-cancelable three-year agreement. The bank will</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 2027 Barada began selling kitchen equipment with a one-year warranty that the product works as agreed. Sales were 1000; expected repairs</w:t>
            </w:r>
          </w:p>
        </w:tc>
      </w:tr>
      <w:tr>
        <w:tc>
          <w:tcPr>
            <w:tcW w:type="pct" w:w="2400"/>
            <w:tcMar>
              <w:top w:type="dxa" w:w="50"/>
              <w:left w:type="dxa" w:w="110"/>
              <w:bottom w:type="dxa" w:w="50"/>
              <w:right w:type="dxa" w:w="110"/>
            </w:tcMar>
          </w:tcPr>
          <w:p>
            <w:pPr>
              <w:spacing w:before="26" w:after="26"/>
            </w:pPr>
            <w:r>
              <w:rPr>
                <w:color w:val="232733"/>
                <w:sz w:val="16"/>
                <w:szCs w:val="16"/>
              </w:rPr>
              <w:t xml:space="preserve">M3</w:t>
            </w:r>
          </w:p>
        </w:tc>
        <w:tc>
          <w:tcPr>
            <w:tcW w:type="pct" w:w="2600"/>
            <w:tcMar>
              <w:top w:type="dxa" w:w="50"/>
              <w:left w:type="dxa" w:w="110"/>
              <w:bottom w:type="dxa" w:w="50"/>
              <w:right w:type="dxa" w:w="110"/>
            </w:tcMar>
          </w:tcPr>
          <w:p>
            <w:pPr>
              <w:spacing w:before="26" w:after="26"/>
            </w:pPr>
            <w:r>
              <w:rPr>
                <w:color w:val="232733"/>
                <w:sz w:val="16"/>
                <w:szCs w:val="16"/>
              </w:rPr>
              <w:t xml:space="preserve">Barada also sold separately priced three-year service plans for 36, all starting on January 1, 2027.</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balances are not shown here; Chapter 13 covers them.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Employer's social security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400"/>
            <w:shd w:fill="FBFAF6" w:val="clear"/>
            <w:tcMar>
              <w:top w:type="dxa" w:w="50"/>
              <w:left w:type="dxa" w:w="110"/>
              <w:bottom w:type="dxa" w:w="50"/>
              <w:right w:type="dxa" w:w="110"/>
            </w:tcMar>
          </w:tcPr>
          <w:p>
            <w:pPr>
              <w:spacing w:before="28" w:after="28"/>
            </w:pPr>
            <w:r>
              <w:rPr>
                <w:sz w:val="15"/>
                <w:szCs w:val="15"/>
              </w:rPr>
              <w:t xml:space="preserve">4,000 + 2,800 + 2,800 = 9,600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21,000 − 20,000 = 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 × 40,000 = 2,800 (payroll tax expense)   ·   4,000 + 2,800 + 2,800 = 9,600   ·   21,000 ÷ 1.05 = 20,000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Bank loan</w:t>
            </w:r>
          </w:p>
        </w:tc>
        <w:tc>
          <w:tcPr>
            <w:tcW w:type="pct" w:w="2600"/>
            <w:tcMar>
              <w:top w:type="dxa" w:w="50"/>
              <w:left w:type="dxa" w:w="110"/>
              <w:bottom w:type="dxa" w:w="50"/>
              <w:right w:type="dxa" w:w="110"/>
            </w:tcMar>
          </w:tcPr>
          <w:p>
            <w:pPr>
              <w:spacing w:before="26" w:after="26"/>
            </w:pPr>
            <w:r>
              <w:rPr>
                <w:color w:val="232733"/>
                <w:sz w:val="16"/>
                <w:szCs w:val="16"/>
              </w:rPr>
              <w:t xml:space="preserve">Split between current and noncurrent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Note payable due 2029</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Noncurrent liability</w:t>
            </w:r>
          </w:p>
        </w:tc>
      </w:tr>
      <w:tr>
        <w:tc>
          <w:tcPr>
            <w:tcW w:type="pct" w:w="2400"/>
            <w:tcMar>
              <w:top w:type="dxa" w:w="50"/>
              <w:left w:type="dxa" w:w="110"/>
              <w:bottom w:type="dxa" w:w="50"/>
              <w:right w:type="dxa" w:w="110"/>
            </w:tcMar>
          </w:tcPr>
          <w:p>
            <w:pPr>
              <w:spacing w:before="26" w:after="26"/>
            </w:pPr>
            <w:r>
              <w:rPr>
                <w:color w:val="232733"/>
                <w:sz w:val="16"/>
                <w:szCs w:val="16"/>
              </w:rPr>
              <w:t xml:space="preserve">Warranty liability (M2)</w:t>
            </w:r>
          </w:p>
        </w:tc>
        <w:tc>
          <w:tcPr>
            <w:tcW w:type="pct" w:w="2600"/>
            <w:tcMar>
              <w:top w:type="dxa" w:w="50"/>
              <w:left w:type="dxa" w:w="110"/>
              <w:bottom w:type="dxa" w:w="50"/>
              <w:right w:type="dxa" w:w="110"/>
            </w:tcMar>
          </w:tcPr>
          <w:p>
            <w:pPr>
              <w:spacing w:before="26" w:after="26"/>
            </w:pPr>
            <w:r>
              <w:rPr>
                <w:color w:val="232733"/>
                <w:sz w:val="16"/>
                <w:szCs w:val="16"/>
              </w:rPr>
              <w:t xml:space="preserve">Current liability</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Service plans (M3)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Split between current and noncurrent</w:t>
            </w:r>
          </w:p>
        </w:tc>
      </w:tr>
      <w:tr>
        <w:tc>
          <w:tcPr>
            <w:tcW w:type="pct" w:w="2400"/>
            <w:tcMar>
              <w:top w:type="dxa" w:w="50"/>
              <w:left w:type="dxa" w:w="110"/>
              <w:bottom w:type="dxa" w:w="50"/>
              <w:right w:type="dxa" w:w="110"/>
            </w:tcMar>
          </w:tcPr>
          <w:p>
            <w:pPr>
              <w:spacing w:before="26" w:after="26"/>
            </w:pPr>
            <w:r>
              <w:rPr>
                <w:color w:val="232733"/>
                <w:sz w:val="16"/>
                <w:szCs w:val="16"/>
              </w:rPr>
              <w:t xml:space="preserve">Customer deposits</w:t>
            </w:r>
          </w:p>
        </w:tc>
        <w:tc>
          <w:tcPr>
            <w:tcW w:type="pct" w:w="2600"/>
            <w:tcMar>
              <w:top w:type="dxa" w:w="50"/>
              <w:left w:type="dxa" w:w="110"/>
              <w:bottom w:type="dxa" w:w="50"/>
              <w:right w:type="dxa" w:w="110"/>
            </w:tcMar>
          </w:tcPr>
          <w:p>
            <w:pPr>
              <w:spacing w:before="26" w:after="26"/>
            </w:pPr>
            <w:r>
              <w:rPr>
                <w:color w:val="232733"/>
                <w:sz w:val="16"/>
                <w:szCs w:val="16"/>
              </w:rPr>
              <w:t xml:space="preserve">Current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الضمان</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Warranties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assurance-type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garantie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Repairs made in 2026</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7% × 40,000 = 2,800 (payroll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21,000 ÷ 1.05 = 20,000</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w:t>
      </w:r>
    </w:p>
    <w:p>
      <w:pPr>
        <w:spacing w:before="20" w:after="20"/>
        <w:ind w:left="240" w:hanging="240"/>
      </w:pPr>
      <w:r>
        <w:rPr>
          <w:b/>
          <w:bCs/>
          <w:color w:val="353A7C"/>
          <w:sz w:val="15"/>
          <w:szCs w:val="15"/>
        </w:rPr>
        <w:t xml:space="preserve">Summary 2   </w:t>
      </w:r>
      <w:r>
        <w:rPr>
          <w:color w:val="6B7280"/>
          <w:sz w:val="15"/>
          <w:szCs w:val="15"/>
        </w:rPr>
        <w:t xml:space="preserve">Standard warranty: accrue the cost at the sale; do not defer revenue. Extended plan sold separately: defer revenue; do not accrue a cost. Expense warranty costs in the year of the sale, not when repairs are paid.</w:t>
      </w:r>
    </w:p>
    <w:p>
      <w:pPr>
        <w:spacing w:before="20" w:after="20"/>
        <w:ind w:left="240" w:hanging="240"/>
      </w:pPr>
      <w:r>
        <w:rPr>
          <w:b/>
          <w:bCs/>
          <w:color w:val="353A7C"/>
          <w:sz w:val="15"/>
          <w:szCs w:val="15"/>
        </w:rPr>
        <w:t xml:space="preserve">Summary 3   </w:t>
      </w:r>
      <w:r>
        <w:rPr>
          <w:color w:val="6B7280"/>
          <w:sz w:val="15"/>
          <w:szCs w:val="15"/>
        </w:rPr>
        <w:t xml:space="preserve">Arabic مخصص can mean a U.S. allowance, a liability or an IFRS provision; use warranty liability here. French provision pour garantie is the IFRS term; never call a U.S. liability a reserve.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70de3fdbee96c657ba5646e037c146ed9cbc87e.png" Type="http://schemas.openxmlformats.org/officeDocument/2006/relationships/image"/><Relationship Id="rId102" Target="media/5204efcc8e227378833d65c0b163518a20e6ebc1.png" Type="http://schemas.openxmlformats.org/officeDocument/2006/relationships/image"/><Relationship Id="rId103" Target="media/8383c4ee585f3c2377959fc68259f48abac5f19f.png" Type="http://schemas.openxmlformats.org/officeDocument/2006/relationships/image"/><Relationship Id="rId104" Target="media/99a1c053d3aa14d8737a40702fc58b51daa2509f.png" Type="http://schemas.openxmlformats.org/officeDocument/2006/relationships/image"/><Relationship Id="rId105" Target="media/f09e2f2b1967c32d0edfcbfabf324c05cc06f36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12</dc:title>
  <dc:subject>Summary handouts</dc:subject>
  <cp:category>Student Book</cp:category>
</cp:coreProperties>
</file>