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Why book income and taxable income differ</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and permanent differences   ·   effective tax rate   ·   Rate changes, valuation allowances, losses and</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 U.S. GAAP and are prepared for investors. </w:t>
      </w:r>
      <w:r>
        <w:rPr>
          <w:sz w:val="19"/>
          <w:szCs w:val="19"/>
        </w:rPr>
        <w:t xml:space="preserve">Tax returns follow tax law and are prepared for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two sets of rules have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goals, so taxable income is usually not the same as income before income taxes. </w:t>
      </w:r>
      <w:r>
        <w:rPr>
          <w:sz w:val="19"/>
          <w:szCs w:val="19"/>
        </w:rPr>
        <w:t xml:space="preserve">If a company simply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tax it paid, its tax expense would jump around when the rules timed items differently.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tax allocation solves this. </w:t>
      </w:r>
      <w:r>
        <w:rPr>
          <w:sz w:val="19"/>
          <w:szCs w:val="19"/>
        </w:rPr>
        <w:t xml:space="preserve">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tax effects of transactions in the same periods as the transactions themselves, using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recognizes   ·   reported   ·   deferred tax expense   ·   statements   ·   Interperiod   ·   government   ·   different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income tax figures for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2025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Income tax expense (25% combined federal and state rate)</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889,700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expense (25% of the 400,000 increase in net taxable temporary differences)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tcMar>
              <w:top w:type="dxa" w:w="50"/>
              <w:left w:type="dxa" w:w="110"/>
              <w:bottom w:type="dxa" w:w="50"/>
              <w:right w:type="dxa" w:w="110"/>
            </w:tcMar>
          </w:tcPr>
          <w:p>
            <w:pPr>
              <w:spacing w:before="28" w:after="28"/>
            </w:pPr>
            <w:r>
              <w:rPr>
                <w:sz w:val="15"/>
                <w:szCs w:val="15"/>
              </w:rPr>
              <w:t xml:space="preserve">Income taxes paid in cash (Chapter 5)</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Deferred tax liability, December 31, 2025 (after the 375 tax effect of the OCI loss)</w:t>
            </w:r>
          </w:p>
        </w:tc>
        <w:tc>
          <w:tcPr>
            <w:tcW w:type="pct" w:w="2400"/>
            <w:tcMar>
              <w:top w:type="dxa" w:w="50"/>
              <w:left w:type="dxa" w:w="110"/>
              <w:bottom w:type="dxa" w:w="50"/>
              <w:right w:type="dxa" w:w="110"/>
            </w:tcMar>
          </w:tcPr>
          <w:p>
            <w:pPr>
              <w:spacing w:before="28" w:after="28"/>
            </w:pPr>
            <w:r>
              <w:rPr>
                <w:sz w:val="15"/>
                <w:szCs w:val="15"/>
              </w:rPr>
              <w:t xml:space="preserve">999,625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liability, January 1, 2025   ·   Income before income taxes   ·   Current tax expense (taxes on 2025 taxable income)   ·   Income tax expense (25% combined federal and state rate)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deductible temporary difference   ·   deferred tax expense   ·   current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taxable income</w:t>
            </w:r>
          </w:p>
        </w:tc>
        <w:tc>
          <w:tcPr>
            <w:tcW w:type="pct" w:w="2476"/>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24"/>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76"/>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Why book income and taxable income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Temporary and permanent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Rate changes, valuation allowances, losses and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Current tax expense (taxes on 2025 taxable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Deferred tax liability, January 1, 2025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deferred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Interperiod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Financial statements follow U.S. GAAP and are prepared for investors.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Temporary and permanent differences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temporary difference arises when the tax basis of an asset 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differs from its carrying amount on the balance sheet. </w:t>
      </w:r>
      <w:r>
        <w:rPr>
          <w:sz w:val="19"/>
          <w:szCs w:val="19"/>
        </w:rPr>
        <w:t xml:space="preserve">A taxable temporary difference will increase future taxable income;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temporary difference will reduce it. </w:t>
      </w:r>
      <w:r>
        <w:rPr>
          <w:sz w:val="19"/>
          <w:szCs w:val="19"/>
        </w:rPr>
        <w:t xml:space="preserve">A permanent difference never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item is in book income but never in taxable income, or the reverse.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municipal bond interest and fines are common examples. </w:t>
      </w:r>
      <w:r>
        <w:rPr>
          <w:sz w:val="19"/>
          <w:szCs w:val="19"/>
        </w:rPr>
        <w:t xml:space="preserve">Permanent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create no deferred tax; they only change the effective tax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basis   ·   deductible   ·   differences   ·   reverses   ·   Tax-exempt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31"/>
        <w:gridCol w:w="227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Common temporary and permanent differences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1214"/>
            <w:tcMar>
              <w:top w:type="dxa" w:w="50"/>
              <w:left w:type="dxa" w:w="110"/>
              <w:bottom w:type="dxa" w:w="50"/>
              <w:right w:type="dxa" w:w="110"/>
            </w:tcMar>
          </w:tcPr>
          <w:p>
            <w:pPr>
              <w:spacing w:before="26" w:after="26"/>
            </w:pPr>
            <w:r>
              <w:rPr>
                <w:b/>
                <w:bCs/>
                <w:color w:val="353A7C"/>
                <w:sz w:val="15"/>
                <w:szCs w:val="15"/>
              </w:rPr>
              <w:t xml:space="preserve">Type of difference</w:t>
            </w:r>
          </w:p>
        </w:tc>
        <w:tc>
          <w:tcPr>
            <w:tcW w:type="pct" w:w="1186"/>
            <w:tcMar>
              <w:top w:type="dxa" w:w="50"/>
              <w:left w:type="dxa" w:w="110"/>
              <w:bottom w:type="dxa" w:w="50"/>
              <w:right w:type="dxa" w:w="110"/>
            </w:tcMar>
          </w:tcPr>
          <w:p>
            <w:pPr>
              <w:spacing w:before="26" w:after="26"/>
            </w:pPr>
            <w:r>
              <w:rPr>
                <w:b/>
                <w:bCs/>
                <w:color w:val="353A7C"/>
                <w:sz w:val="15"/>
                <w:szCs w:val="15"/>
              </w:rPr>
              <w:t xml:space="preserve">Creates</w:t>
            </w:r>
          </w:p>
        </w:tc>
      </w:tr>
      <w:tr>
        <w:tc>
          <w:tcPr>
            <w:tcW w:type="pct" w:w="2600"/>
            <w:tcMar>
              <w:top w:type="dxa" w:w="50"/>
              <w:left w:type="dxa" w:w="110"/>
              <w:bottom w:type="dxa" w:w="50"/>
              <w:right w:type="dxa" w:w="110"/>
            </w:tcMar>
          </w:tcPr>
          <w:p>
            <w:pPr>
              <w:spacing w:before="26" w:after="26"/>
            </w:pPr>
            <w:r>
              <w:rPr>
                <w:color w:val="232733"/>
                <w:sz w:val="16"/>
                <w:szCs w:val="16"/>
              </w:rPr>
              <w:t xml:space="preserve">Tax depreciation faster than book (bonus, MACRS)</w:t>
            </w:r>
          </w:p>
        </w:tc>
        <w:tc>
          <w:tcPr>
            <w:tcW w:type="pct" w:w="1214"/>
            <w:tcMar>
              <w:top w:type="dxa" w:w="50"/>
              <w:left w:type="dxa" w:w="110"/>
              <w:bottom w:type="dxa" w:w="50"/>
              <w:right w:type="dxa" w:w="110"/>
            </w:tcMar>
          </w:tcPr>
          <w:p>
            <w:pPr>
              <w:spacing w:before="26" w:after="26"/>
            </w:pPr>
            <w:r>
              <w:rPr>
                <w:color w:val="232733"/>
                <w:sz w:val="16"/>
                <w:szCs w:val="16"/>
              </w:rPr>
              <w:t xml:space="preserve">Temporary, taxable</w:t>
            </w:r>
          </w:p>
        </w:tc>
        <w:tc>
          <w:tcPr>
            <w:tcW w:type="pct" w:w="1186"/>
            <w:tcMar>
              <w:top w:type="dxa" w:w="50"/>
              <w:left w:type="dxa" w:w="110"/>
              <w:bottom w:type="dxa" w:w="50"/>
              <w:right w:type="dxa" w:w="110"/>
            </w:tcMar>
          </w:tcPr>
          <w:p>
            <w:pPr>
              <w:spacing w:before="26" w:after="26"/>
            </w:pPr>
            <w:r>
              <w:rPr>
                <w:color w:val="232733"/>
                <w:sz w:val="16"/>
                <w:szCs w:val="16"/>
              </w:rPr>
              <w:t xml:space="preserve">Deferred tax liability</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Installment sale: revenue now, taxed when cash is collected</w:t>
            </w:r>
          </w:p>
        </w:tc>
        <w:tc>
          <w:tcPr>
            <w:tcW w:type="pct" w:w="1214"/>
            <w:shd w:fill="FBFAF6" w:val="clear"/>
            <w:tcMar>
              <w:top w:type="dxa" w:w="50"/>
              <w:left w:type="dxa" w:w="110"/>
              <w:bottom w:type="dxa" w:w="50"/>
              <w:right w:type="dxa" w:w="110"/>
            </w:tcMar>
          </w:tcPr>
          <w:p>
            <w:pPr>
              <w:spacing w:before="26" w:after="26"/>
            </w:pPr>
            <w:r>
              <w:rPr>
                <w:color w:val="232733"/>
                <w:sz w:val="16"/>
                <w:szCs w:val="16"/>
              </w:rPr>
              <w:t xml:space="preserve">Temporary, taxable</w:t>
            </w:r>
          </w:p>
        </w:tc>
        <w:tc>
          <w:tcPr>
            <w:tcW w:type="pct" w:w="1186"/>
            <w:shd w:fill="FBFAF6" w:val="clear"/>
            <w:tcMar>
              <w:top w:type="dxa" w:w="50"/>
              <w:left w:type="dxa" w:w="110"/>
              <w:bottom w:type="dxa" w:w="50"/>
              <w:right w:type="dxa" w:w="110"/>
            </w:tcMar>
          </w:tcPr>
          <w:p>
            <w:pPr>
              <w:spacing w:before="26" w:after="26"/>
            </w:pPr>
            <w:r>
              <w:rPr>
                <w:color w:val="232733"/>
                <w:sz w:val="16"/>
                <w:szCs w:val="16"/>
              </w:rPr>
              <w:t xml:space="preserve">Deferred tax liability</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or litigation accrual, deductible when paid</w:t>
            </w:r>
          </w:p>
        </w:tc>
        <w:tc>
          <w:tcPr>
            <w:tcW w:type="pct" w:w="1214"/>
            <w:tcMar>
              <w:top w:type="dxa" w:w="50"/>
              <w:left w:type="dxa" w:w="110"/>
              <w:bottom w:type="dxa" w:w="50"/>
              <w:right w:type="dxa" w:w="110"/>
            </w:tcMar>
          </w:tcPr>
          <w:p>
            <w:pPr>
              <w:spacing w:before="26" w:after="26"/>
            </w:pPr>
            <w:r>
              <w:rPr>
                <w:color w:val="232733"/>
                <w:sz w:val="16"/>
                <w:szCs w:val="16"/>
              </w:rPr>
              <w:t xml:space="preserve">Temporary, deductible</w:t>
            </w:r>
          </w:p>
        </w:tc>
        <w:tc>
          <w:tcPr>
            <w:tcW w:type="pct" w:w="1186"/>
            <w:tcMar>
              <w:top w:type="dxa" w:w="50"/>
              <w:left w:type="dxa" w:w="110"/>
              <w:bottom w:type="dxa" w:w="50"/>
              <w:right w:type="dxa" w:w="110"/>
            </w:tcMar>
          </w:tcPr>
          <w:p>
            <w:pPr>
              <w:spacing w:before="26" w:after="26"/>
            </w:pPr>
            <w:r>
              <w:rPr>
                <w:color w:val="232733"/>
                <w:sz w:val="16"/>
                <w:szCs w:val="16"/>
              </w:rPr>
              <w:t xml:space="preserve">Deferred tax 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Rent received in advance, taxed when received</w:t>
            </w:r>
          </w:p>
        </w:tc>
        <w:tc>
          <w:tcPr>
            <w:tcW w:type="pct" w:w="1214"/>
            <w:shd w:fill="FBFAF6" w:val="clear"/>
            <w:tcMar>
              <w:top w:type="dxa" w:w="50"/>
              <w:left w:type="dxa" w:w="110"/>
              <w:bottom w:type="dxa" w:w="50"/>
              <w:right w:type="dxa" w:w="110"/>
            </w:tcMar>
          </w:tcPr>
          <w:p>
            <w:pPr>
              <w:spacing w:before="26" w:after="26"/>
            </w:pPr>
            <w:r>
              <w:rPr>
                <w:color w:val="232733"/>
                <w:sz w:val="16"/>
                <w:szCs w:val="16"/>
              </w:rPr>
              <w:t xml:space="preserve">Temporary, deductible</w:t>
            </w:r>
          </w:p>
        </w:tc>
        <w:tc>
          <w:tcPr>
            <w:tcW w:type="pct" w:w="1186"/>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r>
      <w:tr>
        <w:tc>
          <w:tcPr>
            <w:tcW w:type="pct" w:w="2600"/>
            <w:tcMar>
              <w:top w:type="dxa" w:w="50"/>
              <w:left w:type="dxa" w:w="110"/>
              <w:bottom w:type="dxa" w:w="50"/>
              <w:right w:type="dxa" w:w="110"/>
            </w:tcMar>
          </w:tcPr>
          <w:p>
            <w:pPr>
              <w:spacing w:before="26" w:after="26"/>
            </w:pPr>
            <w:r>
              <w:rPr>
                <w:color w:val="232733"/>
                <w:sz w:val="16"/>
                <w:szCs w:val="16"/>
              </w:rPr>
              <w:t xml:space="preserve">Tax-exempt municipal bond interest</w:t>
            </w:r>
          </w:p>
        </w:tc>
        <w:tc>
          <w:tcPr>
            <w:tcW w:type="pct" w:w="1214"/>
            <w:tcMar>
              <w:top w:type="dxa" w:w="50"/>
              <w:left w:type="dxa" w:w="110"/>
              <w:bottom w:type="dxa" w:w="50"/>
              <w:right w:type="dxa" w:w="110"/>
            </w:tcMar>
          </w:tcPr>
          <w:p>
            <w:pPr>
              <w:spacing w:before="26" w:after="26"/>
            </w:pPr>
            <w:r>
              <w:rPr>
                <w:color w:val="232733"/>
                <w:sz w:val="16"/>
                <w:szCs w:val="16"/>
              </w:rPr>
              <w:t xml:space="preserve">Permanent</w:t>
            </w:r>
          </w:p>
        </w:tc>
        <w:tc>
          <w:tcPr>
            <w:tcW w:type="pct" w:w="1186"/>
            <w:tcMar>
              <w:top w:type="dxa" w:w="50"/>
              <w:left w:type="dxa" w:w="110"/>
              <w:bottom w:type="dxa" w:w="50"/>
              <w:right w:type="dxa" w:w="110"/>
            </w:tcMar>
          </w:tcPr>
          <w:p>
            <w:pPr>
              <w:spacing w:before="26" w:after="26"/>
            </w:pPr>
            <w:r>
              <w:rPr>
                <w:color w:val="232733"/>
                <w:sz w:val="16"/>
                <w:szCs w:val="16"/>
              </w:rPr>
              <w:t xml:space="preserve">None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Fines and penalties</w:t>
            </w:r>
          </w:p>
        </w:tc>
        <w:tc>
          <w:tcPr>
            <w:tcW w:type="pct" w:w="1214"/>
            <w:shd w:fill="FBFAF6" w:val="clear"/>
            <w:tcMar>
              <w:top w:type="dxa" w:w="50"/>
              <w:left w:type="dxa" w:w="110"/>
              <w:bottom w:type="dxa" w:w="50"/>
              <w:right w:type="dxa" w:w="110"/>
            </w:tcMar>
          </w:tcPr>
          <w:p>
            <w:pPr>
              <w:spacing w:before="26" w:after="26"/>
            </w:pPr>
            <w:r>
              <w:rPr>
                <w:color w:val="232733"/>
                <w:sz w:val="16"/>
                <w:szCs w:val="16"/>
              </w:rPr>
              <w:t xml:space="preserve">Permanent</w:t>
            </w:r>
          </w:p>
        </w:tc>
        <w:tc>
          <w:tcPr>
            <w:tcW w:type="pct" w:w="1186"/>
            <w:shd w:fill="FBFAF6" w:val="clear"/>
            <w:tcMar>
              <w:top w:type="dxa" w:w="50"/>
              <w:left w:type="dxa" w:w="110"/>
              <w:bottom w:type="dxa" w:w="50"/>
              <w:right w:type="dxa" w:w="110"/>
            </w:tcMar>
          </w:tcPr>
          <w:p>
            <w:pPr>
              <w:spacing w:before="26" w:after="26"/>
            </w:pPr>
            <w:r>
              <w:rPr>
                <w:color w:val="232733"/>
                <w:sz w:val="16"/>
                <w:szCs w:val="16"/>
              </w:rPr>
              <w:t xml:space="preserve">None</w:t>
            </w:r>
          </w:p>
        </w:tc>
      </w:tr>
      <w:tr>
        <w:tc>
          <w:tcPr>
            <w:tcW w:type="pct" w:w="2600"/>
            <w:tcMar>
              <w:top w:type="dxa" w:w="50"/>
              <w:left w:type="dxa" w:w="110"/>
              <w:bottom w:type="dxa" w:w="50"/>
              <w:right w:type="dxa" w:w="110"/>
            </w:tcMar>
          </w:tcPr>
          <w:p>
            <w:pPr>
              <w:spacing w:before="26" w:after="26"/>
            </w:pPr>
            <w:r>
              <w:rPr>
                <w:color w:val="232733"/>
                <w:sz w:val="16"/>
                <w:szCs w:val="16"/>
              </w:rPr>
              <w:t xml:space="preserve">Life insurance premiums when the company is the beneficiary</w:t>
            </w:r>
          </w:p>
        </w:tc>
        <w:tc>
          <w:tcPr>
            <w:tcW w:type="pct" w:w="1214"/>
            <w:tcMar>
              <w:top w:type="dxa" w:w="50"/>
              <w:left w:type="dxa" w:w="110"/>
              <w:bottom w:type="dxa" w:w="50"/>
              <w:right w:type="dxa" w:w="110"/>
            </w:tcMar>
          </w:tcPr>
          <w:p>
            <w:pPr>
              <w:spacing w:before="26" w:after="26"/>
            </w:pPr>
            <w:r>
              <w:rPr>
                <w:color w:val="232733"/>
                <w:sz w:val="16"/>
                <w:szCs w:val="16"/>
              </w:rPr>
              <w:t xml:space="preserve">Permanent</w:t>
            </w:r>
          </w:p>
        </w:tc>
        <w:tc>
          <w:tcPr>
            <w:tcW w:type="pct" w:w="1186"/>
            <w:tcMar>
              <w:top w:type="dxa" w:w="50"/>
              <w:left w:type="dxa" w:w="110"/>
              <w:bottom w:type="dxa" w:w="50"/>
              <w:right w:type="dxa" w:w="110"/>
            </w:tcMar>
          </w:tcPr>
          <w:p>
            <w:pPr>
              <w:spacing w:before="26" w:after="26"/>
            </w:pPr>
            <w:r>
              <w:rPr>
                <w:color w:val="232733"/>
                <w:sz w:val="16"/>
                <w:szCs w:val="16"/>
              </w:rPr>
              <w:t xml:space="preserve">None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way does it go?</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Tax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faster than book: less tax now, more later: deferred tax liability. </w:t>
      </w:r>
      <w:r>
        <w:rPr>
          <w:sz w:val="19"/>
          <w:szCs w:val="19"/>
        </w:rPr>
        <w:t xml:space="preserve">Warranty accrued now,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when paid: more tax now, less later: deferred tax asset. </w:t>
      </w:r>
      <w:r>
        <w:rPr>
          <w:sz w:val="19"/>
          <w:szCs w:val="19"/>
        </w:rPr>
        <w:t xml:space="preserve">Fines and municipal interest: permanent, no deferred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deductible   ·   temporary difference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income   ·   tax basis   ·   deductible temporary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الأساس الضريبي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Temporary and permanent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reverses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deductible temporary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Tax-exempt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tax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temporary difference arises when the tax basis of an asset or liability differs from its carrying amount on the balance sheet. A taxable temporary difference will increase future taxable income; a deductible temporary difference will reduce it. A permanent difference never reverses. The item is in book income but never in taxable income, or the reverse. Tax-exempt municipal bond interest and fines are common examples. Permanent differences create no deferred tax; they only change the effective tax rate.</w:t>
      </w:r>
    </w:p>
    <w:p>
      <w:pPr>
        <w:spacing w:before="20" w:after="20"/>
        <w:ind w:left="240" w:hanging="240"/>
      </w:pPr>
      <w:r>
        <w:rPr>
          <w:b/>
          <w:bCs/>
          <w:color w:val="353A7C"/>
          <w:sz w:val="15"/>
          <w:szCs w:val="15"/>
        </w:rPr>
        <w:t xml:space="preserve">Summary 2   </w:t>
      </w:r>
      <w:r>
        <w:rPr>
          <w:color w:val="6B7280"/>
          <w:sz w:val="15"/>
          <w:szCs w:val="15"/>
        </w:rPr>
        <w:t xml:space="preserve">Tax depreciation faster than book: less tax now, more later: deferred tax liability. Warranty accrued now, deductible when paid: more tax now, less later: deferred tax asset. Fines and municipal interest: permanent, no deferred tax.</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Measuring current and deferred taxes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U.S. GAAP uses the balance sheet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tax is taxable income times the tax rate. </w:t>
      </w:r>
      <w:r>
        <w:rPr>
          <w:sz w:val="19"/>
          <w:szCs w:val="19"/>
        </w:rPr>
        <w:t xml:space="preserve">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assets are the temporary differences times the enacted tax rate that will apply when they reverse. </w:t>
      </w:r>
      <w:r>
        <w:rPr>
          <w:sz w:val="19"/>
          <w:szCs w:val="19"/>
        </w:rPr>
        <w:t xml:space="preserve">Deferred tax expense is the change in the net deferred tax liability during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approach   ·   liabilities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2026 income tax</w:t>
            </w:r>
          </w:p>
        </w:tc>
      </w:tr>
    </w:tbl>
    <w:p/>
    <w:p>
      <w:pPr>
        <w:spacing w:before="44" w:after="14"/>
      </w:pPr>
      <w:r>
        <w:rPr>
          <w:b/>
          <w:bCs/>
          <w:color w:val="353A7C"/>
          <w:sz w:val="18"/>
          <w:szCs w:val="18"/>
        </w:rPr>
        <w:t xml:space="preserve">Summary 2</w:t>
      </w:r>
      <w:r>
        <w:rPr>
          <w:color w:val="6B7280"/>
          <w:sz w:val="16"/>
          <w:szCs w:val="16"/>
        </w:rPr>
        <w:t xml:space="preserve">      gaps 4–8</w:t>
      </w:r>
    </w:p>
    <w:p>
      <w:pPr>
        <w:spacing w:before="20" w:after="20" w:line="360" w:lineRule="auto"/>
        <w:ind w:left="200"/>
      </w:pPr>
      <w:r>
        <w:rPr>
          <w:sz w:val="19"/>
          <w:szCs w:val="19"/>
        </w:rPr>
        <w:t xml:space="preserve">Suppose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earns $2,000,000 before tax in 2026. </w:t>
      </w:r>
      <w:r>
        <w:rPr>
          <w:sz w:val="19"/>
          <w:szCs w:val="19"/>
        </w:rPr>
        <w:t xml:space="preserve">It removes the permanent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municipal interest of $20,000 and a fine of $10,000. </w:t>
      </w:r>
      <w:r>
        <w:rPr>
          <w:sz w:val="19"/>
          <w:szCs w:val="19"/>
        </w:rPr>
        <w:t xml:space="preserve">Tax law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100% bonus depreciation, but book depreciation is $300,000. </w:t>
      </w:r>
      <w:r>
        <w:rPr>
          <w:sz w:val="19"/>
          <w:szCs w:val="19"/>
        </w:rPr>
        <w:t xml:space="preserve">The difference of $600,000 reduces taxable income now: a taxable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difference.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warranty from Chapter 12 was expensed at $60,000, but only $22,000 of repairs were paid. </w:t>
      </w:r>
      <w:r>
        <w:rPr>
          <w:sz w:val="19"/>
          <w:szCs w:val="19"/>
        </w:rPr>
        <w:t xml:space="preserve">The $38,000 not yet deductible increases taxable income now.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allows   ·   effective tax rate   ·   differences   ·   temporary   ·   Orontes   ·   dispenser</w:t>
            </w:r>
          </w:p>
        </w:tc>
      </w:tr>
    </w:tbl>
    <w:p/>
    <w:p>
      <w:pPr>
        <w:spacing w:before="44" w:after="10"/>
      </w:pPr>
      <w:r>
        <w:rPr>
          <w:b/>
          <w:bCs/>
          <w:color w:val="353A7C"/>
          <w:sz w:val="18"/>
          <w:szCs w:val="18"/>
        </w:rPr>
        <w:t xml:space="preserve">Suppose: Orontes's 2026 taxable income and current tax</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tax position   ·   Current tax expense at 25%</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Deferred taxes follow from the same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creates a deferred tax liability of $150,000, and the warranty a deferred tax asset of $9,500. </w:t>
      </w:r>
      <w:r>
        <w:rPr>
          <w:sz w:val="19"/>
          <w:szCs w:val="19"/>
        </w:rPr>
        <w:t xml:space="preserve">Deferred tax expense is $140,500, so total income tax expense is $497,500.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deferred tax asset   ·   differences</w:t>
            </w:r>
          </w:p>
        </w:tc>
      </w:tr>
    </w:tbl>
    <w:p/>
    <w:p>
      <w:pPr>
        <w:pageBreakBefore w:val="true"/>
        <w:spacing w:after="0"/>
      </w:pPr>
      <w:r>
        <w:rPr>
          <w:sz w:val="2"/>
        </w:rPr>
        <w:t xml:space="preserve"> </w:t>
      </w:r>
    </w:p>
    <w:p>
      <w:pPr>
        <w:spacing w:before="44" w:after="10"/>
      </w:pPr>
      <w:r>
        <w:rPr>
          <w:b/>
          <w:bCs/>
          <w:color w:val="353A7C"/>
          <w:sz w:val="18"/>
          <w:szCs w:val="18"/>
        </w:rPr>
        <w:t xml:space="preserve">Suppose: Orontes's 2026 income tax expense and rate reconciliation</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 income tax expense   ·   enacted tax 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the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61"/>
        <w:gridCol w:w="224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the differences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230"/>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170"/>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600"/>
            <w:tcMar>
              <w:top w:type="dxa" w:w="50"/>
              <w:left w:type="dxa" w:w="110"/>
              <w:bottom w:type="dxa" w:w="50"/>
              <w:right w:type="dxa" w:w="110"/>
            </w:tcMar>
          </w:tcPr>
          <w:p>
            <w:pPr>
              <w:spacing w:before="28" w:after="28"/>
            </w:pPr>
            <w:r>
              <w:rPr>
                <w:sz w:val="15"/>
                <w:szCs w:val="15"/>
              </w:rPr>
              <w:t xml:space="preserve">Tax-exempt municipal bond interest</w:t>
            </w:r>
          </w:p>
        </w:tc>
        <w:tc>
          <w:tcPr>
            <w:tcW w:type="pct" w:w="1230"/>
            <w:tcMar>
              <w:top w:type="dxa" w:w="50"/>
              <w:left w:type="dxa" w:w="110"/>
              <w:bottom w:type="dxa" w:w="50"/>
              <w:right w:type="dxa" w:w="110"/>
            </w:tcMar>
          </w:tcPr>
          <w:p>
            <w:pPr>
              <w:spacing w:before="28" w:after="28"/>
            </w:pPr>
            <w:r>
              <w:rPr>
                <w:sz w:val="15"/>
                <w:szCs w:val="15"/>
              </w:rPr>
              <w:t xml:space="preserve">Permanent</w:t>
            </w:r>
          </w:p>
        </w:tc>
        <w:tc>
          <w:tcPr>
            <w:tcW w:type="pct" w:w="117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Tax depreciation faster than book depreciation</w:t>
            </w:r>
          </w:p>
        </w:tc>
        <w:tc>
          <w:tcPr>
            <w:tcW w:type="pct" w:w="123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70"/>
            <w:shd w:fill="FBFAF6" w:val="clear"/>
            <w:tcMar>
              <w:top w:type="dxa" w:w="50"/>
              <w:left w:type="dxa" w:w="110"/>
              <w:bottom w:type="dxa" w:w="50"/>
              <w:right w:type="dxa" w:w="110"/>
            </w:tcMar>
          </w:tcPr>
          <w:p>
            <w:pPr>
              <w:spacing w:before="28" w:after="28"/>
            </w:pPr>
            <w:r>
              <w:rPr>
                <w:sz w:val="15"/>
                <w:szCs w:val="15"/>
              </w:rPr>
              <w:t xml:space="preserve">DTL</w:t>
            </w:r>
          </w:p>
        </w:tc>
      </w:tr>
      <w:tr>
        <w:tc>
          <w:tcPr>
            <w:tcW w:type="pct" w:w="2600"/>
            <w:tcMar>
              <w:top w:type="dxa" w:w="50"/>
              <w:left w:type="dxa" w:w="110"/>
              <w:bottom w:type="dxa" w:w="50"/>
              <w:right w:type="dxa" w:w="110"/>
            </w:tcMar>
          </w:tcPr>
          <w:p>
            <w:pPr>
              <w:spacing w:before="28" w:after="28"/>
            </w:pPr>
            <w:r>
              <w:rPr>
                <w:sz w:val="15"/>
                <w:szCs w:val="15"/>
              </w:rPr>
              <w:t xml:space="preserve">Warranty expense accrued now, deducted for tax when repairs are paid</w:t>
            </w:r>
          </w:p>
        </w:tc>
        <w:tc>
          <w:tcPr>
            <w:tcW w:type="pct" w:w="1230"/>
            <w:tcMar>
              <w:top w:type="dxa" w:w="50"/>
              <w:left w:type="dxa" w:w="110"/>
              <w:bottom w:type="dxa" w:w="50"/>
              <w:right w:type="dxa" w:w="110"/>
            </w:tcMar>
          </w:tcPr>
          <w:p>
            <w:pPr>
              <w:spacing w:before="28" w:after="28"/>
            </w:pPr>
            <w:r>
              <w:rPr>
                <w:sz w:val="15"/>
                <w:szCs w:val="15"/>
              </w:rPr>
              <w:t xml:space="preserve">________</w:t>
            </w:r>
          </w:p>
        </w:tc>
        <w:tc>
          <w:tcPr>
            <w:tcW w:type="pct" w:w="117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Fine for breaking an environmental law</w:t>
            </w:r>
          </w:p>
        </w:tc>
        <w:tc>
          <w:tcPr>
            <w:tcW w:type="pct" w:w="1230"/>
            <w:shd w:fill="FBFAF6" w:val="clear"/>
            <w:tcMar>
              <w:top w:type="dxa" w:w="50"/>
              <w:left w:type="dxa" w:w="110"/>
              <w:bottom w:type="dxa" w:w="50"/>
              <w:right w:type="dxa" w:w="110"/>
            </w:tcMar>
          </w:tcPr>
          <w:p>
            <w:pPr>
              <w:spacing w:before="28" w:after="28"/>
            </w:pPr>
            <w:r>
              <w:rPr>
                <w:sz w:val="15"/>
                <w:szCs w:val="15"/>
              </w:rPr>
              <w:t xml:space="preserve">________</w:t>
            </w:r>
          </w:p>
        </w:tc>
        <w:tc>
          <w:tcPr>
            <w:tcW w:type="pct" w:w="117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230"/>
            <w:tcMar>
              <w:top w:type="dxa" w:w="50"/>
              <w:left w:type="dxa" w:w="110"/>
              <w:bottom w:type="dxa" w:w="50"/>
              <w:right w:type="dxa" w:w="110"/>
            </w:tcMar>
          </w:tcPr>
          <w:p>
            <w:pPr>
              <w:spacing w:before="28" w:after="28"/>
            </w:pPr>
            <w:r>
              <w:rPr>
                <w:sz w:val="15"/>
                <w:szCs w:val="15"/>
              </w:rPr>
              <w:t xml:space="preserve">________</w:t>
            </w:r>
          </w:p>
        </w:tc>
        <w:tc>
          <w:tcPr>
            <w:tcW w:type="pct" w:w="117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Equity-method income, taxed only when dividends are received</w:t>
            </w:r>
          </w:p>
        </w:tc>
        <w:tc>
          <w:tcPr>
            <w:tcW w:type="pct" w:w="1230"/>
            <w:shd w:fill="FBFAF6" w:val="clear"/>
            <w:tcMar>
              <w:top w:type="dxa" w:w="50"/>
              <w:left w:type="dxa" w:w="110"/>
              <w:bottom w:type="dxa" w:w="50"/>
              <w:right w:type="dxa" w:w="110"/>
            </w:tcMar>
          </w:tcPr>
          <w:p>
            <w:pPr>
              <w:spacing w:before="28" w:after="28"/>
            </w:pPr>
            <w:r>
              <w:rPr>
                <w:sz w:val="15"/>
                <w:szCs w:val="15"/>
              </w:rPr>
              <w:t xml:space="preserve">________</w:t>
            </w:r>
          </w:p>
        </w:tc>
        <w:tc>
          <w:tcPr>
            <w:tcW w:type="pct" w:w="117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DTL   ·   Temporary, taxable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interperiod tax allocation   ·   enacted tax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400"/>
            <w:tcMar>
              <w:top w:type="dxa" w:w="50"/>
              <w:left w:type="dxa" w:w="110"/>
              <w:bottom w:type="dxa" w:w="50"/>
              <w:right w:type="dxa" w:w="110"/>
            </w:tcMar>
          </w:tcPr>
          <w:p>
            <w:pPr>
              <w:spacing w:before="26" w:after="26"/>
            </w:pPr>
            <w:r>
              <w:rPr>
                <w:color w:val="232733"/>
                <w:sz w:val="16"/>
                <w:szCs w:val="16"/>
              </w:rPr>
              <w:t xml:space="preserve">enacted tax rate</w:t>
            </w:r>
          </w:p>
        </w:tc>
        <w:tc>
          <w:tcPr>
            <w:tcW w:type="pct" w:w="2600"/>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tax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Measuring current and deferred taxes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Current tax expense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Total 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temporary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enacted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dispenser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effective tax rate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before="20" w:after="20"/>
        <w:ind w:left="240" w:hanging="240"/>
      </w:pPr>
      <w:r>
        <w:rPr>
          <w:b/>
          <w:bCs/>
          <w:color w:val="353A7C"/>
          <w:sz w:val="15"/>
          <w:szCs w:val="15"/>
        </w:rPr>
        <w:t xml:space="preserve">Summary 2   </w:t>
      </w:r>
      <w:r>
        <w:rPr>
          <w:color w:val="6B7280"/>
          <w:sz w:val="15"/>
          <w:szCs w:val="15"/>
        </w:rPr>
        <w:t xml:space="preserve">Suppose Orontes earns $2,000,000 before tax in 2026. It removes the permanent differences: municipal interest of $20,000 and a fine of $10,000. Tax law allows 100% bonus depreciation, but book depreciation is $300,000. The difference of $600,000 reduces taxable income now: a taxable temporary difference. The dispenser warranty from Chapter 12 was expensed at $60,000, but only $22,000 of repairs were paid. The $38,000 not yet deductible increases taxable income now.</w:t>
      </w:r>
    </w:p>
    <w:p>
      <w:pPr>
        <w:spacing w:before="20" w:after="20"/>
        <w:ind w:left="240" w:hanging="240"/>
      </w:pPr>
      <w:r>
        <w:rPr>
          <w:b/>
          <w:bCs/>
          <w:color w:val="353A7C"/>
          <w:sz w:val="15"/>
          <w:szCs w:val="15"/>
        </w:rPr>
        <w:t xml:space="preserve">Summary 3   </w:t>
      </w:r>
      <w:r>
        <w:rPr>
          <w:color w:val="6B7280"/>
          <w:sz w:val="15"/>
          <w:szCs w:val="15"/>
        </w:rPr>
        <w:t xml:space="preserve">Deferred taxes follow from the same differences. The equipment creates a deferred tax liability of $150,000, and the warranty a deferred tax asset of $9,500. Deferred tax expense is $140,500, so total income tax expense is $497,500.</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Rate changes, valuation allowances, losses and presentation</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When a new tax law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rate,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deferred taxes at once. </w:t>
      </w:r>
      <w:r>
        <w:rPr>
          <w:sz w:val="19"/>
          <w:szCs w:val="19"/>
        </w:rPr>
        <w:t xml:space="preserve">The whole effect goes to income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operations in the period that includes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even if the original item was in OCI. </w:t>
      </w:r>
      <w:r>
        <w:rPr>
          <w:sz w:val="19"/>
          <w:szCs w:val="19"/>
        </w:rPr>
        <w:t xml:space="preserve">For example, a U.S. tax law signed on July 4, 2025 changed 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companies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effects in the quarter that included that date. </w:t>
      </w:r>
      <w:r>
        <w:rPr>
          <w:sz w:val="19"/>
          <w:szCs w:val="19"/>
        </w:rPr>
        <w:t xml:space="preserve">A tax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net operating loss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which is a deferred tax asset. </w:t>
      </w:r>
      <w:r>
        <w:rPr>
          <w:sz w:val="19"/>
          <w:szCs w:val="19"/>
        </w:rPr>
        <w:t xml:space="preserve">Under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 federal law, most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cannot be carried back. </w:t>
      </w:r>
      <w:r>
        <w:rPr>
          <w:sz w:val="19"/>
          <w:szCs w:val="19"/>
        </w:rPr>
        <w:t xml:space="preserve">They can be carried forward without a time limit, but they can reduce only 80% of taxable income in any year. </w:t>
      </w:r>
      <w:r>
        <w:rPr>
          <w:sz w:val="19"/>
          <w:szCs w:val="19"/>
        </w:rPr>
        <w:t xml:space="preserve">All deferred tax assets and liabilities are noncurrent. </w:t>
      </w:r>
      <w:r>
        <w:rPr>
          <w:sz w:val="19"/>
          <w:szCs w:val="19"/>
        </w:rPr>
        <w:t xml:space="preserve">Within one tax jurisdiction they are offset and shown as one net amount. </w:t>
      </w:r>
      <w:r>
        <w:rPr>
          <w:sz w:val="19"/>
          <w:szCs w:val="19"/>
        </w:rPr>
        <w:t xml:space="preserve">This is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deduction   ·   remeasures   ·   carryforward   ·   uncertain tax position   ·   changes   ·   losses   ·   recorded   ·   continuing   ·   creates   ·   enactment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Rate and allowance traps</w:t>
            </w:r>
          </w:p>
        </w:tc>
      </w:tr>
    </w:tbl>
    <w:p/>
    <w:p>
      <w:pPr>
        <w:spacing w:before="44" w:after="14"/>
      </w:pPr>
      <w:r>
        <w:rPr>
          <w:b/>
          <w:bCs/>
          <w:color w:val="353A7C"/>
          <w:sz w:val="18"/>
          <w:szCs w:val="18"/>
        </w:rPr>
        <w:t xml:space="preserve">Summary 2</w:t>
      </w:r>
      <w:r>
        <w:rPr>
          <w:color w:val="6B7280"/>
          <w:sz w:val="16"/>
          <w:szCs w:val="16"/>
        </w:rPr>
        <w:t xml:space="preserve">      gaps 11–16</w:t>
      </w:r>
    </w:p>
    <w:p>
      <w:pPr>
        <w:spacing w:before="20" w:after="20" w:line="360" w:lineRule="auto"/>
        <w:ind w:left="200"/>
      </w:pPr>
      <w:r>
        <w:rPr>
          <w:sz w:val="19"/>
          <w:szCs w:val="19"/>
        </w:rPr>
        <w:t xml:space="preserve">Use enacted rates only;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but unsigned rate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Record the full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a rate change 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when the law is enacted. </w:t>
      </w:r>
      <w:r>
        <w:rPr>
          <w:sz w:val="19"/>
          <w:szCs w:val="19"/>
        </w:rPr>
        <w:t xml:space="preserve">Record the full DTA, then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allowance: do not record only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part. </w:t>
      </w:r>
      <w:r>
        <w:rPr>
          <w:sz w:val="19"/>
          <w:szCs w:val="19"/>
        </w:rPr>
        <w:t xml:space="preserve">An uncertain tax position is recognized only if it is more likely than not to be accepted by the tax authority. </w:t>
      </w:r>
      <w:r>
        <w:rPr>
          <w:sz w:val="19"/>
          <w:szCs w:val="19"/>
        </w:rPr>
        <w:t xml:space="preserve">The global minimum tax (Pillar Two) is treated as a current cost in the year it arises, with no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announced   ·   uncertain tax position   ·   valuation   ·   probable   ·   ignored   ·   effect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valuation allowance   ·   intraperiod tax allocation   ·   net operating loss carryforward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r>
        <w:tc>
          <w:tcPr>
            <w:tcW w:type="pct" w:w="2600"/>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tcMar>
              <w:top w:type="dxa" w:w="50"/>
              <w:left w:type="dxa" w:w="110"/>
              <w:bottom w:type="dxa" w:w="50"/>
              <w:right w:type="dxa" w:w="110"/>
            </w:tcMar>
          </w:tcPr>
          <w:p>
            <w:pPr>
              <w:spacing w:before="26" w:after="26"/>
            </w:pPr>
            <w:r>
              <w:rPr>
                <w:color w:val="232733"/>
                <w:sz w:val="16"/>
                <w:szCs w:val="16"/>
              </w:rPr>
              <w:t xml:space="preserve">مركز ضريبي غير مؤكد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Rate changes, valuation allowances, losses and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announced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ignored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enactment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carryforward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net operating loss carryforward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intraperiod tax allocation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quarter that included that date. A tax loss creates a net operating loss carryforward, which is a deferred tax asset. Under current U.S. federal law, most losses cannot be carried back. They can be carried forward without a time limit, but they can reduce only 80% of taxable income in any year. All deferred tax assets and liabilities are noncurrent. Within one tax jurisdiction they are offset and shown as one net amount. This is intraperiod tax allocation.</w:t>
      </w:r>
    </w:p>
    <w:p>
      <w:pPr>
        <w:spacing w:before="20" w:after="20"/>
        <w:ind w:left="240" w:hanging="240"/>
      </w:pPr>
      <w:r>
        <w:rPr>
          <w:b/>
          <w:bCs/>
          <w:color w:val="353A7C"/>
          <w:sz w:val="15"/>
          <w:szCs w:val="15"/>
        </w:rPr>
        <w:t xml:space="preserve">Summary 2   </w:t>
      </w:r>
      <w:r>
        <w:rPr>
          <w:color w:val="6B7280"/>
          <w:sz w:val="15"/>
          <w:szCs w:val="15"/>
        </w:rPr>
        <w:t xml:space="preserve">Use enacted rates only; an announced but unsigned rate is ignored.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 The global minimum tax (Pillar Two) is treated as a current cost in the year it arises, with no deferred taxes.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IFRS differences and disclosures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98"/>
        <w:gridCol w:w="4448"/>
        <w:gridCol w:w="325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taxes: U.S. GAAP (ASC 740) and IFRS (IAS 12)</w:t>
            </w:r>
          </w:p>
        </w:tc>
      </w:tr>
      <w:tr>
        <w:tc>
          <w:tcPr>
            <w:tcW w:type="pct" w:w="989"/>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317"/>
            <w:shd w:fill="353A7C" w:val="clear"/>
            <w:tcMar>
              <w:top w:type="dxa" w:w="50"/>
              <w:left w:type="dxa" w:w="110"/>
              <w:bottom w:type="dxa" w:w="50"/>
              <w:right w:type="dxa" w:w="110"/>
            </w:tcMar>
          </w:tcPr>
          <w:p>
            <w:pPr>
              <w:spacing w:before="30" w:after="30"/>
            </w:pPr>
            <w:r>
              <w:rPr>
                <w:b/>
                <w:bCs/>
                <w:color w:val="FFFFFF"/>
                <w:sz w:val="15"/>
                <w:szCs w:val="15"/>
              </w:rPr>
              <w:t xml:space="preserve">U.S. GAAP (ASC 740)</w:t>
            </w:r>
          </w:p>
        </w:tc>
        <w:tc>
          <w:tcPr>
            <w:tcW w:type="pct" w:w="1695"/>
            <w:shd w:fill="353A7C" w:val="clear"/>
            <w:tcMar>
              <w:top w:type="dxa" w:w="50"/>
              <w:left w:type="dxa" w:w="110"/>
              <w:bottom w:type="dxa" w:w="50"/>
              <w:right w:type="dxa" w:w="110"/>
            </w:tcMar>
          </w:tcPr>
          <w:p>
            <w:pPr>
              <w:spacing w:before="30" w:after="30"/>
            </w:pPr>
            <w:r>
              <w:rPr>
                <w:b/>
                <w:bCs/>
                <w:color w:val="FFFFFF"/>
                <w:sz w:val="15"/>
                <w:szCs w:val="15"/>
              </w:rPr>
              <w:t xml:space="preserve">IFRS (IAS 12)</w:t>
            </w:r>
          </w:p>
        </w:tc>
      </w:tr>
      <w:tr>
        <w:tc>
          <w:tcPr>
            <w:tcW w:type="pct" w:w="989"/>
            <w:tcMar>
              <w:top w:type="dxa" w:w="50"/>
              <w:left w:type="dxa" w:w="110"/>
              <w:bottom w:type="dxa" w:w="50"/>
              <w:right w:type="dxa" w:w="110"/>
            </w:tcMar>
          </w:tcPr>
          <w:p>
            <w:pPr>
              <w:spacing w:before="28" w:after="28"/>
            </w:pPr>
            <w:r>
              <w:rPr>
                <w:sz w:val="15"/>
                <w:szCs w:val="15"/>
              </w:rPr>
              <w:t xml:space="preserve">Recognizing deferred tax assets</w:t>
            </w:r>
          </w:p>
        </w:tc>
        <w:tc>
          <w:tcPr>
            <w:tcW w:type="pct" w:w="2317"/>
            <w:tcMar>
              <w:top w:type="dxa" w:w="50"/>
              <w:left w:type="dxa" w:w="110"/>
              <w:bottom w:type="dxa" w:w="50"/>
              <w:right w:type="dxa" w:w="110"/>
            </w:tcMar>
          </w:tcPr>
          <w:p>
            <w:pPr>
              <w:spacing w:before="28" w:after="28"/>
            </w:pPr>
            <w:r>
              <w:rPr>
                <w:sz w:val="15"/>
                <w:szCs w:val="15"/>
              </w:rPr>
              <w:t xml:space="preserve">Record the full DTA, then a valuation allowance if realization is not more likely than not</w:t>
            </w:r>
          </w:p>
        </w:tc>
        <w:tc>
          <w:tcPr>
            <w:tcW w:type="pct" w:w="1695"/>
            <w:tcMar>
              <w:top w:type="dxa" w:w="50"/>
              <w:left w:type="dxa" w:w="110"/>
              <w:bottom w:type="dxa" w:w="50"/>
              <w:right w:type="dxa" w:w="110"/>
            </w:tcMar>
          </w:tcPr>
          <w:p>
            <w:pPr>
              <w:spacing w:before="28" w:after="28"/>
            </w:pPr>
            <w:r>
              <w:rPr>
                <w:sz w:val="15"/>
                <w:szCs w:val="15"/>
              </w:rPr>
              <w:t xml:space="preserve">Recognize only the amount for which taxable profit is probable</w:t>
            </w:r>
          </w:p>
        </w:tc>
      </w:tr>
      <w:tr>
        <w:tc>
          <w:tcPr>
            <w:tcW w:type="pct" w:w="989"/>
            <w:shd w:fill="FBFAF6" w:val="clear"/>
            <w:tcMar>
              <w:top w:type="dxa" w:w="50"/>
              <w:left w:type="dxa" w:w="110"/>
              <w:bottom w:type="dxa" w:w="50"/>
              <w:right w:type="dxa" w:w="110"/>
            </w:tcMar>
          </w:tcPr>
          <w:p>
            <w:pPr>
              <w:spacing w:before="28" w:after="28"/>
            </w:pPr>
            <w:r>
              <w:rPr>
                <w:sz w:val="15"/>
                <w:szCs w:val="15"/>
              </w:rPr>
              <w:t xml:space="preserve">Tax rate</w:t>
            </w:r>
          </w:p>
        </w:tc>
        <w:tc>
          <w:tcPr>
            <w:tcW w:type="pct" w:w="2317"/>
            <w:shd w:fill="FBFAF6" w:val="clear"/>
            <w:tcMar>
              <w:top w:type="dxa" w:w="50"/>
              <w:left w:type="dxa" w:w="110"/>
              <w:bottom w:type="dxa" w:w="50"/>
              <w:right w:type="dxa" w:w="110"/>
            </w:tcMar>
          </w:tcPr>
          <w:p>
            <w:pPr>
              <w:spacing w:before="28" w:after="28"/>
            </w:pPr>
            <w:r>
              <w:rPr>
                <w:sz w:val="15"/>
                <w:szCs w:val="15"/>
              </w:rPr>
              <w:t xml:space="preserve">Enacted rates only</w:t>
            </w:r>
          </w:p>
        </w:tc>
        <w:tc>
          <w:tcPr>
            <w:tcW w:type="pct" w:w="1695"/>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989"/>
            <w:tcMar>
              <w:top w:type="dxa" w:w="50"/>
              <w:left w:type="dxa" w:w="110"/>
              <w:bottom w:type="dxa" w:w="50"/>
              <w:right w:type="dxa" w:w="110"/>
            </w:tcMar>
          </w:tcPr>
          <w:p>
            <w:pPr>
              <w:spacing w:before="28" w:after="28"/>
            </w:pPr>
            <w:r>
              <w:rPr>
                <w:sz w:val="15"/>
                <w:szCs w:val="15"/>
              </w:rPr>
              <w:t xml:space="preserve">Initial recognition exemption</w:t>
            </w:r>
          </w:p>
        </w:tc>
        <w:tc>
          <w:tcPr>
            <w:tcW w:type="pct" w:w="2317"/>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95"/>
            <w:tcMar>
              <w:top w:type="dxa" w:w="50"/>
              <w:left w:type="dxa" w:w="110"/>
              <w:bottom w:type="dxa" w:w="50"/>
              <w:right w:type="dxa" w:w="110"/>
            </w:tcMar>
          </w:tcPr>
          <w:p>
            <w:pPr>
              <w:spacing w:before="28" w:after="28"/>
            </w:pPr>
            <w:r>
              <w:rPr>
                <w:sz w:val="15"/>
                <w:szCs w:val="15"/>
              </w:rPr>
              <w:t xml:space="preserve">Yes, outside business combinations (narrowed in 2021)</w:t>
            </w:r>
          </w:p>
        </w:tc>
      </w:tr>
      <w:tr>
        <w:tc>
          <w:tcPr>
            <w:tcW w:type="pct" w:w="989"/>
            <w:shd w:fill="FBFAF6" w:val="clear"/>
            <w:tcMar>
              <w:top w:type="dxa" w:w="50"/>
              <w:left w:type="dxa" w:w="110"/>
              <w:bottom w:type="dxa" w:w="50"/>
              <w:right w:type="dxa" w:w="110"/>
            </w:tcMar>
          </w:tcPr>
          <w:p>
            <w:pPr>
              <w:spacing w:before="28" w:after="28"/>
            </w:pPr>
            <w:r>
              <w:rPr>
                <w:sz w:val="15"/>
                <w:szCs w:val="15"/>
              </w:rPr>
              <w:t xml:space="preserve">Uncertain tax positions</w:t>
            </w:r>
          </w:p>
        </w:tc>
        <w:tc>
          <w:tcPr>
            <w:tcW w:type="pct" w:w="2317"/>
            <w:shd w:fill="FBFAF6" w:val="clear"/>
            <w:tcMar>
              <w:top w:type="dxa" w:w="50"/>
              <w:left w:type="dxa" w:w="110"/>
              <w:bottom w:type="dxa" w:w="50"/>
              <w:right w:type="dxa" w:w="110"/>
            </w:tcMar>
          </w:tcPr>
          <w:p>
            <w:pPr>
              <w:spacing w:before="28" w:after="28"/>
            </w:pPr>
            <w:r>
              <w:rPr>
                <w:sz w:val="15"/>
                <w:szCs w:val="15"/>
              </w:rPr>
              <w:t xml:space="preserve">Two steps: more likely than not, then largest amount over 50% likely</w:t>
            </w:r>
          </w:p>
        </w:tc>
        <w:tc>
          <w:tcPr>
            <w:tcW w:type="pct" w:w="1695"/>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989"/>
            <w:tcMar>
              <w:top w:type="dxa" w:w="50"/>
              <w:left w:type="dxa" w:w="110"/>
              <w:bottom w:type="dxa" w:w="50"/>
              <w:right w:type="dxa" w:w="110"/>
            </w:tcMar>
          </w:tcPr>
          <w:p>
            <w:pPr>
              <w:spacing w:before="28" w:after="28"/>
            </w:pPr>
            <w:r>
              <w:rPr>
                <w:sz w:val="15"/>
                <w:szCs w:val="15"/>
              </w:rPr>
              <w:t xml:space="preserve">Balance sheet classification</w:t>
            </w:r>
          </w:p>
        </w:tc>
        <w:tc>
          <w:tcPr>
            <w:tcW w:type="pct" w:w="2317"/>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695"/>
            <w:tcMar>
              <w:top w:type="dxa" w:w="50"/>
              <w:left w:type="dxa" w:w="110"/>
              <w:bottom w:type="dxa" w:w="50"/>
              <w:right w:type="dxa" w:w="110"/>
            </w:tcMar>
          </w:tcPr>
          <w:p>
            <w:pPr>
              <w:spacing w:before="28" w:after="28"/>
            </w:pPr>
            <w:r>
              <w:rPr>
                <w:sz w:val="15"/>
                <w:szCs w:val="15"/>
              </w:rPr>
              <w:t xml:space="preserve">Non-current</w:t>
            </w:r>
          </w:p>
        </w:tc>
      </w:tr>
      <w:tr>
        <w:tc>
          <w:tcPr>
            <w:tcW w:type="pct" w:w="989"/>
            <w:shd w:fill="FBFAF6" w:val="clear"/>
            <w:tcMar>
              <w:top w:type="dxa" w:w="50"/>
              <w:left w:type="dxa" w:w="110"/>
              <w:bottom w:type="dxa" w:w="50"/>
              <w:right w:type="dxa" w:w="110"/>
            </w:tcMar>
          </w:tcPr>
          <w:p>
            <w:pPr>
              <w:spacing w:before="28" w:after="28"/>
            </w:pPr>
            <w:r>
              <w:rPr>
                <w:sz w:val="15"/>
                <w:szCs w:val="15"/>
              </w:rPr>
              <w:t xml:space="preserve">Pillar Two top-up tax</w:t>
            </w:r>
          </w:p>
        </w:tc>
        <w:tc>
          <w:tcPr>
            <w:tcW w:type="pct" w:w="2317"/>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95"/>
            <w:shd w:fill="FBFAF6" w:val="clear"/>
            <w:tcMar>
              <w:top w:type="dxa" w:w="50"/>
              <w:left w:type="dxa" w:w="110"/>
              <w:bottom w:type="dxa" w:w="50"/>
              <w:right w:type="dxa" w:w="110"/>
            </w:tcMar>
          </w:tcPr>
          <w:p>
            <w:pPr>
              <w:spacing w:before="28" w:after="28"/>
            </w:pPr>
            <w:r>
              <w:rPr>
                <w:sz w:val="15"/>
                <w:szCs w:val="15"/>
              </w:rPr>
              <w:t xml:space="preserve">Mandatory exception; no deferred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no deferred tax   ·   None in general   ·   Enacted or substantively enacted rates   ·   Noncurrent   ·   Enacted rates only   ·   IFRIC 23: most likely amount or expected value</w:t>
            </w:r>
          </w:p>
        </w:tc>
      </w:tr>
    </w:tbl>
    <w:p/>
    <w:p>
      <w:pPr>
        <w:spacing w:before="44" w:after="14"/>
      </w:pPr>
      <w:r>
        <w:rPr>
          <w:b/>
          <w:bCs/>
          <w:color w:val="353A7C"/>
          <w:sz w:val="18"/>
          <w:szCs w:val="18"/>
        </w:rPr>
        <w:t xml:space="preserve">Summary 1</w:t>
      </w:r>
      <w:r>
        <w:rPr>
          <w:color w:val="6B7280"/>
          <w:sz w:val="16"/>
          <w:szCs w:val="16"/>
        </w:rPr>
        <w:t xml:space="preserve">      gaps 6–11</w:t>
      </w:r>
    </w:p>
    <w:p>
      <w:pPr>
        <w:spacing w:before="20" w:after="20" w:line="360" w:lineRule="auto"/>
        <w:ind w:left="200"/>
      </w:pPr>
      <w:r>
        <w:rPr>
          <w:sz w:val="19"/>
          <w:szCs w:val="19"/>
        </w:rPr>
        <w:t xml:space="preserve">ASU 2023-09 is testable now for public companies. </w:t>
      </w:r>
      <w:r>
        <w:rPr>
          <w:sz w:val="19"/>
          <w:szCs w:val="19"/>
        </w:rPr>
        <w:t xml:space="preserve">They show a 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dollars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with eight standard categories, and they list separately any item of at least 5% of pretax income times the statutory rate. </w:t>
      </w:r>
      <w:r>
        <w:rPr>
          <w:sz w:val="19"/>
          <w:szCs w:val="19"/>
        </w:rPr>
        <w:t xml:space="preserve">They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income taxes paid by federal, state and foreign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For companies that are not public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entities, ASU 2023-09 applies to annual periods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after December 15, 2025. </w:t>
      </w:r>
      <w:r>
        <w:rPr>
          <w:sz w:val="19"/>
          <w:szCs w:val="19"/>
        </w:rPr>
        <w:t xml:space="preserve">That version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disclose   ·   jurisdictions   ·   business   ·   reconciliation   ·   effective tax rate   ·   percentages   ·   beginning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'Provision for income taxes'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U.S. companies often call income tax expense the provision for income taxes. </w:t>
      </w:r>
      <w:r>
        <w:rPr>
          <w:sz w:val="19"/>
          <w:szCs w:val="19"/>
        </w:rPr>
        <w:t xml:space="preserve">It is an expense, not an IAS 37 provision (مخصص) and not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Arabic مخصص التقييم, the valuation allowance, is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tax expense   ·   contra-asset   ·   reserve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'Provision for income taxes'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Barada Wholesale, 2027 (whole USD)</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Income before income taxes, 2027</w:t>
            </w:r>
          </w:p>
        </w:tc>
        <w:tc>
          <w:tcPr>
            <w:tcW w:type="pct" w:w="2600"/>
            <w:tcMar>
              <w:top w:type="dxa" w:w="50"/>
              <w:left w:type="dxa" w:w="110"/>
              <w:bottom w:type="dxa" w:w="50"/>
              <w:right w:type="dxa" w:w="110"/>
            </w:tcMar>
          </w:tcPr>
          <w:p>
            <w:pPr>
              <w:spacing w:before="26" w:after="26"/>
            </w:pPr>
            <w:r>
              <w:rPr>
                <w:color w:val="232733"/>
                <w:sz w:val="16"/>
                <w:szCs w:val="16"/>
              </w:rPr>
              <w:t xml:space="preserve">400,000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Tax-exempt municipal bond interest included in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12,000</w:t>
            </w:r>
          </w:p>
        </w:tc>
      </w:tr>
      <w:tr>
        <w:tc>
          <w:tcPr>
            <w:tcW w:type="pct" w:w="2400"/>
            <w:tcMar>
              <w:top w:type="dxa" w:w="50"/>
              <w:left w:type="dxa" w:w="110"/>
              <w:bottom w:type="dxa" w:w="50"/>
              <w:right w:type="dxa" w:w="110"/>
            </w:tcMar>
          </w:tcPr>
          <w:p>
            <w:pPr>
              <w:spacing w:before="26" w:after="26"/>
            </w:pPr>
            <w:r>
              <w:rPr>
                <w:color w:val="232733"/>
                <w:sz w:val="16"/>
                <w:szCs w:val="16"/>
              </w:rPr>
              <w:t xml:space="preserve">Fine for a late customs filing (not deductible)</w:t>
            </w:r>
          </w:p>
        </w:tc>
        <w:tc>
          <w:tcPr>
            <w:tcW w:type="pct" w:w="2600"/>
            <w:tcMar>
              <w:top w:type="dxa" w:w="50"/>
              <w:left w:type="dxa" w:w="110"/>
              <w:bottom w:type="dxa" w:w="50"/>
              <w:right w:type="dxa" w:w="110"/>
            </w:tcMar>
          </w:tcPr>
          <w:p>
            <w:pPr>
              <w:spacing w:before="26" w:after="26"/>
            </w:pPr>
            <w:r>
              <w:rPr>
                <w:color w:val="232733"/>
                <w:sz w:val="16"/>
                <w:szCs w:val="16"/>
              </w:rPr>
              <w:t xml:space="preserve">6,000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Tax depreciation above book depreciation in 2027</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60,000</w:t>
            </w:r>
          </w:p>
        </w:tc>
      </w:tr>
      <w:tr>
        <w:tc>
          <w:tcPr>
            <w:tcW w:type="pct" w:w="2400"/>
            <w:tcMar>
              <w:top w:type="dxa" w:w="50"/>
              <w:left w:type="dxa" w:w="110"/>
              <w:bottom w:type="dxa" w:w="50"/>
              <w:right w:type="dxa" w:w="110"/>
            </w:tcMar>
          </w:tcPr>
          <w:p>
            <w:pPr>
              <w:spacing w:before="26" w:after="26"/>
            </w:pPr>
            <w:r>
              <w:rPr>
                <w:color w:val="232733"/>
                <w:sz w:val="16"/>
                <w:szCs w:val="16"/>
              </w:rPr>
              <w:t xml:space="preserve">Warranty liability at December 31, 2027 (Chapter 12 case); repairs are deductible when paid</w:t>
            </w:r>
          </w:p>
        </w:tc>
        <w:tc>
          <w:tcPr>
            <w:tcW w:type="pct" w:w="2600"/>
            <w:tcMar>
              <w:top w:type="dxa" w:w="50"/>
              <w:left w:type="dxa" w:w="110"/>
              <w:bottom w:type="dxa" w:w="50"/>
              <w:right w:type="dxa" w:w="110"/>
            </w:tcMar>
          </w:tcPr>
          <w:p>
            <w:pPr>
              <w:spacing w:before="26" w:after="26"/>
            </w:pPr>
            <w:r>
              <w:rPr>
                <w:color w:val="232733"/>
                <w:sz w:val="16"/>
                <w:szCs w:val="16"/>
              </w:rPr>
              <w:t xml:space="preserve">18,000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M1</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enacted combined tax rate is 25% for 2027 and all later years.</w:t>
            </w:r>
          </w:p>
        </w:tc>
      </w:tr>
      <w:tr>
        <w:tc>
          <w:tcPr>
            <w:tcW w:type="pct" w:w="2400"/>
            <w:tcMar>
              <w:top w:type="dxa" w:w="50"/>
              <w:left w:type="dxa" w:w="110"/>
              <w:bottom w:type="dxa" w:w="50"/>
              <w:right w:type="dxa" w:w="110"/>
            </w:tcMar>
          </w:tcPr>
          <w:p>
            <w:pPr>
              <w:spacing w:before="26" w:after="26"/>
            </w:pPr>
            <w:r>
              <w:rPr>
                <w:color w:val="232733"/>
                <w:sz w:val="16"/>
                <w:szCs w:val="16"/>
              </w:rPr>
              <w:t xml:space="preserve">M2</w:t>
            </w:r>
          </w:p>
        </w:tc>
        <w:tc>
          <w:tcPr>
            <w:tcW w:type="pct" w:w="2600"/>
            <w:tcMar>
              <w:top w:type="dxa" w:w="50"/>
              <w:left w:type="dxa" w:w="110"/>
              <w:bottom w:type="dxa" w:w="50"/>
              <w:right w:type="dxa" w:w="110"/>
            </w:tcMar>
          </w:tcPr>
          <w:p>
            <w:pPr>
              <w:spacing w:before="26" w:after="26"/>
            </w:pPr>
            <w:r>
              <w:rPr>
                <w:color w:val="232733"/>
                <w:sz w:val="16"/>
                <w:szCs w:val="16"/>
              </w:rPr>
              <w:t xml:space="preserve">Barada had no temporary differences at January 1, 2027. All deferred taxes are in one tax jurisdiction.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Barada has been profitable for many years and expects to stay profitable.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Warranty expense accrued now</w:t>
            </w:r>
          </w:p>
        </w:tc>
        <w:tc>
          <w:tcPr>
            <w:tcW w:type="pct" w:w="2400"/>
            <w:tcMar>
              <w:top w:type="dxa" w:w="50"/>
              <w:left w:type="dxa" w:w="110"/>
              <w:bottom w:type="dxa" w:w="50"/>
              <w:right w:type="dxa" w:w="110"/>
            </w:tcMar>
          </w:tcPr>
          <w:p>
            <w:pPr>
              <w:spacing w:before="28" w:after="28"/>
            </w:pPr>
            <w:r>
              <w:rPr>
                <w:sz w:val="15"/>
                <w:szCs w:val="15"/>
              </w:rPr>
              <w:t xml:space="preserve">Temporary, deductible: DTA</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Fine for breaking the law</w:t>
            </w:r>
          </w:p>
        </w:tc>
        <w:tc>
          <w:tcPr>
            <w:tcW w:type="pct" w:w="2400"/>
            <w:shd w:fill="FBFAF6" w:val="clear"/>
            <w:tcMar>
              <w:top w:type="dxa" w:w="50"/>
              <w:left w:type="dxa" w:w="110"/>
              <w:bottom w:type="dxa" w:w="50"/>
              <w:right w:type="dxa" w:w="110"/>
            </w:tcMar>
          </w:tcPr>
          <w:p>
            <w:pPr>
              <w:spacing w:before="28" w:after="28"/>
            </w:pPr>
            <w:r>
              <w:rPr>
                <w:sz w:val="15"/>
                <w:szCs w:val="15"/>
              </w:rPr>
              <w:t xml:space="preserve">Permanent: no deferred tax</w:t>
            </w:r>
          </w:p>
        </w:tc>
      </w:tr>
      <w:tr>
        <w:tc>
          <w:tcPr>
            <w:tcW w:type="pct" w:w="2600"/>
            <w:tcMar>
              <w:top w:type="dxa" w:w="50"/>
              <w:left w:type="dxa" w:w="110"/>
              <w:bottom w:type="dxa" w:w="50"/>
              <w:right w:type="dxa" w:w="110"/>
            </w:tcMar>
          </w:tcPr>
          <w:p>
            <w:pPr>
              <w:spacing w:before="28" w:after="28"/>
            </w:pPr>
            <w:r>
              <w:rPr>
                <w:sz w:val="15"/>
                <w:szCs w:val="15"/>
              </w:rPr>
              <w:t xml:space="preserve">Rent received in advance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deductible (taxed now, earned later): DTA   ·   Temporary, taxable (taxed later): DTL   ·   Permanent: no deferred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Municipal bond interest</w:t>
            </w:r>
          </w:p>
        </w:tc>
        <w:tc>
          <w:tcPr>
            <w:tcW w:type="pct" w:w="2600"/>
            <w:tcMar>
              <w:top w:type="dxa" w:w="50"/>
              <w:left w:type="dxa" w:w="110"/>
              <w:bottom w:type="dxa" w:w="50"/>
              <w:right w:type="dxa" w:w="110"/>
            </w:tcMar>
          </w:tcPr>
          <w:p>
            <w:pPr>
              <w:spacing w:before="26" w:after="26"/>
            </w:pPr>
            <w:r>
              <w:rPr>
                <w:color w:val="232733"/>
                <w:sz w:val="16"/>
                <w:szCs w:val="16"/>
              </w:rPr>
              <w:t xml:space="preserve">Permanent difference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Late-filing fine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r>
      <w:tr>
        <w:tc>
          <w:tcPr>
            <w:tcW w:type="pct" w:w="2400"/>
            <w:tcMar>
              <w:top w:type="dxa" w:w="50"/>
              <w:left w:type="dxa" w:w="110"/>
              <w:bottom w:type="dxa" w:w="50"/>
              <w:right w:type="dxa" w:w="110"/>
            </w:tcMar>
          </w:tcPr>
          <w:p>
            <w:pPr>
              <w:spacing w:before="26" w:after="26"/>
            </w:pPr>
            <w:r>
              <w:rPr>
                <w:color w:val="232733"/>
                <w:sz w:val="16"/>
                <w:szCs w:val="16"/>
              </w:rPr>
              <w:t xml:space="preserve">Tax depreciation above book</w:t>
            </w:r>
          </w:p>
        </w:tc>
        <w:tc>
          <w:tcPr>
            <w:tcW w:type="pct" w:w="2600"/>
            <w:tcMar>
              <w:top w:type="dxa" w:w="50"/>
              <w:left w:type="dxa" w:w="110"/>
              <w:bottom w:type="dxa" w:w="50"/>
              <w:right w:type="dxa" w:w="110"/>
            </w:tcMar>
          </w:tcPr>
          <w:p>
            <w:pPr>
              <w:spacing w:before="26" w:after="26"/>
            </w:pPr>
            <w:r>
              <w:rPr>
                <w:color w:val="232733"/>
                <w:sz w:val="16"/>
                <w:szCs w:val="16"/>
              </w:rPr>
              <w:t xml:space="preserve">Taxable temporary difference (DTL)</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Warranty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Deductible temporary difference (DTA)</w:t>
            </w:r>
          </w:p>
        </w:tc>
      </w:tr>
      <w:tr>
        <w:tc>
          <w:tcPr>
            <w:tcW w:type="pct" w:w="2400"/>
            <w:tcMar>
              <w:top w:type="dxa" w:w="50"/>
              <w:left w:type="dxa" w:w="110"/>
              <w:bottom w:type="dxa" w:w="50"/>
              <w:right w:type="dxa" w:w="110"/>
            </w:tcMar>
          </w:tcPr>
          <w:p>
            <w:pPr>
              <w:spacing w:before="26" w:after="26"/>
            </w:pPr>
            <w:r>
              <w:rPr>
                <w:color w:val="232733"/>
                <w:sz w:val="16"/>
                <w:szCs w:val="16"/>
              </w:rPr>
              <w:t xml:space="preserve">Rent received in advance</w:t>
            </w:r>
          </w:p>
        </w:tc>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 (DTA)</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IFRS differences and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Enacted or substantively enacted rates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jurisdictions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None in general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IFRIC 23: most likely amount or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Period cost; no deferred tax</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Temporary, deductible (taxed now, earned later): DTA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percentages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Temporary, taxable (taxed later):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disclose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ASU 2023-09 is testable now for public companies. They show a rate reconciliation in dollars and percentages with eight standard categories, and they list separately any item of at least 5% of pretax income times the statutory rate. They also disclose income taxes paid by federal, state and foreign jurisdictions. For companies that are not public business entities, ASU 2023-09 applies to annual periods beginning after December 15, 2025. That version is not testable before about January 2027.</w:t>
      </w:r>
    </w:p>
    <w:p>
      <w:pPr>
        <w:spacing w:before="20" w:after="20"/>
        <w:ind w:left="240" w:hanging="240"/>
      </w:pPr>
      <w:r>
        <w:rPr>
          <w:b/>
          <w:bCs/>
          <w:color w:val="353A7C"/>
          <w:sz w:val="15"/>
          <w:szCs w:val="15"/>
        </w:rPr>
        <w:t xml:space="preserve">Summary 2   </w:t>
      </w:r>
      <w:r>
        <w:rPr>
          <w:color w:val="6B7280"/>
          <w:sz w:val="15"/>
          <w:szCs w:val="15"/>
        </w:rPr>
        <w:t xml:space="preserve">U.S. companies often call income tax expense the provision for income taxes. It is an expense, not an IAS 37 provision (مخصص) and not a reserve. Arabic مخصص التقييم, the valuation allowance, is a contra-asset, not a liability.</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1cd9dae044e1318cb54cc5896f26fda49ee514e.png" Type="http://schemas.openxmlformats.org/officeDocument/2006/relationships/image"/><Relationship Id="rId102" Target="media/e19c4aef3e831e44de42348650339ad541edd316.png" Type="http://schemas.openxmlformats.org/officeDocument/2006/relationships/image"/><Relationship Id="rId103" Target="media/b6d8c75c4cac678a7322053733e19d88d4f18658.png" Type="http://schemas.openxmlformats.org/officeDocument/2006/relationships/image"/><Relationship Id="rId104" Target="media/6c9d2f488169928507f272ddd8c2ba47e8f02a14.png" Type="http://schemas.openxmlformats.org/officeDocument/2006/relationships/image"/><Relationship Id="rId105" Target="media/a08ceb14bbd0da76a52c50cb7ac2363c88b47f6c.png" Type="http://schemas.openxmlformats.org/officeDocument/2006/relationships/image"/><Relationship Id="rId106" Target="media/42fa24b3bc7bab63499d2aec17e32663a6b9ea1e.png" Type="http://schemas.openxmlformats.org/officeDocument/2006/relationships/image"/><Relationship Id="rId107" Target="media/8996cfbce416de0a17edefaf2151c1a114b1ee6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13</dc:title>
  <dc:subject>Summary handouts</dc:subject>
  <cp:category>Student Book</cp:category>
</cp:coreProperties>
</file>