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What is a lease?</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74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742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is a lease?   ·   sale and leaseback   ·   Presentation</w:t>
            </w:r>
          </w:p>
        </w:tc>
      </w:tr>
    </w:tbl>
    <w:p/>
    <w:p>
      <w:pPr>
        <w:spacing w:before="44" w:after="14"/>
      </w:pPr>
      <w:r>
        <w:rPr>
          <w:b/>
          <w:bCs/>
          <w:color w:val="353A7C"/>
          <w:sz w:val="18"/>
          <w:szCs w:val="18"/>
        </w:rPr>
        <w:t xml:space="preserve">Summary 1</w:t>
      </w:r>
      <w:r>
        <w:rPr>
          <w:color w:val="6B7280"/>
          <w:sz w:val="16"/>
          <w:szCs w:val="16"/>
        </w:rPr>
        <w:t xml:space="preserve">      gaps 3–9</w:t>
      </w:r>
    </w:p>
    <w:p>
      <w:pPr>
        <w:spacing w:before="20" w:after="20" w:line="360" w:lineRule="auto"/>
        <w:ind w:left="200"/>
      </w:pPr>
      <w:r>
        <w:rPr>
          <w:sz w:val="19"/>
          <w:szCs w:val="19"/>
        </w:rPr>
        <w:t xml:space="preserve">A lease is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that gives the right to control the use of an identified asset for a period of time 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payment. </w:t>
      </w:r>
      <w:r>
        <w:rPr>
          <w:sz w:val="19"/>
          <w:szCs w:val="19"/>
        </w:rPr>
        <w:t xml:space="preserve">The lessee uses the asset;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provides it. </w:t>
      </w:r>
      <w:r>
        <w:rPr>
          <w:sz w:val="19"/>
          <w:szCs w:val="19"/>
        </w:rPr>
        <w:t xml:space="preserve">The asset must be identified, and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must not have a real right to swap it for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lessee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asset if it gets almost all of 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benefits and decides how it is used. </w:t>
      </w:r>
      <w:r>
        <w:rPr>
          <w:sz w:val="19"/>
          <w:szCs w:val="19"/>
        </w:rPr>
        <w:t xml:space="preserve">The lease term is the period the lessee cannot cancel, plus any renewal periods it is reasonably certain to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lease   ·   lessor   ·   exchange   ·   contract   ·   supplier   ·   another   ·   controls   ·   economic</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lessor   ·   operating lease   ·   lease term</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lease</w:t>
            </w:r>
          </w:p>
        </w:tc>
        <w:tc>
          <w:tcPr>
            <w:tcW w:type="pct" w:w="2600"/>
            <w:tcMar>
              <w:top w:type="dxa" w:w="50"/>
              <w:left w:type="dxa" w:w="110"/>
              <w:bottom w:type="dxa" w:w="50"/>
              <w:right w:type="dxa" w:w="110"/>
            </w:tcMar>
          </w:tcPr>
          <w:p>
            <w:pPr>
              <w:spacing w:before="26" w:after="26"/>
            </w:pPr>
            <w:r>
              <w:rPr>
                <w:color w:val="232733"/>
                <w:sz w:val="16"/>
                <w:szCs w:val="16"/>
              </w:rPr>
              <w:t xml:space="preserve">عقد الإيجار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lessee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المستأجر</w:t>
            </w:r>
          </w:p>
        </w:tc>
      </w:tr>
      <w:tr>
        <w:tc>
          <w:tcPr>
            <w:tcW w:type="pct" w:w="2400"/>
            <w:tcMar>
              <w:top w:type="dxa" w:w="50"/>
              <w:left w:type="dxa" w:w="110"/>
              <w:bottom w:type="dxa" w:w="50"/>
              <w:right w:type="dxa" w:w="110"/>
            </w:tcMar>
          </w:tcPr>
          <w:p>
            <w:pPr>
              <w:spacing w:before="26" w:after="26"/>
            </w:pPr>
            <w:r>
              <w:rPr>
                <w:color w:val="232733"/>
                <w:sz w:val="16"/>
                <w:szCs w:val="16"/>
              </w:rPr>
              <w:t xml:space="preserve">lessor</w:t>
            </w:r>
          </w:p>
        </w:tc>
        <w:tc>
          <w:tcPr>
            <w:tcW w:type="pct" w:w="2600"/>
            <w:tcMar>
              <w:top w:type="dxa" w:w="50"/>
              <w:left w:type="dxa" w:w="110"/>
              <w:bottom w:type="dxa" w:w="50"/>
              <w:right w:type="dxa" w:w="110"/>
            </w:tcMar>
          </w:tcPr>
          <w:p>
            <w:pPr>
              <w:spacing w:before="26" w:after="26"/>
            </w:pPr>
            <w:r>
              <w:rPr>
                <w:color w:val="232733"/>
                <w:sz w:val="16"/>
                <w:szCs w:val="16"/>
              </w:rPr>
              <w:t xml:space="preserve">المؤجر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lease term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مدة عقد الإيجار</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What is a lease?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is a lease?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another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Presentation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contract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economic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exchange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lessor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lessor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lease term</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supplier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lease is a contract that gives the right to control the use of an identified asset for a period of time in exchange for payment. The lessee uses the asset; the lessor provides it. The asset must be identified, and the supplier must not have a real right to swap it for another. The lessee controls the asset if it gets almost all of its economic benefits and decides how it is used. The lease term is the period the lessee cannot cancel, plus any renewal periods it is reasonably certain to use.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Finance or operating? The five criteria</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99"/>
        <w:gridCol w:w="2956"/>
        <w:gridCol w:w="224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classifying Orontes's two leases, January 1, 2026</w:t>
            </w:r>
          </w:p>
        </w:tc>
      </w:tr>
      <w:tr>
        <w:tc>
          <w:tcPr>
            <w:tcW w:type="pct" w:w="2291"/>
            <w:shd w:fill="353A7C" w:val="clear"/>
            <w:tcMar>
              <w:top w:type="dxa" w:w="50"/>
              <w:left w:type="dxa" w:w="110"/>
              <w:bottom w:type="dxa" w:w="50"/>
              <w:right w:type="dxa" w:w="110"/>
            </w:tcMar>
          </w:tcPr>
          <w:p>
            <w:pPr>
              <w:spacing w:before="30" w:after="30"/>
            </w:pPr>
            <w:r>
              <w:rPr>
                <w:b/>
                <w:bCs/>
                <w:color w:val="FFFFFF"/>
                <w:sz w:val="15"/>
                <w:szCs w:val="15"/>
              </w:rPr>
              <w:t xml:space="preserve">Criterion</w:t>
            </w:r>
          </w:p>
        </w:tc>
        <w:tc>
          <w:tcPr>
            <w:tcW w:type="pct" w:w="1540"/>
            <w:shd w:fill="353A7C" w:val="clear"/>
            <w:tcMar>
              <w:top w:type="dxa" w:w="50"/>
              <w:left w:type="dxa" w:w="110"/>
              <w:bottom w:type="dxa" w:w="50"/>
              <w:right w:type="dxa" w:w="110"/>
            </w:tcMar>
          </w:tcPr>
          <w:p>
            <w:pPr>
              <w:spacing w:before="30" w:after="30"/>
            </w:pPr>
            <w:r>
              <w:rPr>
                <w:b/>
                <w:bCs/>
                <w:color w:val="FFFFFF"/>
                <w:sz w:val="15"/>
                <w:szCs w:val="15"/>
              </w:rPr>
              <w:t xml:space="preserve">Warehouse (5 years, 100,000 a year)</w:t>
            </w:r>
          </w:p>
        </w:tc>
        <w:tc>
          <w:tcPr>
            <w:tcW w:type="pct" w:w="1169"/>
            <w:shd w:fill="353A7C" w:val="clear"/>
            <w:tcMar>
              <w:top w:type="dxa" w:w="50"/>
              <w:left w:type="dxa" w:w="110"/>
              <w:bottom w:type="dxa" w:w="50"/>
              <w:right w:type="dxa" w:w="110"/>
            </w:tcMar>
          </w:tcPr>
          <w:p>
            <w:pPr>
              <w:spacing w:before="30" w:after="30"/>
            </w:pPr>
            <w:r>
              <w:rPr>
                <w:b/>
                <w:bCs/>
                <w:color w:val="FFFFFF"/>
                <w:sz w:val="15"/>
                <w:szCs w:val="15"/>
              </w:rPr>
              <w:t xml:space="preserve">Olive press (4 years, 250,000 a year)</w:t>
            </w:r>
          </w:p>
        </w:tc>
      </w:tr>
      <w:tr>
        <w:tc>
          <w:tcPr>
            <w:tcW w:type="pct" w:w="2291"/>
            <w:tcMar>
              <w:top w:type="dxa" w:w="50"/>
              <w:left w:type="dxa" w:w="110"/>
              <w:bottom w:type="dxa" w:w="50"/>
              <w:right w:type="dxa" w:w="110"/>
            </w:tcMar>
          </w:tcPr>
          <w:p>
            <w:pPr>
              <w:spacing w:before="28" w:after="28"/>
            </w:pPr>
            <w:r>
              <w:rPr>
                <w:sz w:val="15"/>
                <w:szCs w:val="15"/>
              </w:rPr>
              <w:t xml:space="preserve">1. Ownership transfers</w:t>
            </w:r>
          </w:p>
        </w:tc>
        <w:tc>
          <w:tcPr>
            <w:tcW w:type="pct" w:w="1540"/>
            <w:tcMar>
              <w:top w:type="dxa" w:w="50"/>
              <w:left w:type="dxa" w:w="110"/>
              <w:bottom w:type="dxa" w:w="50"/>
              <w:right w:type="dxa" w:w="110"/>
            </w:tcMar>
          </w:tcPr>
          <w:p>
            <w:pPr>
              <w:spacing w:before="28" w:after="28"/>
            </w:pPr>
            <w:r>
              <w:rPr>
                <w:sz w:val="15"/>
                <w:szCs w:val="15"/>
              </w:rPr>
              <w:t xml:space="preserve">No</w:t>
            </w:r>
          </w:p>
        </w:tc>
        <w:tc>
          <w:tcPr>
            <w:tcW w:type="pct" w:w="1169"/>
            <w:tcMar>
              <w:top w:type="dxa" w:w="50"/>
              <w:left w:type="dxa" w:w="110"/>
              <w:bottom w:type="dxa" w:w="50"/>
              <w:right w:type="dxa" w:w="110"/>
            </w:tcMar>
          </w:tcPr>
          <w:p>
            <w:pPr>
              <w:spacing w:before="28" w:after="28"/>
            </w:pPr>
            <w:r>
              <w:rPr>
                <w:sz w:val="15"/>
                <w:szCs w:val="15"/>
              </w:rPr>
              <w:t xml:space="preserve">No</w:t>
            </w:r>
          </w:p>
        </w:tc>
      </w:tr>
      <w:tr>
        <w:tc>
          <w:tcPr>
            <w:tcW w:type="pct" w:w="2291"/>
            <w:shd w:fill="FBFAF6" w:val="clear"/>
            <w:tcMar>
              <w:top w:type="dxa" w:w="50"/>
              <w:left w:type="dxa" w:w="110"/>
              <w:bottom w:type="dxa" w:w="50"/>
              <w:right w:type="dxa" w:w="110"/>
            </w:tcMar>
          </w:tcPr>
          <w:p>
            <w:pPr>
              <w:spacing w:before="28" w:after="28"/>
            </w:pPr>
            <w:r>
              <w:rPr>
                <w:sz w:val="15"/>
                <w:szCs w:val="15"/>
              </w:rPr>
              <w:t xml:space="preserve">2. Purchase option reasonably certain</w:t>
            </w:r>
          </w:p>
        </w:tc>
        <w:tc>
          <w:tcPr>
            <w:tcW w:type="pct" w:w="1540"/>
            <w:shd w:fill="FBFAF6" w:val="clear"/>
            <w:tcMar>
              <w:top w:type="dxa" w:w="50"/>
              <w:left w:type="dxa" w:w="110"/>
              <w:bottom w:type="dxa" w:w="50"/>
              <w:right w:type="dxa" w:w="110"/>
            </w:tcMar>
          </w:tcPr>
          <w:p>
            <w:pPr>
              <w:spacing w:before="28" w:after="28"/>
            </w:pPr>
            <w:r>
              <w:rPr>
                <w:sz w:val="15"/>
                <w:szCs w:val="15"/>
              </w:rPr>
              <w:t xml:space="preserve">No</w:t>
            </w:r>
          </w:p>
        </w:tc>
        <w:tc>
          <w:tcPr>
            <w:tcW w:type="pct" w:w="1169"/>
            <w:shd w:fill="FBFAF6" w:val="clear"/>
            <w:tcMar>
              <w:top w:type="dxa" w:w="50"/>
              <w:left w:type="dxa" w:w="110"/>
              <w:bottom w:type="dxa" w:w="50"/>
              <w:right w:type="dxa" w:w="110"/>
            </w:tcMar>
          </w:tcPr>
          <w:p>
            <w:pPr>
              <w:spacing w:before="28" w:after="28"/>
            </w:pPr>
            <w:r>
              <w:rPr>
                <w:sz w:val="15"/>
                <w:szCs w:val="15"/>
              </w:rPr>
              <w:t xml:space="preserve">No</w:t>
            </w:r>
          </w:p>
        </w:tc>
      </w:tr>
      <w:tr>
        <w:tc>
          <w:tcPr>
            <w:tcW w:type="pct" w:w="2291"/>
            <w:tcMar>
              <w:top w:type="dxa" w:w="50"/>
              <w:left w:type="dxa" w:w="110"/>
              <w:bottom w:type="dxa" w:w="50"/>
              <w:right w:type="dxa" w:w="110"/>
            </w:tcMar>
          </w:tcPr>
          <w:p>
            <w:pPr>
              <w:spacing w:before="28" w:after="28"/>
            </w:pPr>
            <w:r>
              <w:rPr>
                <w:sz w:val="15"/>
                <w:szCs w:val="15"/>
              </w:rPr>
              <w:t xml:space="preserve">3. Major part of economic life</w:t>
            </w:r>
          </w:p>
        </w:tc>
        <w:tc>
          <w:tcPr>
            <w:tcW w:type="pct" w:w="154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169"/>
            <w:tcMar>
              <w:top w:type="dxa" w:w="50"/>
              <w:left w:type="dxa" w:w="110"/>
              <w:bottom w:type="dxa" w:w="50"/>
              <w:right w:type="dxa" w:w="110"/>
            </w:tcMar>
          </w:tcPr>
          <w:p>
            <w:pPr>
              <w:spacing w:before="28" w:after="28"/>
            </w:pPr>
            <w:r>
              <w:rPr>
                <w:sz w:val="15"/>
                <w:szCs w:val="15"/>
              </w:rPr>
              <w:t xml:space="preserve">Yes: 4 of 5 years (80%)</w:t>
            </w:r>
          </w:p>
        </w:tc>
      </w:tr>
      <w:tr>
        <w:tc>
          <w:tcPr>
            <w:tcW w:type="pct" w:w="2291"/>
            <w:shd w:fill="FBFAF6" w:val="clear"/>
            <w:tcMar>
              <w:top w:type="dxa" w:w="50"/>
              <w:left w:type="dxa" w:w="110"/>
              <w:bottom w:type="dxa" w:w="50"/>
              <w:right w:type="dxa" w:w="110"/>
            </w:tcMar>
          </w:tcPr>
          <w:p>
            <w:pPr>
              <w:spacing w:before="28" w:after="28"/>
            </w:pPr>
            <w:r>
              <w:rPr>
                <w:sz w:val="15"/>
                <w:szCs w:val="15"/>
              </w:rPr>
              <w:t xml:space="preserve">4. PV ≥ substantially all of fair value</w:t>
            </w:r>
          </w:p>
        </w:tc>
        <w:tc>
          <w:tcPr>
            <w:tcW w:type="pct" w:w="1540"/>
            <w:shd w:fill="FBFAF6" w:val="clear"/>
            <w:tcMar>
              <w:top w:type="dxa" w:w="50"/>
              <w:left w:type="dxa" w:w="110"/>
              <w:bottom w:type="dxa" w:w="50"/>
              <w:right w:type="dxa" w:w="110"/>
            </w:tcMar>
          </w:tcPr>
          <w:p>
            <w:pPr>
              <w:spacing w:before="28" w:after="28"/>
            </w:pPr>
            <w:r>
              <w:rPr>
                <w:sz w:val="15"/>
                <w:szCs w:val="15"/>
              </w:rPr>
              <w:t xml:space="preserve">No: 421,236 of 1,500,000 (28%)</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2291"/>
            <w:tcMar>
              <w:top w:type="dxa" w:w="50"/>
              <w:left w:type="dxa" w:w="110"/>
              <w:bottom w:type="dxa" w:w="50"/>
              <w:right w:type="dxa" w:w="110"/>
            </w:tcMar>
          </w:tcPr>
          <w:p>
            <w:pPr>
              <w:spacing w:before="28" w:after="28"/>
            </w:pPr>
            <w:r>
              <w:rPr>
                <w:sz w:val="15"/>
                <w:szCs w:val="15"/>
              </w:rPr>
              <w:t xml:space="preserve">5. Specialized asset</w:t>
            </w:r>
          </w:p>
        </w:tc>
        <w:tc>
          <w:tcPr>
            <w:tcW w:type="pct" w:w="1540"/>
            <w:tcMar>
              <w:top w:type="dxa" w:w="50"/>
              <w:left w:type="dxa" w:w="110"/>
              <w:bottom w:type="dxa" w:w="50"/>
              <w:right w:type="dxa" w:w="110"/>
            </w:tcMar>
          </w:tcPr>
          <w:p>
            <w:pPr>
              <w:spacing w:before="28" w:after="28"/>
            </w:pPr>
            <w:r>
              <w:rPr>
                <w:sz w:val="15"/>
                <w:szCs w:val="15"/>
              </w:rPr>
              <w:t xml:space="preserve">No: any company could use it</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291"/>
            <w:shd w:fill="FBFAF6" w:val="clear"/>
            <w:tcMar>
              <w:top w:type="dxa" w:w="50"/>
              <w:left w:type="dxa" w:w="110"/>
              <w:bottom w:type="dxa" w:w="50"/>
              <w:right w:type="dxa" w:w="110"/>
            </w:tcMar>
          </w:tcPr>
          <w:p>
            <w:pPr>
              <w:spacing w:before="28" w:after="28"/>
            </w:pPr>
            <w:r>
              <w:rPr>
                <w:sz w:val="15"/>
                <w:szCs w:val="15"/>
              </w:rPr>
              <w:t xml:space="preserve">Classification</w:t>
            </w:r>
          </w:p>
        </w:tc>
        <w:tc>
          <w:tcPr>
            <w:tcW w:type="pct" w:w="154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169"/>
            <w:shd w:fill="FBFAF6" w:val="clear"/>
            <w:tcMar>
              <w:top w:type="dxa" w:w="50"/>
              <w:left w:type="dxa" w:w="110"/>
              <w:bottom w:type="dxa" w:w="50"/>
              <w:right w:type="dxa" w:w="110"/>
            </w:tcMar>
          </w:tcPr>
          <w:p>
            <w:pPr>
              <w:spacing w:before="28" w:after="28"/>
            </w:pPr>
            <w:r>
              <w:rPr>
                <w:sz w:val="15"/>
                <w:szCs w:val="15"/>
              </w:rPr>
              <w:t xml:space="preserve">Finance lease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lease   ·   No: 5 of 30 years (17%)   ·   Not needed   ·   Yes: 4 of 5 years (80%)   ·   Yes: built for Orontes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Crédit-bail is not a class</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French crédit-bail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عقد تأجير تمويلي are legal forms of contract. </w:t>
      </w:r>
      <w:r>
        <w:rPr>
          <w:sz w:val="19"/>
          <w:szCs w:val="19"/>
        </w:rPr>
        <w:t xml:space="preserve">Under ASC 842, the class depends only on the five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 crédit-bail contract can be 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lease, and an ordinary rental can be a finance lease.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Arabic   ·   finance lease   ·   criteria   ·   operating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 lease   ·   short-term lease   ·   operating lease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0"/>
        <w:gridCol w:w="483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4"/>
            <w:tcMar>
              <w:top w:type="dxa" w:w="50"/>
              <w:left w:type="dxa" w:w="110"/>
              <w:bottom w:type="dxa" w:w="50"/>
              <w:right w:type="dxa" w:w="110"/>
            </w:tcMar>
          </w:tcPr>
          <w:p>
            <w:pPr>
              <w:spacing w:before="26" w:after="26"/>
            </w:pPr>
            <w:r>
              <w:rPr>
                <w:color w:val="232733"/>
                <w:sz w:val="16"/>
                <w:szCs w:val="16"/>
              </w:rPr>
              <w:t xml:space="preserve">finance lease</w:t>
            </w:r>
          </w:p>
        </w:tc>
        <w:tc>
          <w:tcPr>
            <w:tcW w:type="pct" w:w="2516"/>
            <w:tcMar>
              <w:top w:type="dxa" w:w="50"/>
              <w:left w:type="dxa" w:w="110"/>
              <w:bottom w:type="dxa" w:w="50"/>
              <w:right w:type="dxa" w:w="110"/>
            </w:tcMar>
          </w:tcPr>
          <w:p>
            <w:pPr>
              <w:spacing w:before="26" w:after="26"/>
            </w:pPr>
            <w:r>
              <w:rPr>
                <w:color w:val="232733"/>
                <w:sz w:val="16"/>
                <w:szCs w:val="16"/>
              </w:rPr>
              <w:t xml:space="preserve">عقد إيجار تمويلي</w:t>
            </w:r>
          </w:p>
        </w:tc>
      </w:tr>
      <w:tr>
        <w:tc>
          <w:tcPr>
            <w:tcW w:type="pct" w:w="2484"/>
            <w:shd w:fill="FBFAF6" w:val="clear"/>
            <w:tcMar>
              <w:top w:type="dxa" w:w="50"/>
              <w:left w:type="dxa" w:w="110"/>
              <w:bottom w:type="dxa" w:w="50"/>
              <w:right w:type="dxa" w:w="110"/>
            </w:tcMar>
          </w:tcPr>
          <w:p>
            <w:pPr>
              <w:spacing w:before="26" w:after="26"/>
            </w:pPr>
            <w:r>
              <w:rPr>
                <w:color w:val="232733"/>
                <w:sz w:val="16"/>
                <w:szCs w:val="16"/>
              </w:rPr>
              <w:t xml:space="preserve">operating lease</w:t>
            </w:r>
          </w:p>
        </w:tc>
        <w:tc>
          <w:tcPr>
            <w:tcW w:type="pct" w:w="2516"/>
            <w:shd w:fill="FBFAF6" w:val="clear"/>
            <w:tcMar>
              <w:top w:type="dxa" w:w="50"/>
              <w:left w:type="dxa" w:w="110"/>
              <w:bottom w:type="dxa" w:w="50"/>
              <w:right w:type="dxa" w:w="110"/>
            </w:tcMar>
          </w:tcPr>
          <w:p>
            <w:pPr>
              <w:spacing w:before="26" w:after="26"/>
            </w:pPr>
            <w:r>
              <w:rPr>
                <w:color w:val="232733"/>
                <w:sz w:val="16"/>
                <w:szCs w:val="16"/>
              </w:rPr>
              <w:t xml:space="preserve">عقد إيجار تشغيلي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Finance or operating? The five criteria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No: 5 of 30 years (17%)</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criteria</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Not needed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Yes: built for Orontes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operating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Operating lease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short-term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Arabic</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French crédit-bail and Arabic عقد تأجير تمويلي are legal forms of contract. Under ASC 842, the class depends only on the five criteria. A crédit-bail contract can be an operating lease, and an ordinary rental can be a finance lease.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Initial measurement</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For both types, the lessee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lease liability and a right-of-use asset at the start. </w:t>
      </w:r>
      <w:r>
        <w:rPr>
          <w:sz w:val="19"/>
          <w:szCs w:val="19"/>
        </w:rPr>
        <w:t xml:space="preserve">The liability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value of the lease payments not yet paid. </w:t>
      </w:r>
      <w:r>
        <w:rPr>
          <w:sz w:val="19"/>
          <w:szCs w:val="19"/>
        </w:rPr>
        <w:t xml:space="preserve">The discount rate is the rate implicit in the lease if the lessee can find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is the lessee's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borrowing rate. </w:t>
      </w:r>
      <w:r>
        <w:rPr>
          <w:sz w:val="19"/>
          <w:szCs w:val="19"/>
        </w:rPr>
        <w:t xml:space="preserve">Lease payments include fixed payments, payments that depend on an index such as CPI, a purchase price the lessee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certain to pay, and amounts it expects to pay under a residual value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right-of-use asset starts at the liability, plus any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payments and initial direct costs, minus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received.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   otherwise   ·   guarantee   ·   incentives   ·   records   ·   lease liability   ·   reasonably   ·   present   ·   prepaid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199"/>
        <w:gridCol w:w="24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initial measurement of Orontes's leases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January 1, 2026 (whole USD)</w:t>
            </w:r>
          </w:p>
        </w:tc>
        <w:tc>
          <w:tcPr>
            <w:tcW w:type="pct" w:w="1145"/>
            <w:tcMar>
              <w:top w:type="dxa" w:w="50"/>
              <w:left w:type="dxa" w:w="110"/>
              <w:bottom w:type="dxa" w:w="50"/>
              <w:right w:type="dxa" w:w="110"/>
            </w:tcMar>
          </w:tcPr>
          <w:p>
            <w:pPr>
              <w:spacing w:before="26" w:after="26"/>
            </w:pPr>
            <w:r>
              <w:rPr>
                <w:b/>
                <w:bCs/>
                <w:color w:val="353A7C"/>
                <w:sz w:val="15"/>
                <w:szCs w:val="15"/>
              </w:rPr>
              <w:t xml:space="preserve">Warehouse</w:t>
            </w:r>
          </w:p>
        </w:tc>
        <w:tc>
          <w:tcPr>
            <w:tcW w:type="pct" w:w="1255"/>
            <w:tcMar>
              <w:top w:type="dxa" w:w="50"/>
              <w:left w:type="dxa" w:w="110"/>
              <w:bottom w:type="dxa" w:w="50"/>
              <w:right w:type="dxa" w:w="110"/>
            </w:tcMar>
          </w:tcPr>
          <w:p>
            <w:pPr>
              <w:spacing w:before="26" w:after="26"/>
            </w:pPr>
            <w:r>
              <w:rPr>
                <w:b/>
                <w:bCs/>
                <w:color w:val="353A7C"/>
                <w:sz w:val="15"/>
                <w:szCs w:val="15"/>
              </w:rPr>
              <w:t xml:space="preserve">Olive press</w:t>
            </w:r>
          </w:p>
        </w:tc>
      </w:tr>
      <w:tr>
        <w:tc>
          <w:tcPr>
            <w:tcW w:type="pct" w:w="2600"/>
            <w:tcMar>
              <w:top w:type="dxa" w:w="50"/>
              <w:left w:type="dxa" w:w="110"/>
              <w:bottom w:type="dxa" w:w="50"/>
              <w:right w:type="dxa" w:w="110"/>
            </w:tcMar>
          </w:tcPr>
          <w:p>
            <w:pPr>
              <w:spacing w:before="26" w:after="26"/>
            </w:pPr>
            <w:r>
              <w:rPr>
                <w:color w:val="232733"/>
                <w:sz w:val="16"/>
                <w:szCs w:val="16"/>
              </w:rPr>
              <w:t xml:space="preserve">Annual payment (end of each year)</w:t>
            </w:r>
          </w:p>
        </w:tc>
        <w:tc>
          <w:tcPr>
            <w:tcW w:type="pct" w:w="1145"/>
            <w:tcMar>
              <w:top w:type="dxa" w:w="50"/>
              <w:left w:type="dxa" w:w="110"/>
              <w:bottom w:type="dxa" w:w="50"/>
              <w:right w:type="dxa" w:w="110"/>
            </w:tcMar>
          </w:tcPr>
          <w:p>
            <w:pPr>
              <w:spacing w:before="26" w:after="26"/>
            </w:pPr>
            <w:r>
              <w:rPr>
                <w:color w:val="232733"/>
                <w:sz w:val="16"/>
                <w:szCs w:val="16"/>
              </w:rPr>
              <w:t xml:space="preserve">100,000</w:t>
            </w:r>
          </w:p>
        </w:tc>
        <w:tc>
          <w:tcPr>
            <w:tcW w:type="pct" w:w="1255"/>
            <w:tcMar>
              <w:top w:type="dxa" w:w="50"/>
              <w:left w:type="dxa" w:w="110"/>
              <w:bottom w:type="dxa" w:w="50"/>
              <w:right w:type="dxa" w:w="110"/>
            </w:tcMar>
          </w:tcPr>
          <w:p>
            <w:pPr>
              <w:spacing w:before="26" w:after="26"/>
            </w:pPr>
            <w:r>
              <w:rPr>
                <w:color w:val="232733"/>
                <w:sz w:val="16"/>
                <w:szCs w:val="16"/>
              </w:rPr>
              <w:t xml:space="preserve">250,000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Number of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4</w:t>
            </w:r>
          </w:p>
        </w:tc>
      </w:tr>
      <w:tr>
        <w:tc>
          <w:tcPr>
            <w:tcW w:type="pct" w:w="2600"/>
            <w:tcMar>
              <w:top w:type="dxa" w:w="50"/>
              <w:left w:type="dxa" w:w="110"/>
              <w:bottom w:type="dxa" w:w="50"/>
              <w:right w:type="dxa" w:w="110"/>
            </w:tcMar>
          </w:tcPr>
          <w:p>
            <w:pPr>
              <w:spacing w:before="26" w:after="26"/>
            </w:pPr>
            <w:r>
              <w:rPr>
                <w:color w:val="232733"/>
                <w:sz w:val="16"/>
                <w:szCs w:val="16"/>
              </w:rPr>
              <w:t xml:space="preserve">Discount rate (incremental borrowing rate)</w:t>
            </w:r>
          </w:p>
        </w:tc>
        <w:tc>
          <w:tcPr>
            <w:tcW w:type="pct" w:w="1145"/>
            <w:tcMar>
              <w:top w:type="dxa" w:w="50"/>
              <w:left w:type="dxa" w:w="110"/>
              <w:bottom w:type="dxa" w:w="50"/>
              <w:right w:type="dxa" w:w="110"/>
            </w:tcMar>
          </w:tcPr>
          <w:p>
            <w:pPr>
              <w:spacing w:before="26" w:after="26"/>
            </w:pPr>
            <w:r>
              <w:rPr>
                <w:color w:val="232733"/>
                <w:sz w:val="16"/>
                <w:szCs w:val="16"/>
              </w:rPr>
              <w:t xml:space="preserve">6%</w:t>
            </w:r>
          </w:p>
        </w:tc>
        <w:tc>
          <w:tcPr>
            <w:tcW w:type="pct" w:w="1255"/>
            <w:tcMar>
              <w:top w:type="dxa" w:w="50"/>
              <w:left w:type="dxa" w:w="110"/>
              <w:bottom w:type="dxa" w:w="50"/>
              <w:right w:type="dxa" w:w="110"/>
            </w:tcMar>
          </w:tcPr>
          <w:p>
            <w:pPr>
              <w:spacing w:before="26" w:after="26"/>
            </w:pPr>
            <w:r>
              <w:rPr>
                <w:color w:val="232733"/>
                <w:sz w:val="16"/>
                <w:szCs w:val="16"/>
              </w:rPr>
              <w:t xml:space="preserve">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Undiscounted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500,000</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1,000,000</w:t>
            </w:r>
          </w:p>
        </w:tc>
      </w:tr>
      <w:tr>
        <w:tc>
          <w:tcPr>
            <w:tcW w:type="pct" w:w="2600"/>
            <w:tcMar>
              <w:top w:type="dxa" w:w="50"/>
              <w:left w:type="dxa" w:w="110"/>
              <w:bottom w:type="dxa" w:w="50"/>
              <w:right w:type="dxa" w:w="110"/>
            </w:tcMar>
          </w:tcPr>
          <w:p>
            <w:pPr>
              <w:spacing w:before="26" w:after="26"/>
            </w:pPr>
            <w:r>
              <w:rPr>
                <w:color w:val="232733"/>
                <w:sz w:val="16"/>
                <w:szCs w:val="16"/>
              </w:rPr>
              <w:t xml:space="preserve">Lease liability = present value of payments</w:t>
            </w:r>
          </w:p>
        </w:tc>
        <w:tc>
          <w:tcPr>
            <w:tcW w:type="pct" w:w="1145"/>
            <w:tcMar>
              <w:top w:type="dxa" w:w="50"/>
              <w:left w:type="dxa" w:w="110"/>
              <w:bottom w:type="dxa" w:w="50"/>
              <w:right w:type="dxa" w:w="110"/>
            </w:tcMar>
          </w:tcPr>
          <w:p>
            <w:pPr>
              <w:spacing w:before="26" w:after="26"/>
            </w:pPr>
            <w:r>
              <w:rPr>
                <w:color w:val="232733"/>
                <w:sz w:val="16"/>
                <w:szCs w:val="16"/>
              </w:rPr>
              <w:t xml:space="preserve">421,236</w:t>
            </w:r>
          </w:p>
        </w:tc>
        <w:tc>
          <w:tcPr>
            <w:tcW w:type="pct" w:w="1255"/>
            <w:tcMar>
              <w:top w:type="dxa" w:w="50"/>
              <w:left w:type="dxa" w:w="110"/>
              <w:bottom w:type="dxa" w:w="50"/>
              <w:right w:type="dxa" w:w="110"/>
            </w:tcMar>
          </w:tcPr>
          <w:p>
            <w:pPr>
              <w:spacing w:before="26" w:after="26"/>
            </w:pPr>
            <w:r>
              <w:rPr>
                <w:color w:val="232733"/>
                <w:sz w:val="16"/>
                <w:szCs w:val="16"/>
              </w:rPr>
              <w:t xml:space="preserve">866,276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Right-of-use asset (no prepayments, costs or incentives)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421,236</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866,276</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lease   ·   lease liability   ·   right-of-use asset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right-of-use asset</w:t>
            </w:r>
          </w:p>
        </w:tc>
        <w:tc>
          <w:tcPr>
            <w:tcW w:type="pct" w:w="2400"/>
            <w:tcMar>
              <w:top w:type="dxa" w:w="50"/>
              <w:left w:type="dxa" w:w="110"/>
              <w:bottom w:type="dxa" w:w="50"/>
              <w:right w:type="dxa" w:w="110"/>
            </w:tcMar>
          </w:tcPr>
          <w:p>
            <w:pPr>
              <w:spacing w:before="26" w:after="26"/>
            </w:pPr>
            <w:r>
              <w:rPr>
                <w:color w:val="232733"/>
                <w:sz w:val="16"/>
                <w:szCs w:val="16"/>
              </w:rPr>
              <w:t xml:space="preserve">أصل حق الاستخدام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lease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التزام عقد الإيجار</w:t>
            </w:r>
          </w:p>
        </w:tc>
      </w:tr>
      <w:tr>
        <w:tc>
          <w:tcPr>
            <w:tcW w:type="pct" w:w="2600"/>
            <w:tcMar>
              <w:top w:type="dxa" w:w="50"/>
              <w:left w:type="dxa" w:w="110"/>
              <w:bottom w:type="dxa" w:w="50"/>
              <w:right w:type="dxa" w:w="110"/>
            </w:tcMar>
          </w:tcPr>
          <w:p>
            <w:pPr>
              <w:spacing w:before="26" w:after="26"/>
            </w:pPr>
            <w:r>
              <w:rPr>
                <w:color w:val="232733"/>
                <w:sz w:val="16"/>
                <w:szCs w:val="16"/>
              </w:rPr>
              <w:t xml:space="preserve">incremental borrowing rate</w:t>
            </w:r>
          </w:p>
        </w:tc>
        <w:tc>
          <w:tcPr>
            <w:tcW w:type="pct" w:w="2400"/>
            <w:tcMar>
              <w:top w:type="dxa" w:w="50"/>
              <w:left w:type="dxa" w:w="110"/>
              <w:bottom w:type="dxa" w:w="50"/>
              <w:right w:type="dxa" w:w="110"/>
            </w:tcMar>
          </w:tcPr>
          <w:p>
            <w:pPr>
              <w:spacing w:before="26" w:after="26"/>
            </w:pPr>
            <w:r>
              <w:rPr>
                <w:color w:val="232733"/>
                <w:sz w:val="16"/>
                <w:szCs w:val="16"/>
              </w:rPr>
              <w:t xml:space="preserve">معدل الاقتراض الإضافي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residual value guarantee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ضمان القيمة المتبقية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Initial measurement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guarantee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present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prepaid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otherwise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incentives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incremental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right-of-use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reasonably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lease liability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both types, the lessee records a lease liability and a right-of-use asset at the start. The liability is the present value of the lease payments not yet paid. The discount rate is the rate implicit in the lease if the lessee can find it; otherwise it is the lessee's incremental borrowing rate. Lease payments include fixed payments, payments that depend on an index such as CPI, a purchase price the lessee is reasonably certain to pay, and amounts it expects to pay under a residual value guarantee. The right-of-use asset starts at the liability, plus any prepaid payments and initial direct costs, minus incentives received.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Subsequent measurement: two expense patterns</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olive-press finance lease in 2026</w:t>
            </w:r>
          </w:p>
        </w:tc>
      </w:tr>
    </w:tbl>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Interest: 6% × $866,276 = $51,977. </w:t>
      </w:r>
      <w:r>
        <w:rPr>
          <w:sz w:val="19"/>
          <w:szCs w:val="19"/>
        </w:rPr>
        <w:t xml:space="preserve"/>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$250,000: the liability falls to $668,253. </w:t>
      </w:r>
      <w:r>
        <w:rPr>
          <w:sz w:val="19"/>
          <w:szCs w:val="19"/>
        </w:rPr>
        <w:t xml:space="preserve">Amortization: $866,276 ÷ 4 years = $216,569, so the ROU asset is $649,707. </w:t>
      </w:r>
      <w:r>
        <w:rPr>
          <w:sz w:val="19"/>
          <w:szCs w:val="19"/>
        </w:rPr>
        <w:t xml:space="preserve">For an operating lease,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records one lease cost, normally the same each year. </w:t>
      </w:r>
      <w:r>
        <w:rPr>
          <w:sz w:val="19"/>
          <w:szCs w:val="19"/>
        </w:rPr>
        <w:t xml:space="preserve">The liability still grows by interest and falls by payments. </w:t>
      </w:r>
      <w:r>
        <w:rPr>
          <w:sz w:val="19"/>
          <w:szCs w:val="19"/>
        </w:rPr>
        <w:t xml:space="preserve">The amortization of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asset is simply the difference between the lease cost and the interest, so the asset and the liability stay equal when there are no prepayments or incentives.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borrowing rate   ·   Payment   ·   right-of-use   ·   lessee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the warehouse schedule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Measurement traps</w:t>
            </w:r>
          </w:p>
        </w:tc>
      </w:tr>
    </w:tbl>
    <w:p/>
    <w:p>
      <w:pPr>
        <w:spacing w:before="44" w:after="14"/>
      </w:pPr>
      <w:r>
        <w:rPr>
          <w:b/>
          <w:bCs/>
          <w:color w:val="353A7C"/>
          <w:sz w:val="18"/>
          <w:szCs w:val="18"/>
        </w:rPr>
        <w:t xml:space="preserve">Summary 2</w:t>
      </w:r>
      <w:r>
        <w:rPr>
          <w:color w:val="6B7280"/>
          <w:sz w:val="16"/>
          <w:szCs w:val="16"/>
        </w:rPr>
        <w:t xml:space="preserve">      gaps 4–6</w:t>
      </w:r>
    </w:p>
    <w:p>
      <w:pPr>
        <w:spacing w:before="20" w:after="20" w:line="360" w:lineRule="auto"/>
        <w:ind w:left="200"/>
      </w:pPr>
      <w:r>
        <w:rPr>
          <w:sz w:val="19"/>
          <w:szCs w:val="19"/>
        </w:rPr>
        <w:t xml:space="preserve">The liability is a present value, not the total of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Each payment covers interest first; do not deduct the whole payment from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liability. </w:t>
      </w:r>
      <w:r>
        <w:rPr>
          <w:sz w:val="19"/>
          <w:szCs w:val="19"/>
        </w:rPr>
        <w:t xml:space="preserve">Operating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one straight-line cost; do not show interest and amortization separately.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residual value guarantee   ·   lease   ·   payments   ·   opening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lessee   ·   right-of-use asset   ·   lease</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Subsequent measurement: two expense patterns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Payment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opening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lessee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right-of-use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payments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right-of-use asset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Interest: 6% × $866,276 = $51,977. Payment of $250,000: the liability falls to $668,253. Amortization: $866,276 ÷ 4 years = $216,569, so the ROU asset is $649,707. For an operating lease, the lessee records one lease cost, normally the same each year. The liability still grows by interest and falls by payments. The amortization of the right-of-use asset is simply the difference between the lease cost and the interest, so the asset and the liability stay equal when there are no prepayments or incentives.</w:t>
      </w:r>
    </w:p>
    <w:p>
      <w:pPr>
        <w:spacing w:before="20" w:after="20"/>
        <w:ind w:left="240" w:hanging="240"/>
      </w:pPr>
      <w:r>
        <w:rPr>
          <w:b/>
          <w:bCs/>
          <w:color w:val="353A7C"/>
          <w:sz w:val="15"/>
          <w:szCs w:val="15"/>
        </w:rPr>
        <w:t xml:space="preserve">Summary 2   </w:t>
      </w:r>
      <w:r>
        <w:rPr>
          <w:color w:val="6B7280"/>
          <w:sz w:val="15"/>
          <w:szCs w:val="15"/>
        </w:rPr>
        <w:t xml:space="preserve">The liability is a present value, not the total of the payments. Each payment covers interest first; do not deduct the whole payment from the opening liability. Operating lease: one straight-line cost; do not show interest and amortization separately.</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Presentation</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On the balance sheet,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assets and lease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finance leases are shown separately from those of operating leases, or disclosed with the line items that contain them. </w:t>
      </w:r>
      <w:r>
        <w:rPr>
          <w:sz w:val="19"/>
          <w:szCs w:val="19"/>
        </w:rPr>
        <w:t xml:space="preserve">Each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split into a current part, the principal due within a year, and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part. </w:t>
      </w:r>
      <w:r>
        <w:rPr>
          <w:sz w:val="19"/>
          <w:szCs w:val="19"/>
        </w:rPr>
        <w:t xml:space="preserve">On the income statement, a finance lease shows interest expense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separately; an operating lease shows one lease cost in operating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In the statement of cash flows, finance-lease principal is financing; its interest and all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payments are operating. </w:t>
      </w:r>
      <w:r>
        <w:rPr>
          <w:sz w:val="19"/>
          <w:szCs w:val="19"/>
        </w:rPr>
        <w:t xml:space="preserve">New leases are a noncash investing and financing activity, disclosed separately.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expenses   ·   operating-lease   ·   amortization   ·   finance lease   ·   noncurrent   ·   liabilities   ·   liability   ·   right-of-use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74"/>
        <w:gridCol w:w="4175"/>
        <w:gridCol w:w="385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Presentation of finance and operating leases, with Orontes at December 31, 2026</w:t>
            </w:r>
          </w:p>
        </w:tc>
      </w:tr>
      <w:tr>
        <w:tc>
          <w:tcPr>
            <w:tcW w:type="pct" w:w="82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175"/>
            <w:shd w:fill="353A7C" w:val="clear"/>
            <w:tcMar>
              <w:top w:type="dxa" w:w="50"/>
              <w:left w:type="dxa" w:w="110"/>
              <w:bottom w:type="dxa" w:w="50"/>
              <w:right w:type="dxa" w:w="110"/>
            </w:tcMar>
          </w:tcPr>
          <w:p>
            <w:pPr>
              <w:spacing w:before="30" w:after="30"/>
            </w:pPr>
            <w:r>
              <w:rPr>
                <w:b/>
                <w:bCs/>
                <w:color w:val="FFFFFF"/>
                <w:sz w:val="15"/>
                <w:szCs w:val="15"/>
              </w:rPr>
              <w:t xml:space="preserve">Finance lease (olive press)</w:t>
            </w:r>
          </w:p>
        </w:tc>
        <w:tc>
          <w:tcPr>
            <w:tcW w:type="pct" w:w="2005"/>
            <w:shd w:fill="353A7C" w:val="clear"/>
            <w:tcMar>
              <w:top w:type="dxa" w:w="50"/>
              <w:left w:type="dxa" w:w="110"/>
              <w:bottom w:type="dxa" w:w="50"/>
              <w:right w:type="dxa" w:w="110"/>
            </w:tcMar>
          </w:tcPr>
          <w:p>
            <w:pPr>
              <w:spacing w:before="30" w:after="30"/>
            </w:pPr>
            <w:r>
              <w:rPr>
                <w:b/>
                <w:bCs/>
                <w:color w:val="FFFFFF"/>
                <w:sz w:val="15"/>
                <w:szCs w:val="15"/>
              </w:rPr>
              <w:t xml:space="preserve">Operating lease (warehouse)</w:t>
            </w:r>
          </w:p>
        </w:tc>
      </w:tr>
      <w:tr>
        <w:tc>
          <w:tcPr>
            <w:tcW w:type="pct" w:w="820"/>
            <w:tcMar>
              <w:top w:type="dxa" w:w="50"/>
              <w:left w:type="dxa" w:w="110"/>
              <w:bottom w:type="dxa" w:w="50"/>
              <w:right w:type="dxa" w:w="110"/>
            </w:tcMar>
          </w:tcPr>
          <w:p>
            <w:pPr>
              <w:spacing w:before="28" w:after="28"/>
            </w:pPr>
            <w:r>
              <w:rPr>
                <w:sz w:val="15"/>
                <w:szCs w:val="15"/>
              </w:rPr>
              <w:t xml:space="preserve">Balance sheet</w:t>
            </w:r>
          </w:p>
        </w:tc>
        <w:tc>
          <w:tcPr>
            <w:tcW w:type="pct" w:w="2175"/>
            <w:tcMar>
              <w:top w:type="dxa" w:w="50"/>
              <w:left w:type="dxa" w:w="110"/>
              <w:bottom w:type="dxa" w:w="50"/>
              <w:right w:type="dxa" w:w="110"/>
            </w:tcMar>
          </w:tcPr>
          <w:p>
            <w:pPr>
              <w:spacing w:before="28" w:after="28"/>
            </w:pPr>
            <w:r>
              <w:rPr>
                <w:sz w:val="15"/>
                <w:szCs w:val="15"/>
              </w:rPr>
              <w:t xml:space="preserve">ROU asset and lease liability, shown separately from operating leases (or disclosed)</w:t>
            </w:r>
          </w:p>
        </w:tc>
        <w:tc>
          <w:tcPr>
            <w:tcW w:type="pct" w:w="2005"/>
            <w:tcMar>
              <w:top w:type="dxa" w:w="50"/>
              <w:left w:type="dxa" w:w="110"/>
              <w:bottom w:type="dxa" w:w="50"/>
              <w:right w:type="dxa" w:w="110"/>
            </w:tcMar>
          </w:tcPr>
          <w:p>
            <w:pPr>
              <w:spacing w:before="28" w:after="28"/>
            </w:pPr>
            <w:r>
              <w:rPr>
                <w:sz w:val="15"/>
                <w:szCs w:val="15"/>
              </w:rPr>
              <w:t xml:space="preserve">ROU asset and lease liability, shown separately from finance leases (or disclosed)</w:t>
            </w:r>
          </w:p>
        </w:tc>
      </w:tr>
      <w:tr>
        <w:tc>
          <w:tcPr>
            <w:tcW w:type="pct" w:w="820"/>
            <w:shd w:fill="FBFAF6" w:val="clear"/>
            <w:tcMar>
              <w:top w:type="dxa" w:w="50"/>
              <w:left w:type="dxa" w:w="110"/>
              <w:bottom w:type="dxa" w:w="50"/>
              <w:right w:type="dxa" w:w="110"/>
            </w:tcMar>
          </w:tcPr>
          <w:p>
            <w:pPr>
              <w:spacing w:before="28" w:after="28"/>
            </w:pPr>
            <w:r>
              <w:rPr>
                <w:sz w:val="15"/>
                <w:szCs w:val="15"/>
              </w:rPr>
              <w:t xml:space="preserve">Income statement</w:t>
            </w:r>
          </w:p>
        </w:tc>
        <w:tc>
          <w:tcPr>
            <w:tcW w:type="pct" w:w="2175"/>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05"/>
            <w:shd w:fill="FBFAF6" w:val="clear"/>
            <w:tcMar>
              <w:top w:type="dxa" w:w="50"/>
              <w:left w:type="dxa" w:w="110"/>
              <w:bottom w:type="dxa" w:w="50"/>
              <w:right w:type="dxa" w:w="110"/>
            </w:tcMar>
          </w:tcPr>
          <w:p>
            <w:pPr>
              <w:spacing w:before="28" w:after="28"/>
            </w:pPr>
            <w:r>
              <w:rPr>
                <w:sz w:val="15"/>
                <w:szCs w:val="15"/>
              </w:rPr>
              <w:t xml:space="preserve">One lease cost in operating expenses</w:t>
            </w:r>
          </w:p>
        </w:tc>
      </w:tr>
      <w:tr>
        <w:tc>
          <w:tcPr>
            <w:tcW w:type="pct" w:w="820"/>
            <w:tcMar>
              <w:top w:type="dxa" w:w="50"/>
              <w:left w:type="dxa" w:w="110"/>
              <w:bottom w:type="dxa" w:w="50"/>
              <w:right w:type="dxa" w:w="110"/>
            </w:tcMar>
          </w:tcPr>
          <w:p>
            <w:pPr>
              <w:spacing w:before="28" w:after="28"/>
            </w:pPr>
            <w:r>
              <w:rPr>
                <w:sz w:val="15"/>
                <w:szCs w:val="15"/>
              </w:rPr>
              <w:t xml:space="preserve">Cash flow: principal</w:t>
            </w:r>
          </w:p>
        </w:tc>
        <w:tc>
          <w:tcPr>
            <w:tcW w:type="pct" w:w="2175"/>
            <w:tcMar>
              <w:top w:type="dxa" w:w="50"/>
              <w:left w:type="dxa" w:w="110"/>
              <w:bottom w:type="dxa" w:w="50"/>
              <w:right w:type="dxa" w:w="110"/>
            </w:tcMar>
          </w:tcPr>
          <w:p>
            <w:pPr>
              <w:spacing w:before="28" w:after="28"/>
            </w:pPr>
            <w:r>
              <w:rPr>
                <w:sz w:val="15"/>
                <w:szCs w:val="15"/>
              </w:rPr>
              <w:t xml:space="preserve">Financing</w:t>
            </w:r>
          </w:p>
        </w:tc>
        <w:tc>
          <w:tcPr>
            <w:tcW w:type="pct" w:w="2005"/>
            <w:tcMar>
              <w:top w:type="dxa" w:w="50"/>
              <w:left w:type="dxa" w:w="110"/>
              <w:bottom w:type="dxa" w:w="50"/>
              <w:right w:type="dxa" w:w="110"/>
            </w:tcMar>
          </w:tcPr>
          <w:p>
            <w:pPr>
              <w:spacing w:before="28" w:after="28"/>
            </w:pPr>
            <w:r>
              <w:rPr>
                <w:sz w:val="15"/>
                <w:szCs w:val="15"/>
              </w:rPr>
              <w:t xml:space="preserve">Operating</w:t>
            </w:r>
          </w:p>
        </w:tc>
      </w:tr>
      <w:tr>
        <w:tc>
          <w:tcPr>
            <w:tcW w:type="pct" w:w="820"/>
            <w:shd w:fill="FBFAF6" w:val="clear"/>
            <w:tcMar>
              <w:top w:type="dxa" w:w="50"/>
              <w:left w:type="dxa" w:w="110"/>
              <w:bottom w:type="dxa" w:w="50"/>
              <w:right w:type="dxa" w:w="110"/>
            </w:tcMar>
          </w:tcPr>
          <w:p>
            <w:pPr>
              <w:spacing w:before="28" w:after="28"/>
            </w:pPr>
            <w:r>
              <w:rPr>
                <w:sz w:val="15"/>
                <w:szCs w:val="15"/>
              </w:rPr>
              <w:t xml:space="preserve">Cash flow: interest</w:t>
            </w:r>
          </w:p>
        </w:tc>
        <w:tc>
          <w:tcPr>
            <w:tcW w:type="pct" w:w="2175"/>
            <w:shd w:fill="FBFAF6" w:val="clear"/>
            <w:tcMar>
              <w:top w:type="dxa" w:w="50"/>
              <w:left w:type="dxa" w:w="110"/>
              <w:bottom w:type="dxa" w:w="50"/>
              <w:right w:type="dxa" w:w="110"/>
            </w:tcMar>
          </w:tcPr>
          <w:p>
            <w:pPr>
              <w:spacing w:before="28" w:after="28"/>
            </w:pPr>
            <w:r>
              <w:rPr>
                <w:sz w:val="15"/>
                <w:szCs w:val="15"/>
              </w:rPr>
              <w:t xml:space="preserve">Operating</w:t>
            </w:r>
          </w:p>
        </w:tc>
        <w:tc>
          <w:tcPr>
            <w:tcW w:type="pct" w:w="2005"/>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820"/>
            <w:tcMar>
              <w:top w:type="dxa" w:w="50"/>
              <w:left w:type="dxa" w:w="110"/>
              <w:bottom w:type="dxa" w:w="50"/>
              <w:right w:type="dxa" w:w="110"/>
            </w:tcMar>
          </w:tcPr>
          <w:p>
            <w:pPr>
              <w:spacing w:before="28" w:after="28"/>
            </w:pPr>
            <w:r>
              <w:rPr>
                <w:sz w:val="15"/>
                <w:szCs w:val="15"/>
              </w:rPr>
              <w:t xml:space="preserve">Orontes at December 31, 2026</w:t>
            </w:r>
          </w:p>
        </w:tc>
        <w:tc>
          <w:tcPr>
            <w:tcW w:type="pct" w:w="2175"/>
            <w:tcMar>
              <w:top w:type="dxa" w:w="50"/>
              <w:left w:type="dxa" w:w="110"/>
              <w:bottom w:type="dxa" w:w="50"/>
              <w:right w:type="dxa" w:w="110"/>
            </w:tcMar>
          </w:tcPr>
          <w:p>
            <w:pPr>
              <w:spacing w:before="28" w:after="28"/>
            </w:pPr>
            <w:r>
              <w:rPr>
                <w:sz w:val="15"/>
                <w:szCs w:val="15"/>
              </w:rPr>
              <w:t xml:space="preserve">Liability 668,253: current 209,905, noncurrent 458,348; ROU asset 649,707</w:t>
            </w:r>
          </w:p>
        </w:tc>
        <w:tc>
          <w:tcPr>
            <w:tcW w:type="pct" w:w="2005"/>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Liability 346,510; ROU asset 346,510   ·   Financing   ·   Interest expense and amortization, shown separately   ·   Operating (part of the single payment)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Cash flow traps</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Operating-lease payments are operating cash flows, even though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on the balance sheet.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interest is operating under U.S. GAAP, not financing.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Finance-lease   ·   liability   ·   finance lease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lessor   ·   finance lease   ·   operating lease</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Presentation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right-of-use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Interest expense and amortization, shown 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Operating (part of the single 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Liability 346,510; ROU asset 346,510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noncurrent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amortization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Finance-lease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finance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operating-lease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operating lease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On the balance sheet, the right-of-use assets and lease liabilities of finance leases are shown separately from those of operating leases, or disclosed with the line items that contain them. Each liability is split into a current part, the principal due within a year, and a noncurrent part. On the income statement, a finance lease shows interest expense and amortization separately; an operating lease shows one lease cost in operating expenses. In the statement of cash flows, finance-lease principal is financing; its interest and all operating-lease payments are operating. New leases are a noncash investing and financing activity, disclosed separately.</w:t>
      </w:r>
    </w:p>
    <w:p>
      <w:pPr>
        <w:spacing w:before="20" w:after="20"/>
        <w:ind w:left="240" w:hanging="240"/>
      </w:pPr>
      <w:r>
        <w:rPr>
          <w:b/>
          <w:bCs/>
          <w:color w:val="353A7C"/>
          <w:sz w:val="15"/>
          <w:szCs w:val="15"/>
        </w:rPr>
        <w:t xml:space="preserve">Summary 2   </w:t>
      </w:r>
      <w:r>
        <w:rPr>
          <w:color w:val="6B7280"/>
          <w:sz w:val="15"/>
          <w:szCs w:val="15"/>
        </w:rPr>
        <w:t xml:space="preserve">Operating-lease payments are operating cash flows, even though a liability is on the balance sheet. Finance-lease interest is operating under U.S. GAAP, not financing.</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14.6  Short-term leases, sale and leaseback, and IFRS 16</w:t>
            </w:r>
          </w:p>
          <w:p>
            <w:pPr>
              <w:spacing w:before="0" w:after="46"/>
            </w:pPr>
            <w:r>
              <w:rPr>
                <w:color w:val="E8EAF6"/>
                <w:sz w:val="16"/>
                <w:szCs w:val="16"/>
              </w:rPr>
              <w:t xml:space="preserve">Chapter 14 · section 14.6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lease lasts 12 months or less and has no purchase option that the lessee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certain to use. </w:t>
      </w:r>
      <w:r>
        <w:rPr>
          <w:sz w:val="19"/>
          <w:szCs w:val="19"/>
        </w:rPr>
        <w:t xml:space="preserve">A lessee may choose, by class of asset, to keep such leases off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sheet and expense the payments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U.S. GAAP has no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low-value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In a sale and leaseback, a company sells an asset and leases it back. </w:t>
      </w:r>
      <w:r>
        <w:rPr>
          <w:sz w:val="19"/>
          <w:szCs w:val="19"/>
        </w:rPr>
        <w:t xml:space="preserve">It is a sale only if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passes to the buyer under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rules. </w:t>
      </w:r>
      <w:r>
        <w:rPr>
          <w:sz w:val="19"/>
          <w:szCs w:val="19"/>
        </w:rPr>
        <w:t xml:space="preserve">If the leaseback is a finance lease, or the seller can buy the asset back, there is no sale: the cash received is a loan.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assets   ·   reasonably   ·   balance   ·   exemption   ·   short-term   ·   straight-line   ·   sale and leaseback   ·   revenue</w:t>
            </w:r>
          </w:p>
        </w:tc>
      </w:tr>
    </w:tbl>
    <w:p/>
    <w:p>
      <w:pPr>
        <w:spacing w:before="44" w:after="10"/>
      </w:pPr>
      <w:r>
        <w:rPr>
          <w:b/>
          <w:bCs/>
          <w:color w:val="353A7C"/>
          <w:sz w:val="18"/>
          <w:szCs w:val="18"/>
        </w:rPr>
        <w:t xml:space="preserve">Leases: U.S. GAAP (ASC 842) and IFRS 16</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65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659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plus interest: higher early   ·   residual value guarantee   ·   Operating   ·   Exemption allowed   ·   Remeasure the liability</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ASU 2023-01, on leases between companies under common control, is testable now 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level. </w:t>
      </w:r>
      <w:r>
        <w:rPr>
          <w:sz w:val="19"/>
          <w:szCs w:val="19"/>
        </w:rPr>
        <w:t xml:space="preserve">ASU 2025-12 changes 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disclosure only; it is not testable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 and leaseback   ·   awareness   ·   lessor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leases signed in 2028 (whole U — Details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Barada Wholesale, leases signed in 2028 (whole U</w:t>
            </w:r>
          </w:p>
        </w:tc>
        <w:tc>
          <w:tcPr>
            <w:tcW w:type="pct" w:w="2600"/>
            <w:tcMar>
              <w:top w:type="dxa" w:w="50"/>
              <w:left w:type="dxa" w:w="110"/>
              <w:bottom w:type="dxa" w:w="50"/>
              <w:right w:type="dxa" w:w="110"/>
            </w:tcMar>
          </w:tcPr>
          <w:p>
            <w:pPr>
              <w:spacing w:before="26" w:after="26"/>
            </w:pPr>
            <w:r>
              <w:rPr>
                <w:b/>
                <w:bCs/>
                <w:color w:val="353A7C"/>
                <w:sz w:val="15"/>
                <w:szCs w:val="15"/>
              </w:rPr>
              <w:t xml:space="preserve">Details</w:t>
            </w:r>
          </w:p>
        </w:tc>
      </w:tr>
      <w:tr>
        <w:tc>
          <w:tcPr>
            <w:tcW w:type="pct" w:w="2400"/>
            <w:tcMar>
              <w:top w:type="dxa" w:w="50"/>
              <w:left w:type="dxa" w:w="110"/>
              <w:bottom w:type="dxa" w:w="50"/>
              <w:right w:type="dxa" w:w="110"/>
            </w:tcMar>
          </w:tcPr>
          <w:p>
            <w:pPr>
              <w:spacing w:before="26" w:after="26"/>
            </w:pPr>
            <w:r>
              <w:rPr>
                <w:color w:val="232733"/>
                <w:sz w:val="16"/>
                <w:szCs w:val="16"/>
              </w:rPr>
              <w:t xml:space="preserve">L1 Delivery trucks</w:t>
            </w:r>
          </w:p>
        </w:tc>
        <w:tc>
          <w:tcPr>
            <w:tcW w:type="pct" w:w="2600"/>
            <w:tcMar>
              <w:top w:type="dxa" w:w="50"/>
              <w:left w:type="dxa" w:w="110"/>
              <w:bottom w:type="dxa" w:w="50"/>
              <w:right w:type="dxa" w:w="110"/>
            </w:tcMar>
          </w:tcPr>
          <w:p>
            <w:pPr>
              <w:spacing w:before="26" w:after="26"/>
            </w:pPr>
            <w:r>
              <w:rPr>
                <w:color w:val="232733"/>
                <w:sz w:val="16"/>
                <w:szCs w:val="16"/>
              </w:rPr>
              <w:t xml:space="preserve">3-year lease from January 1, 2028; 30,000 at the end of each year; economic life 8 years; fair value 150,000; no ownership transfer, no purc</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L2 Forklift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5-year lease with an option to buy the forklift for $1 at the end; Barada is reasonably certain to use it.</w:t>
            </w:r>
          </w:p>
        </w:tc>
      </w:tr>
      <w:tr>
        <w:tc>
          <w:tcPr>
            <w:tcW w:type="pct" w:w="2400"/>
            <w:tcMar>
              <w:top w:type="dxa" w:w="50"/>
              <w:left w:type="dxa" w:w="110"/>
              <w:bottom w:type="dxa" w:w="50"/>
              <w:right w:type="dxa" w:w="110"/>
            </w:tcMar>
          </w:tcPr>
          <w:p>
            <w:pPr>
              <w:spacing w:before="26" w:after="26"/>
            </w:pPr>
            <w:r>
              <w:rPr>
                <w:color w:val="232733"/>
                <w:sz w:val="16"/>
                <w:szCs w:val="16"/>
              </w:rPr>
              <w:t xml:space="preserve">L3 Storage room</w:t>
            </w:r>
          </w:p>
        </w:tc>
        <w:tc>
          <w:tcPr>
            <w:tcW w:type="pct" w:w="2600"/>
            <w:tcMar>
              <w:top w:type="dxa" w:w="50"/>
              <w:left w:type="dxa" w:w="110"/>
              <w:bottom w:type="dxa" w:w="50"/>
              <w:right w:type="dxa" w:w="110"/>
            </w:tcMar>
          </w:tcPr>
          <w:p>
            <w:pPr>
              <w:spacing w:before="26" w:after="26"/>
            </w:pPr>
            <w:r>
              <w:rPr>
                <w:color w:val="232733"/>
                <w:sz w:val="16"/>
                <w:szCs w:val="16"/>
              </w:rPr>
              <w:t xml:space="preserve">10-month lease; no purchase option. Barada applies the short-term exemption.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L4 Laptops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3-year lease of office laptops; standard terms; no transfer or option.</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Barada's incremental borrowing rate is 8%. The rate implicit in the leases is not known. Barada is not a public business entity but does not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Present value of an annuity of $1 for 3 years at 8%: 2.5771.</w:t>
            </w:r>
          </w:p>
        </w:tc>
      </w:tr>
    </w:tbl>
    <w:p/>
    <w:p>
      <w:pPr>
        <w:spacing w:before="44" w:after="10"/>
      </w:pPr>
      <w:r>
        <w:rPr>
          <w:b/>
          <w:bCs/>
          <w:color w:val="353A7C"/>
          <w:sz w:val="18"/>
          <w:szCs w:val="18"/>
        </w:rPr>
        <w:t xml:space="preserve">Item — Answer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24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244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2029   ·   finance lease</w:t>
            </w:r>
          </w:p>
        </w:tc>
      </w:tr>
    </w:tbl>
    <w:p/>
    <w:p>
      <w:pPr>
        <w:spacing w:before="44" w:after="10"/>
      </w:pPr>
      <w:r>
        <w:rPr>
          <w:b/>
          <w:bCs/>
          <w:color w:val="353A7C"/>
          <w:sz w:val="18"/>
          <w:szCs w:val="18"/>
        </w:rPr>
        <w:t xml:space="preserve">Lease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L1 Delivery trucks   ·   right-of-use asset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borrowing rate   ·   lease   ·   operating lease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short-term lease</w:t>
            </w:r>
          </w:p>
        </w:tc>
        <w:tc>
          <w:tcPr>
            <w:tcW w:type="pct" w:w="2600"/>
            <w:tcMar>
              <w:top w:type="dxa" w:w="50"/>
              <w:left w:type="dxa" w:w="110"/>
              <w:bottom w:type="dxa" w:w="50"/>
              <w:right w:type="dxa" w:w="110"/>
            </w:tcMar>
          </w:tcPr>
          <w:p>
            <w:pPr>
              <w:spacing w:before="26" w:after="26"/>
            </w:pPr>
            <w:r>
              <w:rPr>
                <w:color w:val="232733"/>
                <w:sz w:val="16"/>
                <w:szCs w:val="16"/>
              </w:rPr>
              <w:t xml:space="preserve">عقد إيجار قصير الأجل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 and leaseback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البيع وإعادة الاستئجار</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14.6  Short-term leases, sale and leaseback, and IFRS 16</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Exemption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reasonably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Remeasure the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awareness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exemption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lessor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assets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2029</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control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L1 Delivery trucks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Depreciation plus interest: higher early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operating lease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short-term lease lasts 12 months or less and has no purchase option that the lessee is reasonably certain to use. A lessee may choose, by class of asset, to keep such leases off the balance sheet and expense the payments straight-line. U.S. GAAP has no exemption for low-value assets. In a sale and leaseback, a company sells an asset and leases it back. It is a sale only if control passes to the buyer under the revenue rules. If the leaseback is a finance lease, or the seller can buy the asset back, there is no sale: the cash received is a loan.</w:t>
      </w:r>
    </w:p>
    <w:p>
      <w:pPr>
        <w:spacing w:before="20" w:after="20"/>
        <w:ind w:left="240" w:hanging="240"/>
      </w:pPr>
      <w:r>
        <w:rPr>
          <w:b/>
          <w:bCs/>
          <w:color w:val="353A7C"/>
          <w:sz w:val="15"/>
          <w:szCs w:val="15"/>
        </w:rPr>
        <w:t xml:space="preserve">Summary 2   </w:t>
      </w:r>
      <w:r>
        <w:rPr>
          <w:color w:val="6B7280"/>
          <w:sz w:val="15"/>
          <w:szCs w:val="15"/>
        </w:rPr>
        <w:t xml:space="preserve">ASU 2023-01, on leases between companies under common control, is testable now at awareness level. ASU 2025-12 changes a lessor disclosure only; it is not testable before about January 2028.</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What is a lease?</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Finance or operating? The five criteria</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Initial measurement</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Subsequent measurement: two expense patterns</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Presentation</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14.6 · Short-term leases, sale and leaseback, and IFRS 16</w:t>
          </w:r>
        </w:p>
      </w:tc>
      <w:tc>
        <w:tcPr>
          <w:tcW w:type="pct" w:w="1400"/>
          <w:tcMar>
            <w:top w:type="dxa" w:w="-30"/>
            <w:left w:type="dxa" w:w="30"/>
            <w:bottom w:type="dxa" w:w="-30"/>
            <w:right w:type="dxa" w:w="30"/>
          </w:tcMar>
        </w:tcPr>
        <w:p>
          <w:pPr>
            <w:jc w:val="right"/>
          </w:pPr>
          <w:r>
            <w:rPr>
              <w:color w:val="6B7280"/>
              <w:sz w:val="16"/>
              <w:szCs w:val="16"/>
            </w:rPr>
            <w:t xml:space="preserve">Handout 14.6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776c6b5a63e28bf0ab03f96d24213c48de3f18e.png" Type="http://schemas.openxmlformats.org/officeDocument/2006/relationships/image"/><Relationship Id="rId102" Target="media/8885d56f995715eb8f3f60420f7455522f14a306.png" Type="http://schemas.openxmlformats.org/officeDocument/2006/relationships/image"/><Relationship Id="rId103" Target="media/d6d005d4bf954d87e6fb33802837852b9ea4d784.png" Type="http://schemas.openxmlformats.org/officeDocument/2006/relationships/image"/><Relationship Id="rId104" Target="media/efba1b3cdcdf52eef4a7a4aaf8d693d193eab6a2.png" Type="http://schemas.openxmlformats.org/officeDocument/2006/relationships/image"/><Relationship Id="rId105" Target="media/d27deb1ed355fc39e094f54cd534fd651c47c66e.png" Type="http://schemas.openxmlformats.org/officeDocument/2006/relationships/image"/><Relationship Id="rId106" Target="media/941134ed4f508cb0d5c6af5cff90e7bf7441d25c.png" Type="http://schemas.openxmlformats.org/officeDocument/2006/relationships/image"/><Relationship Id="rId107" Target="media/08e8deea6bfa4e1236ecc9434be27dc73ef3e0d9.png" Type="http://schemas.openxmlformats.org/officeDocument/2006/relationships/image"/><Relationship Id="rId108" Target="media/4d6055dc9e0295e69b30ee53a39ef58422a6bbd7.png" Type="http://schemas.openxmlformats.org/officeDocument/2006/relationships/image"/><Relationship Id="rId109" Target="media/4c4e9706d86108fc78dc35c4b6fc97e16e923c37.png" Type="http://schemas.openxmlformats.org/officeDocument/2006/relationships/image"/><Relationship Id="rId110" Target="media/eadcb7c9fbee0668d6a1974823a5bd96383091c0.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14</dc:title>
  <dc:subject>Summary handouts</dc:subject>
  <cp:category>Student Book</cp:category>
</cp:coreProperties>
</file>