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Presentation and IFRS differences   ·   Gains and losses</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gain 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statement, most gains and losses appear in other income and expense, below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   settling   ·   investment   ·   loss   ·   multi-step   ·   holding gain or loss   ·   reported   ·   peripheral</w:t>
            </w:r>
          </w:p>
        </w:tc>
      </w:tr>
    </w:tbl>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6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61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comprehensive income   ·   Unrealized loss on AFS debt securities, net of tax</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carrying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multi-step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Expenses are recognized in one of three ways. </w:t>
      </w:r>
      <w:r>
        <w:rPr>
          <w:sz w:val="19"/>
          <w:szCs w:val="19"/>
        </w:rPr>
        <w:t xml:space="preserve">When there is a clear cause and effect,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follows the related revenue: cost of goods sold is recognized when the goods are sold. </w:t>
      </w:r>
      <w:r>
        <w:rPr>
          <w:sz w:val="19"/>
          <w:szCs w:val="19"/>
        </w:rPr>
        <w:t xml:space="preserve">This is the matching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Chapter 11. </w:t>
      </w:r>
      <w:r>
        <w:rPr>
          <w:sz w:val="19"/>
          <w:szCs w:val="19"/>
        </w:rPr>
        <w:t xml:space="preserve">When a cost benefits several periods but cannot be linked to specific revenue, it is spread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bottling line and the expiry of prepaid rent are examples.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expense   ·   principle   ·   systematic   ·   Depreciation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16"/>
        <w:gridCol w:w="2332"/>
        <w:gridCol w:w="485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258"/>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214"/>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527"/>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258"/>
            <w:tcMar>
              <w:top w:type="dxa" w:w="50"/>
              <w:left w:type="dxa" w:w="110"/>
              <w:bottom w:type="dxa" w:w="50"/>
              <w:right w:type="dxa" w:w="110"/>
            </w:tcMar>
          </w:tcPr>
          <w:p>
            <w:pPr>
              <w:spacing w:before="28" w:after="28"/>
            </w:pPr>
            <w:r>
              <w:rPr>
                <w:sz w:val="15"/>
                <w:szCs w:val="15"/>
              </w:rPr>
              <w:t xml:space="preserve">Cause and effect (matching)</w:t>
            </w:r>
          </w:p>
        </w:tc>
        <w:tc>
          <w:tcPr>
            <w:tcW w:type="pct" w:w="1214"/>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527"/>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258"/>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214"/>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527"/>
            <w:shd w:fill="FBFAF6" w:val="clear"/>
            <w:tcMar>
              <w:top w:type="dxa" w:w="50"/>
              <w:left w:type="dxa" w:w="110"/>
              <w:bottom w:type="dxa" w:w="50"/>
              <w:right w:type="dxa" w:w="110"/>
            </w:tcMar>
          </w:tcPr>
          <w:p>
            <w:pPr>
              <w:spacing w:before="28" w:after="28"/>
            </w:pPr>
            <w:r>
              <w:rPr>
                <w:sz w:val="15"/>
                <w:szCs w:val="15"/>
              </w:rPr>
              <w:t xml:space="preserve">Depreciation of the bottling line; prepaid rent</w:t>
            </w:r>
          </w:p>
        </w:tc>
      </w:tr>
      <w:tr>
        <w:tc>
          <w:tcPr>
            <w:tcW w:type="pct" w:w="1258"/>
            <w:tcMar>
              <w:top w:type="dxa" w:w="50"/>
              <w:left w:type="dxa" w:w="110"/>
              <w:bottom w:type="dxa" w:w="50"/>
              <w:right w:type="dxa" w:w="110"/>
            </w:tcMar>
          </w:tcPr>
          <w:p>
            <w:pPr>
              <w:spacing w:before="28" w:after="28"/>
            </w:pPr>
            <w:r>
              <w:rPr>
                <w:sz w:val="15"/>
                <w:szCs w:val="15"/>
              </w:rPr>
              <w:t xml:space="preserve">Immediate recognition</w:t>
            </w:r>
          </w:p>
        </w:tc>
        <w:tc>
          <w:tcPr>
            <w:tcW w:type="pct" w:w="121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527"/>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spread over the periods that benefit   ·   No clear link to future revenue: a period cost   ·   Expense follows the related revenue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ASU 2024-03 will require public companies to break down some expense captions in the notes, for example into inventory purchases, employee pay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recognition   ·   depreciation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Expenses are recognized in one of three ways. When there is a clear cause and effect, the expense follows the related revenue: cost of goods sold is recognized when the goods are sold. This is the matching principle from Chapter 11. When a cost benefits several periods but cannot be linked to specific revenue, it is spread by systematic and rational allocation. Depreciation of the bottling line and the expiry of prepaid rent are examples.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Comprehensive income is net income plus other comprehensive income. </w:t>
      </w:r>
      <w:r>
        <w:rPr>
          <w:sz w:val="19"/>
          <w:szCs w:val="19"/>
        </w:rPr>
        <w:t xml:space="preserve">U.S. OCI includes holding gains and losses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adjustments, the effective part of cash-flow hedges, and some pension gains and losses.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translation   ·   reclassification   ·   available-for-sale   ·   counted   ·   removes   ·   comprehensive income   ·   Unrealized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After tax at 25%, OCI is $6,000, and AOCI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$2,000 and a reclassification of −$10,000: a net OCI loss of $8,000 before tax, $6,000 after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comprehensive income   ·   amount   ·   gain</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gain or loss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Report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reclassification adjustment   ·   Comprehensive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period cost   ·   gain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disposal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First, it is a component of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its operations and cash flows can be clearly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rest of the company.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disposal is a strategic shift that has, or will have, a major effect on operations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Third, the component has been sold,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spun off, or it is held for sale. </w:t>
      </w:r>
      <w:r>
        <w:rPr>
          <w:sz w:val="19"/>
          <w:szCs w:val="19"/>
        </w:rPr>
        <w:t xml:space="preserve">Examples of a strategic shift are leaving a major line of business, a major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area or a major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investment. </w:t>
      </w:r>
      <w:r>
        <w:rPr>
          <w:sz w:val="19"/>
          <w:szCs w:val="19"/>
        </w:rPr>
        <w:t xml:space="preserve">There is no official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Selling one machine, one store or one small product is not a strategic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Second   ·   geographic   ·   percentage   ·   results   ·   entity   ·   separated   ·   strategic shift   ·   equity-method   ·   things   ·   reported   ·   judgment   ·   abandoned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these disposals happen</w:t>
            </w:r>
          </w:p>
        </w:tc>
        <w:tc>
          <w:tcPr>
            <w:tcW w:type="pct" w:w="2400"/>
            <w:tcMar>
              <w:top w:type="dxa" w:w="50"/>
              <w:left w:type="dxa" w:w="110"/>
              <w:bottom w:type="dxa" w:w="50"/>
              <w:right w:type="dxa" w:w="110"/>
            </w:tcMar>
          </w:tcPr>
          <w:p>
            <w:pPr>
              <w:spacing w:before="26" w:after="26"/>
            </w:pPr>
            <w:r>
              <w:rPr>
                <w:b/>
                <w:bCs/>
                <w:color w:val="353A7C"/>
                <w:sz w:val="15"/>
                <w:szCs w:val="15"/>
              </w:rPr>
              <w:t xml:space="preserve">Discontinued operation?</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its whole frozen-foods business, one of its four product lines</w:t>
            </w:r>
          </w:p>
        </w:tc>
        <w:tc>
          <w:tcPr>
            <w:tcW w:type="pct" w:w="2400"/>
            <w:tcMar>
              <w:top w:type="dxa" w:w="50"/>
              <w:left w:type="dxa" w:w="110"/>
              <w:bottom w:type="dxa" w:w="50"/>
              <w:right w:type="dxa" w:w="110"/>
            </w:tcMar>
          </w:tcPr>
          <w:p>
            <w:pPr>
              <w:spacing w:before="26" w:after="26"/>
            </w:pPr>
            <w:r>
              <w:rPr>
                <w:color w:val="232733"/>
                <w:sz w:val="16"/>
                <w:szCs w:val="16"/>
              </w:rPr>
              <w:t xml:space="preserve">Yes: a major line of business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closes one of its twelve olive-oil shops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 not a strategic shift</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all its operations in Jordan, its only foreign market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sells an old bottling machine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its 30% stake in Jordan Glass, a major equity-method investment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stops selling one flavour of juice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income   ·   held for sale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judgment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abandoned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First, it is a component of an entity: its operations and cash flows can be clearly separated from the rest of the company. Second, the disposal is a strategic shift that has, or will have, a major effect on operations and results. Third, the component has been sold, abandoned or spun off, or it is held for sale. Examples of a strategic shift are leaving a major line of business, a major geographic area or a major equity-method investment.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stops, and later increases in value are recognized only up to the losses already recorded.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   held-for-sale   ·   reasonable   ·   measured   ·   discontinued   ·   disposal group   ·   Depreciation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Board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depreciation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held for sale   ·   write-down</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reclassification adjustment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disposal group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disposal group</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Depreciation stops, and later increases in value are recognized only up to the losses already recorded.</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Held-for-sale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of an entity   ·   presented   ·   gain   ·   liabilities   ·   remeasurement   ·   Public   ·   per-share   ·   reclassified</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Unchanged   ·   Component + strategic shift with a major effect   ·   Re-presented: assets and liabilities shown separately   ·   disposal group   ·   Highly probable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Résultat exceptionnel and بنود استثنائية</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French résultat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Arabic بنود استثنائية describe unusual items in local practice. </w:t>
      </w:r>
      <w:r>
        <w:rPr>
          <w:sz w:val="19"/>
          <w:szCs w:val="19"/>
        </w:rPr>
        <w:t xml:space="preserve">U.S. GAAP has no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discontinued   ·   extraordinary   ·   exceptionnel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Résultat exceptionnel and بنود استثنائية</w:t>
            </w:r>
          </w:p>
        </w:tc>
      </w:tr>
      <w:tr>
        <w:tc>
          <w:tcPr>
            <w:tcW w:type="pct" w:w="2400"/>
            <w:tcMar>
              <w:top w:type="dxa" w:w="50"/>
              <w:left w:type="dxa" w:w="110"/>
              <w:bottom w:type="dxa" w:w="50"/>
              <w:right w:type="dxa" w:w="110"/>
            </w:tcMar>
          </w:tcPr>
          <w:p>
            <w:pPr>
              <w:spacing w:before="26" w:after="26"/>
            </w:pPr>
            <w:r>
              <w:rPr>
                <w:b/>
                <w:bCs/>
                <w:color w:val="353A7C"/>
                <w:sz w:val="15"/>
                <w:szCs w:val="15"/>
              </w:rPr>
              <w:t xml:space="preserve">Suppose: Orontes, 2027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Operating income</w:t>
            </w:r>
          </w:p>
        </w:tc>
        <w:tc>
          <w:tcPr>
            <w:tcW w:type="pct" w:w="2600"/>
            <w:tcMar>
              <w:top w:type="dxa" w:w="50"/>
              <w:left w:type="dxa" w:w="110"/>
              <w:bottom w:type="dxa" w:w="50"/>
              <w:right w:type="dxa" w:w="110"/>
            </w:tcMar>
          </w:tcPr>
          <w:p>
            <w:pPr>
              <w:spacing w:before="26" w:after="26"/>
            </w:pPr>
            <w:r>
              <w:rPr>
                <w:color w:val="232733"/>
                <w:sz w:val="16"/>
                <w:szCs w:val="16"/>
              </w:rPr>
              <w:t xml:space="preserve">5,000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 on sale of a warehouse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200</w:t>
            </w:r>
          </w:p>
        </w:tc>
      </w:tr>
      <w:tr>
        <w:tc>
          <w:tcPr>
            <w:tcW w:type="pct" w:w="2400"/>
            <w:tcMar>
              <w:top w:type="dxa" w:w="50"/>
              <w:left w:type="dxa" w:w="110"/>
              <w:bottom w:type="dxa" w:w="50"/>
              <w:right w:type="dxa" w:w="110"/>
            </w:tcMar>
          </w:tcPr>
          <w:p>
            <w:pPr>
              <w:spacing w:before="26" w:after="26"/>
            </w:pPr>
            <w:r>
              <w:rPr>
                <w:color w:val="232733"/>
                <w:sz w:val="16"/>
                <w:szCs w:val="16"/>
              </w:rPr>
              <w:t xml:space="preserve">Loss on settlement of a lawsuit (unusual for Orontes)</w:t>
            </w:r>
          </w:p>
        </w:tc>
        <w:tc>
          <w:tcPr>
            <w:tcW w:type="pct" w:w="2600"/>
            <w:tcMar>
              <w:top w:type="dxa" w:w="50"/>
              <w:left w:type="dxa" w:w="110"/>
              <w:bottom w:type="dxa" w:w="50"/>
              <w:right w:type="dxa" w:w="110"/>
            </w:tcMar>
          </w:tcPr>
          <w:p>
            <w:pPr>
              <w:spacing w:before="26" w:after="26"/>
            </w:pPr>
            <w:r>
              <w:rPr>
                <w:color w:val="232733"/>
                <w:sz w:val="16"/>
                <w:szCs w:val="16"/>
              </w:rPr>
              <w:t xml:space="preserve">120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w:t>
            </w:r>
          </w:p>
        </w:tc>
      </w:tr>
      <w:tr>
        <w:tc>
          <w:tcPr>
            <w:tcW w:type="pct" w:w="2400"/>
            <w:tcMar>
              <w:top w:type="dxa" w:w="50"/>
              <w:left w:type="dxa" w:w="110"/>
              <w:bottom w:type="dxa" w:w="50"/>
              <w:right w:type="dxa" w:w="110"/>
            </w:tcMar>
          </w:tcPr>
          <w:p>
            <w:pPr>
              <w:spacing w:before="26" w:after="26"/>
            </w:pPr>
            <w:r>
              <w:rPr>
                <w:color w:val="232733"/>
                <w:sz w:val="16"/>
                <w:szCs w:val="16"/>
              </w:rPr>
              <w:t xml:space="preserve">Dry-foods division: operating loss before tax</w:t>
            </w:r>
          </w:p>
        </w:tc>
        <w:tc>
          <w:tcPr>
            <w:tcW w:type="pct" w:w="2600"/>
            <w:tcMar>
              <w:top w:type="dxa" w:w="50"/>
              <w:left w:type="dxa" w:w="110"/>
              <w:bottom w:type="dxa" w:w="50"/>
              <w:right w:type="dxa" w:w="110"/>
            </w:tcMar>
          </w:tcPr>
          <w:p>
            <w:pPr>
              <w:spacing w:before="26" w:after="26"/>
            </w:pPr>
            <w:r>
              <w:rPr>
                <w:color w:val="232733"/>
                <w:sz w:val="16"/>
                <w:szCs w:val="16"/>
              </w:rPr>
              <w:t xml:space="preserve">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Dry-foods division: gain on sale before tax</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280</w:t>
            </w:r>
          </w:p>
        </w:tc>
      </w:tr>
      <w:tr>
        <w:tc>
          <w:tcPr>
            <w:tcW w:type="pct" w:w="2400"/>
            <w:tcMar>
              <w:top w:type="dxa" w:w="50"/>
              <w:left w:type="dxa" w:w="110"/>
              <w:bottom w:type="dxa" w:w="50"/>
              <w:right w:type="dxa" w:w="110"/>
            </w:tcMar>
          </w:tcPr>
          <w:p>
            <w:pPr>
              <w:spacing w:before="26" w:after="26"/>
            </w:pPr>
            <w:r>
              <w:rPr>
                <w:color w:val="232733"/>
                <w:sz w:val="16"/>
                <w:szCs w:val="16"/>
              </w:rPr>
              <w:t xml:space="preserve">Unrealized holding gain on AFS debt securities during 2027</w:t>
            </w:r>
          </w:p>
        </w:tc>
        <w:tc>
          <w:tcPr>
            <w:tcW w:type="pct" w:w="2600"/>
            <w:tcMar>
              <w:top w:type="dxa" w:w="50"/>
              <w:left w:type="dxa" w:w="110"/>
              <w:bottom w:type="dxa" w:w="50"/>
              <w:right w:type="dxa" w:w="110"/>
            </w:tcMar>
          </w:tcPr>
          <w:p>
            <w:pPr>
              <w:spacing w:before="26" w:after="26"/>
            </w:pPr>
            <w:r>
              <w:rPr>
                <w:color w:val="232733"/>
                <w:sz w:val="16"/>
                <w:szCs w:val="16"/>
              </w:rPr>
              <w:t xml:space="preserve">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24</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In 2027 Orontes sold its dry-foods division, one of its main product lines. The sale is a strategic shift with a major effect.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Orontes presents one continuous statement of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continuing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Yes: a major equity-method investment.   ·   Yes: a major geographic area.</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strategic shift   ·   Lawsuit settlement loss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reclassification adjustment   ·   discontinued operation</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exceptionnel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Yes: a major geographic area.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discontinued operation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French résultat exceptionnel and Arabic بنود استثنائية describe unusual items in local practice. U.S. GAAP has no extraordinary items: unusual or infrequent items stay in continuing operations, before tax. Only discontinued operations are shown net of tax below continuing operations.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2a9934a2cc54763376018192982dbe168d76f81.png" Type="http://schemas.openxmlformats.org/officeDocument/2006/relationships/image"/><Relationship Id="rId102" Target="media/7acdde8451e825d014bd4b53c254fcc9995b0c96.png" Type="http://schemas.openxmlformats.org/officeDocument/2006/relationships/image"/><Relationship Id="rId103" Target="media/9e58a154613cce5e2cb53e53b62c7ce98cfee301.png" Type="http://schemas.openxmlformats.org/officeDocument/2006/relationships/image"/><Relationship Id="rId104" Target="media/d80c11d15bcdc132d74e4e13f88909bddd396142.png" Type="http://schemas.openxmlformats.org/officeDocument/2006/relationships/image"/><Relationship Id="rId105" Target="media/f5dd3b920dfa5b321a2128a992a3b06361596b99.png" Type="http://schemas.openxmlformats.org/officeDocument/2006/relationships/image"/><Relationship Id="rId106" Target="media/7a2ec0234c112245442089cde013eef71bec233d.png" Type="http://schemas.openxmlformats.org/officeDocument/2006/relationships/image"/><Relationship Id="rId107" Target="media/ada53e27cca88ff7b17ee6ecf97332efc3adbcb8.png" Type="http://schemas.openxmlformats.org/officeDocument/2006/relationships/image"/><Relationship Id="rId108" Target="media/861890a058581dfe0c0fb9c44650791d5bdee810.png" Type="http://schemas.openxmlformats.org/officeDocument/2006/relationships/image"/><Relationship Id="rId109" Target="media/182de408505579a02a5e7245569881ec66a783f7.png" Type="http://schemas.openxmlformats.org/officeDocument/2006/relationships/image"/><Relationship Id="rId110" Target="media/11f0b736dde8b3b6df2e61ae31d283dc43615fb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15</dc:title>
  <dc:subject>Summary handouts</dc:subject>
  <cp:category>Student Book</cp:category>
</cp:coreProperties>
</file>