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17.1  (i) Share-based payments and employee benefits</w:t>
            </w:r>
          </w:p>
          <w:p>
            <w:pPr>
              <w:spacing w:before="0" w:after="46"/>
            </w:pPr>
            <w:r>
              <w:rPr>
                <w:color w:val="E8EAF6"/>
                <w:sz w:val="16"/>
                <w:szCs w:val="16"/>
              </w:rPr>
              <w:t xml:space="preserve">Chapter 17 · section 17.1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17,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886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18862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defined benefit plan   ·   (iii) Inventories   ·   (v) Long-lived assets</w:t>
            </w:r>
          </w:p>
        </w:tc>
      </w:tr>
    </w:tbl>
    <w:p/>
    <w:p>
      <w:pPr>
        <w:spacing w:before="44" w:after="14"/>
      </w:pPr>
      <w:r>
        <w:rPr>
          <w:b/>
          <w:bCs/>
          <w:color w:val="353A7C"/>
          <w:sz w:val="18"/>
          <w:szCs w:val="18"/>
        </w:rPr>
        <w:t xml:space="preserve">Summary 1</w:t>
      </w:r>
      <w:r>
        <w:rPr>
          <w:color w:val="6B7280"/>
          <w:sz w:val="16"/>
          <w:szCs w:val="16"/>
        </w:rPr>
        <w:t xml:space="preserve">      gaps 3–8</w:t>
      </w:r>
    </w:p>
    <w:p>
      <w:pPr>
        <w:spacing w:before="20" w:after="20" w:line="360" w:lineRule="auto"/>
        <w:ind w:left="200"/>
      </w:pPr>
      <w:r>
        <w:rPr>
          <w:sz w:val="19"/>
          <w:szCs w:val="19"/>
        </w:rPr>
        <w:t xml:space="preserve">For share awards that vest in parts, or graded vesting, U.S. GAAP lets a company recognize the cost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over the whole period or tranche by tranche, when the awards have only service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IFRS 2 requires tranche by tranche, which puts more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in the early years. </w:t>
      </w:r>
      <w:r>
        <w:rPr>
          <w:sz w:val="19"/>
          <w:szCs w:val="19"/>
        </w:rPr>
        <w:t xml:space="preserve">U.S. GAAP also allows a policy choice to record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as they occur; IFRS 2 requires an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Employer payroll taxes on share awards are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when the tax obligation arises under U.S. GAAP, but accrued over the vesting period under IFRS.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estimate   ·   straight-line   ·   graded vesting   ·   conditions   ·   recognized   ·   expense   ·   forfeitures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469"/>
        <w:gridCol w:w="3995"/>
        <w:gridCol w:w="2136"/>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Share-based payments and employee benefits: U.S. GAAP and IFRS</w:t>
            </w:r>
          </w:p>
        </w:tc>
      </w:tr>
      <w:tr>
        <w:tc>
          <w:tcPr>
            <w:tcW w:type="pct" w:w="1807"/>
            <w:shd w:fill="353A7C" w:val="clear"/>
            <w:tcMar>
              <w:top w:type="dxa" w:w="50"/>
              <w:left w:type="dxa" w:w="110"/>
              <w:bottom w:type="dxa" w:w="50"/>
              <w:right w:type="dxa" w:w="110"/>
            </w:tcMar>
          </w:tcPr>
          <w:p>
            <w:pPr>
              <w:spacing w:before="30" w:after="30"/>
            </w:pPr>
            <w:r>
              <w:rPr>
                <w:b/>
                <w:bCs/>
                <w:color w:val="FFFFFF"/>
                <w:sz w:val="15"/>
                <w:szCs w:val="15"/>
              </w:rPr>
              <w:t xml:space="preserve">Topic</w:t>
            </w:r>
          </w:p>
        </w:tc>
        <w:tc>
          <w:tcPr>
            <w:tcW w:type="pct" w:w="2081"/>
            <w:shd w:fill="353A7C" w:val="clear"/>
            <w:tcMar>
              <w:top w:type="dxa" w:w="50"/>
              <w:left w:type="dxa" w:w="110"/>
              <w:bottom w:type="dxa" w:w="50"/>
              <w:right w:type="dxa" w:w="110"/>
            </w:tcMar>
          </w:tcPr>
          <w:p>
            <w:pPr>
              <w:spacing w:before="30" w:after="30"/>
            </w:pPr>
            <w:r>
              <w:rPr>
                <w:b/>
                <w:bCs/>
                <w:color w:val="FFFFFF"/>
                <w:sz w:val="15"/>
                <w:szCs w:val="15"/>
              </w:rPr>
              <w:t xml:space="preserve">U.S. GAAP (ASC 718, 715)</w:t>
            </w:r>
          </w:p>
        </w:tc>
        <w:tc>
          <w:tcPr>
            <w:tcW w:type="pct" w:w="1112"/>
            <w:shd w:fill="353A7C" w:val="clear"/>
            <w:tcMar>
              <w:top w:type="dxa" w:w="50"/>
              <w:left w:type="dxa" w:w="110"/>
              <w:bottom w:type="dxa" w:w="50"/>
              <w:right w:type="dxa" w:w="110"/>
            </w:tcMar>
          </w:tcPr>
          <w:p>
            <w:pPr>
              <w:spacing w:before="30" w:after="30"/>
            </w:pPr>
            <w:r>
              <w:rPr>
                <w:b/>
                <w:bCs/>
                <w:color w:val="FFFFFF"/>
                <w:sz w:val="15"/>
                <w:szCs w:val="15"/>
              </w:rPr>
              <w:t xml:space="preserve">IFRS (IFRS 2, IAS 19)</w:t>
            </w:r>
          </w:p>
        </w:tc>
      </w:tr>
      <w:tr>
        <w:tc>
          <w:tcPr>
            <w:tcW w:type="pct" w:w="1807"/>
            <w:tcMar>
              <w:top w:type="dxa" w:w="50"/>
              <w:left w:type="dxa" w:w="110"/>
              <w:bottom w:type="dxa" w:w="50"/>
              <w:right w:type="dxa" w:w="110"/>
            </w:tcMar>
          </w:tcPr>
          <w:p>
            <w:pPr>
              <w:spacing w:before="28" w:after="28"/>
            </w:pPr>
            <w:r>
              <w:rPr>
                <w:sz w:val="15"/>
                <w:szCs w:val="15"/>
              </w:rPr>
              <w:t xml:space="preserve">Graded vesting (service condition)</w:t>
            </w:r>
          </w:p>
        </w:tc>
        <w:tc>
          <w:tcPr>
            <w:tcW w:type="pct" w:w="2081"/>
            <w:tcMar>
              <w:top w:type="dxa" w:w="50"/>
              <w:left w:type="dxa" w:w="110"/>
              <w:bottom w:type="dxa" w:w="50"/>
              <w:right w:type="dxa" w:w="110"/>
            </w:tcMar>
          </w:tcPr>
          <w:p>
            <w:pPr>
              <w:spacing w:before="28" w:after="28"/>
            </w:pPr>
            <w:r>
              <w:rPr>
                <w:sz w:val="15"/>
                <w:szCs w:val="15"/>
              </w:rPr>
              <w:t xml:space="preserve">Choice: straight-line over the whole period or tranche by tranche</w:t>
            </w:r>
          </w:p>
        </w:tc>
        <w:tc>
          <w:tcPr>
            <w:tcW w:type="pct" w:w="1112"/>
            <w:shd w:fill="FFFFFF" w:val="clear"/>
            <w:tcMar>
              <w:top w:type="dxa" w:w="50"/>
              <w:left w:type="dxa" w:w="110"/>
              <w:bottom w:type="dxa" w:w="50"/>
              <w:right w:type="dxa" w:w="110"/>
            </w:tcMar>
          </w:tcPr>
          <w:p>
            <w:pPr>
              <w:spacing w:before="46" w:after="46"/>
            </w:pPr>
            <w:r>
              <w:rPr>
                <w:b/>
                <w:bCs/>
                <w:color w:val="8186EF"/>
                <w:sz w:val="14"/>
                <w:szCs w:val="14"/>
              </w:rPr>
              <w:t xml:space="preserve">(9)</w:t>
            </w:r>
          </w:p>
        </w:tc>
      </w:tr>
      <w:tr>
        <w:tc>
          <w:tcPr>
            <w:tcW w:type="pct" w:w="1807"/>
            <w:shd w:fill="FBFAF6" w:val="clear"/>
            <w:tcMar>
              <w:top w:type="dxa" w:w="50"/>
              <w:left w:type="dxa" w:w="110"/>
              <w:bottom w:type="dxa" w:w="50"/>
              <w:right w:type="dxa" w:w="110"/>
            </w:tcMar>
          </w:tcPr>
          <w:p>
            <w:pPr>
              <w:spacing w:before="28" w:after="28"/>
            </w:pPr>
            <w:r>
              <w:rPr>
                <w:sz w:val="15"/>
                <w:szCs w:val="15"/>
              </w:rPr>
              <w:t xml:space="preserve">Forfeitures</w:t>
            </w:r>
          </w:p>
        </w:tc>
        <w:tc>
          <w:tcPr>
            <w:tcW w:type="pct" w:w="2081"/>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1112"/>
            <w:shd w:fill="FBFAF6" w:val="clear"/>
            <w:tcMar>
              <w:top w:type="dxa" w:w="50"/>
              <w:left w:type="dxa" w:w="110"/>
              <w:bottom w:type="dxa" w:w="50"/>
              <w:right w:type="dxa" w:w="110"/>
            </w:tcMar>
          </w:tcPr>
          <w:p>
            <w:pPr>
              <w:spacing w:before="28" w:after="28"/>
            </w:pPr>
            <w:r>
              <w:rPr>
                <w:sz w:val="15"/>
                <w:szCs w:val="15"/>
              </w:rPr>
              <w:t xml:space="preserve">Estimate</w:t>
            </w:r>
          </w:p>
        </w:tc>
      </w:tr>
      <w:tr>
        <w:tc>
          <w:tcPr>
            <w:tcW w:type="pct" w:w="1807"/>
            <w:tcMar>
              <w:top w:type="dxa" w:w="50"/>
              <w:left w:type="dxa" w:w="110"/>
              <w:bottom w:type="dxa" w:w="50"/>
              <w:right w:type="dxa" w:w="110"/>
            </w:tcMar>
          </w:tcPr>
          <w:p>
            <w:pPr>
              <w:spacing w:before="28" w:after="28"/>
            </w:pPr>
            <w:r>
              <w:rPr>
                <w:sz w:val="15"/>
                <w:szCs w:val="15"/>
              </w:rPr>
              <w:t xml:space="preserve">Employer payroll taxes on awards</w:t>
            </w:r>
          </w:p>
        </w:tc>
        <w:tc>
          <w:tcPr>
            <w:tcW w:type="pct" w:w="2081"/>
            <w:tcMar>
              <w:top w:type="dxa" w:w="50"/>
              <w:left w:type="dxa" w:w="110"/>
              <w:bottom w:type="dxa" w:w="50"/>
              <w:right w:type="dxa" w:w="110"/>
            </w:tcMar>
          </w:tcPr>
          <w:p>
            <w:pPr>
              <w:spacing w:before="28" w:after="28"/>
            </w:pPr>
            <w:r>
              <w:rPr>
                <w:sz w:val="15"/>
                <w:szCs w:val="15"/>
              </w:rPr>
              <w:t xml:space="preserve">When the tax obligation arises (exercise or vesting)</w:t>
            </w:r>
          </w:p>
        </w:tc>
        <w:tc>
          <w:tcPr>
            <w:tcW w:type="pct" w:w="1112"/>
            <w:shd w:fill="FFFFFF" w:val="clear"/>
            <w:tcMar>
              <w:top w:type="dxa" w:w="50"/>
              <w:left w:type="dxa" w:w="110"/>
              <w:bottom w:type="dxa" w:w="50"/>
              <w:right w:type="dxa" w:w="110"/>
            </w:tcMar>
          </w:tcPr>
          <w:p>
            <w:pPr>
              <w:spacing w:before="46" w:after="46"/>
            </w:pPr>
            <w:r>
              <w:rPr>
                <w:b/>
                <w:bCs/>
                <w:color w:val="8186EF"/>
                <w:sz w:val="14"/>
                <w:szCs w:val="14"/>
              </w:rPr>
              <w:t xml:space="preserve">(11)</w:t>
            </w:r>
          </w:p>
        </w:tc>
      </w:tr>
      <w:tr>
        <w:tc>
          <w:tcPr>
            <w:tcW w:type="pct" w:w="1807"/>
            <w:shd w:fill="FBFAF6" w:val="clear"/>
            <w:tcMar>
              <w:top w:type="dxa" w:w="50"/>
              <w:left w:type="dxa" w:w="110"/>
              <w:bottom w:type="dxa" w:w="50"/>
              <w:right w:type="dxa" w:w="110"/>
            </w:tcMar>
          </w:tcPr>
          <w:p>
            <w:pPr>
              <w:spacing w:before="28" w:after="28"/>
            </w:pPr>
            <w:r>
              <w:rPr>
                <w:sz w:val="15"/>
                <w:szCs w:val="15"/>
              </w:rPr>
              <w:t xml:space="preserve">Pension remeasurements (actuarial gains and losses)</w:t>
            </w:r>
          </w:p>
        </w:tc>
        <w:tc>
          <w:tcPr>
            <w:tcW w:type="pct" w:w="2081"/>
            <w:shd w:fill="FBFAF6" w:val="clear"/>
            <w:tcMar>
              <w:top w:type="dxa" w:w="50"/>
              <w:left w:type="dxa" w:w="110"/>
              <w:bottom w:type="dxa" w:w="50"/>
              <w:right w:type="dxa" w:w="110"/>
            </w:tcMar>
          </w:tcPr>
          <w:p>
            <w:pPr>
              <w:spacing w:before="28" w:after="28"/>
            </w:pPr>
            <w:r>
              <w:rPr>
                <w:sz w:val="15"/>
                <w:szCs w:val="15"/>
              </w:rPr>
              <w:t xml:space="preserve">OCI, then amortized into net income (corridor)</w:t>
            </w:r>
          </w:p>
        </w:tc>
        <w:tc>
          <w:tcPr>
            <w:tcW w:type="pct" w:w="1112"/>
            <w:shd w:fill="FBFAF6" w:val="clear"/>
            <w:tcMar>
              <w:top w:type="dxa" w:w="50"/>
              <w:left w:type="dxa" w:w="110"/>
              <w:bottom w:type="dxa" w:w="50"/>
              <w:right w:type="dxa" w:w="110"/>
            </w:tcMar>
          </w:tcPr>
          <w:p>
            <w:pPr>
              <w:spacing w:before="28" w:after="28"/>
            </w:pPr>
            <w:r>
              <w:rPr>
                <w:sz w:val="15"/>
                <w:szCs w:val="15"/>
              </w:rPr>
              <w:t xml:space="preserve">OCI, never reclassified to profit</w:t>
            </w:r>
          </w:p>
        </w:tc>
      </w:tr>
      <w:tr>
        <w:tc>
          <w:tcPr>
            <w:tcW w:type="pct" w:w="1807"/>
            <w:tcMar>
              <w:top w:type="dxa" w:w="50"/>
              <w:left w:type="dxa" w:w="110"/>
              <w:bottom w:type="dxa" w:w="50"/>
              <w:right w:type="dxa" w:w="110"/>
            </w:tcMar>
          </w:tcPr>
          <w:p>
            <w:pPr>
              <w:spacing w:before="28" w:after="28"/>
            </w:pPr>
            <w:r>
              <w:rPr>
                <w:sz w:val="15"/>
                <w:szCs w:val="15"/>
              </w:rPr>
              <w:t xml:space="preserve">Return on plan assets</w:t>
            </w:r>
          </w:p>
        </w:tc>
        <w:tc>
          <w:tcPr>
            <w:tcW w:type="pct" w:w="2081"/>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1112"/>
            <w:tcMar>
              <w:top w:type="dxa" w:w="50"/>
              <w:left w:type="dxa" w:w="110"/>
              <w:bottom w:type="dxa" w:w="50"/>
              <w:right w:type="dxa" w:w="110"/>
            </w:tcMar>
          </w:tcPr>
          <w:p>
            <w:pPr>
              <w:spacing w:before="28" w:after="28"/>
            </w:pPr>
            <w:r>
              <w:rPr>
                <w:sz w:val="15"/>
                <w:szCs w:val="15"/>
              </w:rPr>
              <w:t xml:space="preserve">Net interest at the discount rate</w:t>
            </w:r>
          </w:p>
        </w:tc>
      </w:tr>
      <w:tr>
        <w:tc>
          <w:tcPr>
            <w:tcW w:type="pct" w:w="1807"/>
            <w:shd w:fill="FBFAF6" w:val="clear"/>
            <w:tcMar>
              <w:top w:type="dxa" w:w="50"/>
              <w:left w:type="dxa" w:w="110"/>
              <w:bottom w:type="dxa" w:w="50"/>
              <w:right w:type="dxa" w:w="110"/>
            </w:tcMar>
          </w:tcPr>
          <w:p>
            <w:pPr>
              <w:spacing w:before="28" w:after="28"/>
            </w:pPr>
            <w:r>
              <w:rPr>
                <w:sz w:val="15"/>
                <w:szCs w:val="15"/>
              </w:rPr>
              <w:t xml:space="preserve">Prior service cost: Orontes amendment of 50,000</w:t>
            </w:r>
          </w:p>
        </w:tc>
        <w:tc>
          <w:tcPr>
            <w:tcW w:type="pct" w:w="2081"/>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112"/>
            <w:shd w:fill="FBFAF6" w:val="clear"/>
            <w:tcMar>
              <w:top w:type="dxa" w:w="50"/>
              <w:left w:type="dxa" w:w="110"/>
              <w:bottom w:type="dxa" w:w="50"/>
              <w:right w:type="dxa" w:w="110"/>
            </w:tcMar>
          </w:tcPr>
          <w:p>
            <w:pPr>
              <w:spacing w:before="28" w:after="28"/>
            </w:pPr>
            <w:r>
              <w:rPr>
                <w:sz w:val="15"/>
                <w:szCs w:val="15"/>
              </w:rPr>
              <w:t xml:space="preserve">Expensed at once: 50,000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Tranche by tranche   ·   Net interest at the discount rate   ·   Expected return   ·   Policy choice: estimate or record as they occur   ·   Accrued over the vesting period   ·   OCI, amortized over 10 years: 5,000 a year</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graded vesting   ·   value in use   ·   defined benefit plan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55"/>
        <w:gridCol w:w="474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29"/>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71"/>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29"/>
            <w:tcMar>
              <w:top w:type="dxa" w:w="50"/>
              <w:left w:type="dxa" w:w="110"/>
              <w:bottom w:type="dxa" w:w="50"/>
              <w:right w:type="dxa" w:w="110"/>
            </w:tcMar>
          </w:tcPr>
          <w:p>
            <w:pPr>
              <w:spacing w:before="26" w:after="26"/>
            </w:pPr>
            <w:r>
              <w:rPr>
                <w:color w:val="232733"/>
                <w:sz w:val="16"/>
                <w:szCs w:val="16"/>
              </w:rPr>
              <w:t xml:space="preserve">graded vesting</w:t>
            </w:r>
          </w:p>
        </w:tc>
        <w:tc>
          <w:tcPr>
            <w:tcW w:type="pct" w:w="2471"/>
            <w:tcMar>
              <w:top w:type="dxa" w:w="50"/>
              <w:left w:type="dxa" w:w="110"/>
              <w:bottom w:type="dxa" w:w="50"/>
              <w:right w:type="dxa" w:w="110"/>
            </w:tcMar>
          </w:tcPr>
          <w:p>
            <w:pPr>
              <w:spacing w:before="26" w:after="26"/>
            </w:pPr>
            <w:r>
              <w:rPr>
                <w:color w:val="232733"/>
                <w:sz w:val="16"/>
                <w:szCs w:val="16"/>
              </w:rPr>
              <w:t xml:space="preserve">الاستحقاق المتدرج</w:t>
            </w:r>
          </w:p>
        </w:tc>
      </w:tr>
      <w:tr>
        <w:tc>
          <w:tcPr>
            <w:tcW w:type="pct" w:w="2529"/>
            <w:shd w:fill="FBFAF6" w:val="clear"/>
            <w:tcMar>
              <w:top w:type="dxa" w:w="50"/>
              <w:left w:type="dxa" w:w="110"/>
              <w:bottom w:type="dxa" w:w="50"/>
              <w:right w:type="dxa" w:w="110"/>
            </w:tcMar>
          </w:tcPr>
          <w:p>
            <w:pPr>
              <w:spacing w:before="26" w:after="26"/>
            </w:pPr>
            <w:r>
              <w:rPr>
                <w:color w:val="232733"/>
                <w:sz w:val="16"/>
                <w:szCs w:val="16"/>
              </w:rPr>
              <w:t xml:space="preserve">prior service cost</w:t>
            </w:r>
          </w:p>
        </w:tc>
        <w:tc>
          <w:tcPr>
            <w:tcW w:type="pct" w:w="2471"/>
            <w:shd w:fill="FBFAF6" w:val="clear"/>
            <w:tcMar>
              <w:top w:type="dxa" w:w="50"/>
              <w:left w:type="dxa" w:w="110"/>
              <w:bottom w:type="dxa" w:w="50"/>
              <w:right w:type="dxa" w:w="110"/>
            </w:tcMar>
          </w:tcPr>
          <w:p>
            <w:pPr>
              <w:spacing w:before="26" w:after="26"/>
            </w:pPr>
            <w:r>
              <w:rPr>
                <w:color w:val="232733"/>
                <w:sz w:val="16"/>
                <w:szCs w:val="16"/>
              </w:rPr>
              <w:t xml:space="preserve">تكلفة الخدمة السابقة</w:t>
            </w:r>
          </w:p>
        </w:tc>
      </w:tr>
      <w:tr>
        <w:tc>
          <w:tcPr>
            <w:tcW w:type="pct" w:w="2529"/>
            <w:tcMar>
              <w:top w:type="dxa" w:w="50"/>
              <w:left w:type="dxa" w:w="110"/>
              <w:bottom w:type="dxa" w:w="50"/>
              <w:right w:type="dxa" w:w="110"/>
            </w:tcMar>
          </w:tcPr>
          <w:p>
            <w:pPr>
              <w:spacing w:before="26" w:after="26"/>
            </w:pPr>
            <w:r>
              <w:rPr>
                <w:color w:val="232733"/>
                <w:sz w:val="16"/>
                <w:szCs w:val="16"/>
              </w:rPr>
              <w:t xml:space="preserve">remeasurements</w:t>
            </w:r>
          </w:p>
        </w:tc>
        <w:tc>
          <w:tcPr>
            <w:tcW w:type="pct" w:w="2471"/>
            <w:tcMar>
              <w:top w:type="dxa" w:w="50"/>
              <w:left w:type="dxa" w:w="110"/>
              <w:bottom w:type="dxa" w:w="50"/>
              <w:right w:type="dxa" w:w="110"/>
            </w:tcMar>
          </w:tcPr>
          <w:p>
            <w:pPr>
              <w:spacing w:before="26" w:after="26"/>
            </w:pPr>
            <w:r>
              <w:rPr>
                <w:color w:val="232733"/>
                <w:sz w:val="16"/>
                <w:szCs w:val="16"/>
              </w:rPr>
              <w:t xml:space="preserve">إعادة القياس</w:t>
            </w:r>
          </w:p>
        </w:tc>
      </w:tr>
      <w:tr>
        <w:tc>
          <w:tcPr>
            <w:tcW w:type="pct" w:w="2529"/>
            <w:shd w:fill="FBFAF6" w:val="clear"/>
            <w:tcMar>
              <w:top w:type="dxa" w:w="50"/>
              <w:left w:type="dxa" w:w="110"/>
              <w:bottom w:type="dxa" w:w="50"/>
              <w:right w:type="dxa" w:w="110"/>
            </w:tcMar>
          </w:tcPr>
          <w:p>
            <w:pPr>
              <w:spacing w:before="26" w:after="26"/>
            </w:pPr>
            <w:r>
              <w:rPr>
                <w:color w:val="232733"/>
                <w:sz w:val="16"/>
                <w:szCs w:val="16"/>
              </w:rPr>
              <w:t xml:space="preserve">defined benefit plan</w:t>
            </w:r>
          </w:p>
        </w:tc>
        <w:tc>
          <w:tcPr>
            <w:tcW w:type="pct" w:w="2471"/>
            <w:shd w:fill="FBFAF6" w:val="clear"/>
            <w:tcMar>
              <w:top w:type="dxa" w:w="50"/>
              <w:left w:type="dxa" w:w="110"/>
              <w:bottom w:type="dxa" w:w="50"/>
              <w:right w:type="dxa" w:w="110"/>
            </w:tcMar>
          </w:tcPr>
          <w:p>
            <w:pPr>
              <w:spacing w:before="26" w:after="26"/>
            </w:pPr>
            <w:r>
              <w:rPr>
                <w:color w:val="232733"/>
                <w:sz w:val="16"/>
                <w:szCs w:val="16"/>
              </w:rPr>
              <w:t xml:space="preserve">خطة المنافع المحددة</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17.1  (i) Share-based payments and employee benefits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(iii) Inventories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Tranche by tranche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(v) Long-lived assets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Policy choice: estimate or record as they occur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straight-line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Accrued over the vesting period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conditions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Expected return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expense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OCI, amortized over 10 years: 5,000 a year</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forfeitures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graded vesting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estimate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defined benefit plan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recognized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For share awards that vest in parts, or graded vesting, U.S. GAAP lets a company recognize the cost straight-line over the whole period or tranche by tranche, when the awards have only service conditions. IFRS 2 requires tranche by tranche, which puts more expense in the early years. U.S. GAAP also allows a policy choice to record forfeitures as they occur; IFRS 2 requires an estimate. Employer payroll taxes on share awards are recognized when the tax obligation arises under U.S. GAAP, but accrued over the vesting period under IFRS.</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17.2  (ii) Intangible assets</w:t>
            </w:r>
          </w:p>
          <w:p>
            <w:pPr>
              <w:spacing w:before="0" w:after="46"/>
            </w:pPr>
            <w:r>
              <w:rPr>
                <w:color w:val="E8EAF6"/>
                <w:sz w:val="16"/>
                <w:szCs w:val="16"/>
              </w:rPr>
              <w:t xml:space="preserve">Chapter 17 · section 17.2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The largest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difference is development costs. </w:t>
      </w:r>
      <w:r>
        <w:rPr>
          <w:sz w:val="19"/>
          <w:szCs w:val="19"/>
        </w:rPr>
        <w:t xml:space="preserve">U.S. GAAP expenses research and development as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with narrow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for software. </w:t>
      </w:r>
      <w:r>
        <w:rPr>
          <w:sz w:val="19"/>
          <w:szCs w:val="19"/>
        </w:rPr>
        <w:t xml:space="preserve">IAS 38 expenses research but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development once six criteria are met, such as technical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intention and ability to complete, and a way to generate future benefits. </w:t>
      </w:r>
      <w:r>
        <w:rPr>
          <w:sz w:val="19"/>
          <w:szCs w:val="19"/>
        </w:rPr>
        <w:t xml:space="preserve">Suppose Orontes spends $300,000 developing a new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line, and all six criteria are met. </w:t>
      </w:r>
      <w:r>
        <w:rPr>
          <w:sz w:val="19"/>
          <w:szCs w:val="19"/>
        </w:rPr>
        <w:t xml:space="preserve">Under U.S. GAAP the whole amount is an expense; under IFRS it is an intangible asset, amortized once the product is ready.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incurred   ·   sparkling-juice   ·   feasibility   ·   development costs   ·   capitalizes   ·   exceptions   ·   intangibles</w:t>
            </w:r>
          </w:p>
        </w:tc>
      </w:tr>
    </w:tbl>
    <w:p/>
    <w:p>
      <w:pPr>
        <w:spacing w:before="44" w:after="10"/>
      </w:pPr>
      <w:r>
        <w:rPr>
          <w:b/>
          <w:bCs/>
          <w:color w:val="353A7C"/>
          <w:sz w:val="18"/>
          <w:szCs w:val="18"/>
        </w:rPr>
        <w:t xml:space="preserve">Intangible assets: U.S. GAAP and IFRS</w:t>
      </w:r>
    </w:p>
    <w:p>
      <w:pPr>
        <w:spacing w:before="0" w:after="12"/>
      </w:pPr>
      <w:r>
        <w:rPr>
          <w:color w:val="6B7280"/>
          <w:sz w:val="15"/>
          <w:szCs w:val="15"/>
        </w:rPr>
        <w:t xml:space="preserve">The two sides differ only where the rows say.</w:t>
      </w:r>
    </w:p>
    <w:p>
      <w:pPr>
        <w:spacing w:after="40" w:before="90"/>
        <w:jc w:val="center"/>
      </w:pPr>
      <w:r>
        <w:drawing>
          <wp:inline distT="0" distB="0" distL="0" distR="0">
            <wp:extent cx="5734050" cy="4202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42024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Capitalized: all six IAS 38 criteria are met   ·   revaluation surplus   ·   Not recognized   ·   Only private companies may elect it   ·   Development rules of IAS 38</w:t>
            </w:r>
          </w:p>
        </w:tc>
      </w:tr>
    </w:tbl>
    <w:p/>
    <w:p>
      <w:pPr>
        <w:spacing w:before="44" w:after="14"/>
      </w:pPr>
      <w:r>
        <w:rPr>
          <w:b/>
          <w:bCs/>
          <w:color w:val="353A7C"/>
          <w:sz w:val="18"/>
          <w:szCs w:val="18"/>
        </w:rPr>
        <w:t xml:space="preserve">Summary 2</w:t>
      </w:r>
      <w:r>
        <w:rPr>
          <w:color w:val="6B7280"/>
          <w:sz w:val="16"/>
          <w:szCs w:val="16"/>
        </w:rPr>
        <w:t xml:space="preserve">      gaps 11–13</w:t>
      </w:r>
    </w:p>
    <w:p>
      <w:pPr>
        <w:spacing w:before="20" w:after="20" w:line="360" w:lineRule="auto"/>
        <w:ind w:left="200"/>
      </w:pPr>
      <w:r>
        <w:rPr>
          <w:sz w:val="19"/>
          <w:szCs w:val="19"/>
        </w:rPr>
        <w:t xml:space="preserve">ASU 2025-06 simplifies when internal-use software costs are capitalized, and ASU 2026-02 creates new rules for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credits. </w:t>
      </w:r>
      <w:r>
        <w:rPr>
          <w:sz w:val="19"/>
          <w:szCs w:val="19"/>
        </w:rPr>
        <w:t xml:space="preserve">Neither is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before about January 2029. </w:t>
      </w:r>
      <w:r>
        <w:rPr>
          <w:sz w:val="19"/>
          <w:szCs w:val="19"/>
        </w:rPr>
        <w:t xml:space="preserve">Private companies may amortize goodwill, but an SEC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such as Orontes may not.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environmental   ·   testable   ·   registrant   ·   development costs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development costs</w:t>
            </w:r>
          </w:p>
        </w:tc>
        <w:tc>
          <w:tcPr>
            <w:tcW w:type="pct" w:w="2400"/>
            <w:tcMar>
              <w:top w:type="dxa" w:w="50"/>
              <w:left w:type="dxa" w:w="110"/>
              <w:bottom w:type="dxa" w:w="50"/>
              <w:right w:type="dxa" w:w="110"/>
            </w:tcMar>
          </w:tcPr>
          <w:p>
            <w:pPr>
              <w:spacing w:before="26" w:after="26"/>
            </w:pPr>
            <w:r>
              <w:rPr>
                <w:color w:val="232733"/>
                <w:sz w:val="16"/>
                <w:szCs w:val="16"/>
              </w:rPr>
              <w:t xml:space="preserve">تكاليف التطوير</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research and development (R&amp;D)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البحث والتطوير</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17.2  (ii) Intangible assets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intangibles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Development rules of IAS 38</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incurred</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Not recognized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exceptions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Only private companies may elect it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capitalizes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environmental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feasibility</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testable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sparkling-juice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registrant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Capitalized: all six IAS 38 criteria are met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largest intangibles difference is development costs. U.S. GAAP expenses research and development as incurred, with narrow exceptions for software. IAS 38 expenses research but capitalizes development once six criteria are met, such as technical feasibility, intention and ability to complete, and a way to generate future benefits. Suppose Orontes spends $300,000 developing a new sparkling-juice line, and all six criteria are met. Under U.S. GAAP the whole amount is an expense; under IFRS it is an intangible asset, amortized once the product is ready.</w:t>
      </w:r>
    </w:p>
    <w:p>
      <w:pPr>
        <w:spacing w:before="20" w:after="20"/>
        <w:ind w:left="240" w:hanging="240"/>
      </w:pPr>
      <w:r>
        <w:rPr>
          <w:b/>
          <w:bCs/>
          <w:color w:val="353A7C"/>
          <w:sz w:val="15"/>
          <w:szCs w:val="15"/>
        </w:rPr>
        <w:t xml:space="preserve">Summary 2   </w:t>
      </w:r>
      <w:r>
        <w:rPr>
          <w:color w:val="6B7280"/>
          <w:sz w:val="15"/>
          <w:szCs w:val="15"/>
        </w:rPr>
        <w:t xml:space="preserve">ASU 2025-06 simplifies when internal-use software costs are capitalized, and ASU 2026-02 creates new rules for environmental credits. Neither is testable before about January 2029. Private companies may amortize goodwill, but an SEC registrant such as Orontes may not.</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17.3  (iii) Inventories</w:t>
            </w:r>
          </w:p>
          <w:p>
            <w:pPr>
              <w:spacing w:before="0" w:after="46"/>
            </w:pPr>
            <w:r>
              <w:rPr>
                <w:color w:val="E8EAF6"/>
                <w:sz w:val="16"/>
                <w:szCs w:val="16"/>
              </w:rPr>
              <w:t xml:space="preserve">Chapter 17 · section 17.3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1–5</w:t>
      </w:r>
    </w:p>
    <w:p>
      <w:pPr>
        <w:spacing w:before="20" w:after="20" w:line="360" w:lineRule="auto"/>
        <w:ind w:left="200"/>
      </w:pPr>
      <w:r>
        <w:rPr>
          <w:sz w:val="19"/>
          <w:szCs w:val="19"/>
        </w:rPr>
        <w:t xml:space="preserve">U.S. GAAP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it, and companies that use LIFO for tax must also use it in their financial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Both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write inventory down when its value falls below cost. </w:t>
      </w:r>
      <w:r>
        <w:rPr>
          <w:sz w:val="19"/>
          <w:szCs w:val="19"/>
        </w:rPr>
        <w:t xml:space="preserve">IAS 2 uses the lower of cost and NRV for all inventory. </w:t>
      </w:r>
      <w:r>
        <w:rPr>
          <w:sz w:val="19"/>
          <w:szCs w:val="19"/>
        </w:rPr>
        <w:t xml:space="preserve">U.S. GAAP uses lower of cost and NRV for FIFO and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cost, but lower of cost or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for LIFO and the retail method.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frameworks   ·   average   ·   statements   ·   allows   ·   market   ·   net realizable value (NRV)</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Stocks, dépréciation, provision</w:t>
            </w:r>
          </w:p>
        </w:tc>
      </w:tr>
    </w:tbl>
    <w:p/>
    <w:p>
      <w:pPr>
        <w:spacing w:before="44" w:after="14"/>
      </w:pPr>
      <w:r>
        <w:rPr>
          <w:b/>
          <w:bCs/>
          <w:color w:val="353A7C"/>
          <w:sz w:val="18"/>
          <w:szCs w:val="18"/>
        </w:rPr>
        <w:t xml:space="preserve">Summary 2</w:t>
      </w:r>
      <w:r>
        <w:rPr>
          <w:color w:val="6B7280"/>
          <w:sz w:val="16"/>
          <w:szCs w:val="16"/>
        </w:rPr>
        <w:t xml:space="preserve">      gaps 6–7</w:t>
      </w:r>
    </w:p>
    <w:p>
      <w:pPr>
        <w:spacing w:before="20" w:after="20" w:line="360" w:lineRule="auto"/>
        <w:ind w:left="200"/>
      </w:pPr>
      <w:r>
        <w:rPr>
          <w:sz w:val="19"/>
          <w:szCs w:val="19"/>
        </w:rPr>
        <w:t xml:space="preserve">French stocks means inventory, not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French dépréciation des stocks is a write-down, not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In U.S. terms, a write-down reduces the inventory itself; do not call it a provision or a 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net realizable value (NRV)   ·   shares   ·   depreciation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73"/>
        <w:gridCol w:w="4827"/>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86"/>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14"/>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86"/>
            <w:tcMar>
              <w:top w:type="dxa" w:w="50"/>
              <w:left w:type="dxa" w:w="110"/>
              <w:bottom w:type="dxa" w:w="50"/>
              <w:right w:type="dxa" w:w="110"/>
            </w:tcMar>
          </w:tcPr>
          <w:p>
            <w:pPr>
              <w:spacing w:before="26" w:after="26"/>
            </w:pPr>
            <w:r>
              <w:rPr>
                <w:color w:val="232733"/>
                <w:sz w:val="16"/>
                <w:szCs w:val="16"/>
              </w:rPr>
              <w:t xml:space="preserve">net realizable value (NRV)</w:t>
            </w:r>
          </w:p>
        </w:tc>
        <w:tc>
          <w:tcPr>
            <w:tcW w:type="pct" w:w="2514"/>
            <w:tcMar>
              <w:top w:type="dxa" w:w="50"/>
              <w:left w:type="dxa" w:w="110"/>
              <w:bottom w:type="dxa" w:w="50"/>
              <w:right w:type="dxa" w:w="110"/>
            </w:tcMar>
          </w:tcPr>
          <w:p>
            <w:pPr>
              <w:spacing w:before="26" w:after="26"/>
            </w:pPr>
            <w:r>
              <w:rPr>
                <w:color w:val="232733"/>
                <w:sz w:val="16"/>
                <w:szCs w:val="16"/>
              </w:rPr>
              <w:t xml:space="preserve">صافي القيمة القابلة للتحقق</w:t>
            </w:r>
          </w:p>
        </w:tc>
      </w:tr>
      <w:tr>
        <w:tc>
          <w:tcPr>
            <w:tcW w:type="pct" w:w="2486"/>
            <w:shd w:fill="FBFAF6" w:val="clear"/>
            <w:tcMar>
              <w:top w:type="dxa" w:w="50"/>
              <w:left w:type="dxa" w:w="110"/>
              <w:bottom w:type="dxa" w:w="50"/>
              <w:right w:type="dxa" w:w="110"/>
            </w:tcMar>
          </w:tcPr>
          <w:p>
            <w:pPr>
              <w:spacing w:before="26" w:after="26"/>
            </w:pPr>
            <w:r>
              <w:rPr>
                <w:color w:val="232733"/>
                <w:sz w:val="16"/>
                <w:szCs w:val="16"/>
              </w:rPr>
              <w:t xml:space="preserve">lower of cost and net realizable value (LCNRV)</w:t>
            </w:r>
          </w:p>
        </w:tc>
        <w:tc>
          <w:tcPr>
            <w:tcW w:type="pct" w:w="2514"/>
            <w:shd w:fill="FBFAF6" w:val="clear"/>
            <w:tcMar>
              <w:top w:type="dxa" w:w="50"/>
              <w:left w:type="dxa" w:w="110"/>
              <w:bottom w:type="dxa" w:w="50"/>
              <w:right w:type="dxa" w:w="110"/>
            </w:tcMar>
          </w:tcPr>
          <w:p>
            <w:pPr>
              <w:spacing w:before="26" w:after="26"/>
            </w:pPr>
            <w:r>
              <w:rPr>
                <w:color w:val="232733"/>
                <w:sz w:val="16"/>
                <w:szCs w:val="16"/>
              </w:rPr>
              <w:t xml:space="preserve">التكلفة أو صافي القيمة القابلة للتحقق، أيهما أقل</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17.3  (iii) Inventories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allows</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market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shares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frameworks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average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U.S. GAAP allows it, and companies that use LIFO for tax must also use it in their financial statements. Both frameworks write inventory down when its value falls below cost. IAS 2 uses the lower of cost and NRV for all inventory. U.S. GAAP uses lower of cost and NRV for FIFO and average cost, but lower of cost or market for LIFO and the retail method.</w:t>
      </w:r>
    </w:p>
    <w:p>
      <w:pPr>
        <w:spacing w:before="20" w:after="20"/>
        <w:ind w:left="240" w:hanging="240"/>
      </w:pPr>
      <w:r>
        <w:rPr>
          <w:b/>
          <w:bCs/>
          <w:color w:val="353A7C"/>
          <w:sz w:val="15"/>
          <w:szCs w:val="15"/>
        </w:rPr>
        <w:t xml:space="preserve">Summary 2   </w:t>
      </w:r>
      <w:r>
        <w:rPr>
          <w:color w:val="6B7280"/>
          <w:sz w:val="15"/>
          <w:szCs w:val="15"/>
        </w:rPr>
        <w:t xml:space="preserve">French stocks means inventory, not shares. French dépréciation des stocks is a write-down, not depreciation. In U.S. terms, a write-down reduces the inventory itself; do not call it a provision or a reserve.</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17.4  (iv) Leases: the lessee</w:t>
            </w:r>
          </w:p>
          <w:p>
            <w:pPr>
              <w:spacing w:before="0" w:after="46"/>
            </w:pPr>
            <w:r>
              <w:rPr>
                <w:color w:val="E8EAF6"/>
                <w:sz w:val="16"/>
                <w:szCs w:val="16"/>
              </w:rPr>
              <w:t xml:space="preserve">Chapter 17 · section 17.4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IFRS 16 has one lessee model: every lease is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like a finance lease, with depreciation of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asset plus interest. </w:t>
      </w:r>
      <w:r>
        <w:rPr>
          <w:sz w:val="19"/>
          <w:szCs w:val="19"/>
        </w:rPr>
        <w:t xml:space="preserve">U.S. GAAP keeps two models, and an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lease has one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cost. </w:t>
      </w:r>
      <w:r>
        <w:rPr>
          <w:sz w:val="19"/>
          <w:szCs w:val="19"/>
        </w:rPr>
        <w:t xml:space="preserve">For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warehouse from Chapter 14, U.S. GAAP shows a lease cost of $100,000 in 2026. </w:t>
      </w:r>
      <w:r>
        <w:rPr>
          <w:sz w:val="19"/>
          <w:szCs w:val="19"/>
        </w:rPr>
        <w:t xml:space="preserve">IFRS 16 shows depreciation of $84,247 plus interest of $25,274: $109,521, which is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in the early years. </w:t>
      </w:r>
      <w:r>
        <w:rPr>
          <w:sz w:val="19"/>
          <w:szCs w:val="19"/>
        </w:rPr>
        <w:t xml:space="preserve">Over the whole lease, total expense is the same.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treated   ·   Orontes's   ·   cash-generating unit   ·   right-of-use   ·   straight-line   ·   operating   ·   higher</w:t>
            </w:r>
          </w:p>
        </w:tc>
      </w:tr>
    </w:tbl>
    <w:p/>
    <w:p>
      <w:pPr>
        <w:spacing w:before="44" w:after="10"/>
      </w:pPr>
      <w:r>
        <w:rPr>
          <w:b/>
          <w:bCs/>
          <w:color w:val="353A7C"/>
          <w:sz w:val="18"/>
          <w:szCs w:val="18"/>
        </w:rPr>
        <w:t xml:space="preserve">Lessee accounting: U.S. GAAP and IFRS 16</w:t>
      </w:r>
    </w:p>
    <w:p>
      <w:pPr>
        <w:spacing w:before="0" w:after="12"/>
      </w:pPr>
      <w:r>
        <w:rPr>
          <w:color w:val="6B7280"/>
          <w:sz w:val="15"/>
          <w:szCs w:val="15"/>
        </w:rPr>
        <w:t xml:space="preserve">The two sides differ only where the rows say.</w:t>
      </w:r>
    </w:p>
    <w:p>
      <w:pPr>
        <w:spacing w:after="40" w:before="90"/>
        <w:jc w:val="center"/>
      </w:pPr>
      <w:r>
        <w:drawing>
          <wp:inline distT="0" distB="0" distL="0" distR="0">
            <wp:extent cx="5734050" cy="352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35234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fair value less costs of disposal   ·   Full gain if a sale   ·   One: all leases like finance leases   ·   Liability remeasured   ·   Operating   ·   Depreciation 84,247 + interest 25,274 = 109,521</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17.4  (iv) Leases: the lessee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treated</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One: all leases like finance leases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right-of-use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Depreciation 84,247 + interest 25,274 = 109,521</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operating</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Liability remeasured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straight-line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Operating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Orontes's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Full gain if a sale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higher</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IFRS 16 has one lessee model: every lease is treated like a finance lease, with depreciation of the right-of-use asset plus interest. U.S. GAAP keeps two models, and an operating lease has one straight-line cost. For Orontes's warehouse from Chapter 14, U.S. GAAP shows a lease cost of $100,000 in 2026. IFRS 16 shows depreciation of $84,247 plus interest of $25,274: $109,521, which is higher in the early years. Over the whole lease, total expense is the same.</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17.5  (v) Long-lived assets</w:t>
            </w:r>
          </w:p>
          <w:p>
            <w:pPr>
              <w:spacing w:before="0" w:after="46"/>
            </w:pPr>
            <w:r>
              <w:rPr>
                <w:color w:val="E8EAF6"/>
                <w:sz w:val="16"/>
                <w:szCs w:val="16"/>
              </w:rPr>
              <w:t xml:space="preserve">Chapter 17 · section 17.5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1–5</w:t>
      </w:r>
    </w:p>
    <w:p>
      <w:pPr>
        <w:spacing w:before="20" w:after="20" w:line="360" w:lineRule="auto"/>
        <w:ind w:left="200"/>
      </w:pPr>
      <w:r>
        <w:rPr>
          <w:sz w:val="19"/>
          <w:szCs w:val="19"/>
        </w:rPr>
        <w:t xml:space="preserve">U.S. GAAP carries property, plant and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at cost less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IAS 16 also allows the revaluation model for a whole class of assets: the assets are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at fair value, and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go to a revaluation surplus in OCI. </w:t>
      </w:r>
      <w:r>
        <w:rPr>
          <w:sz w:val="19"/>
          <w:szCs w:val="19"/>
        </w:rPr>
        <w:t xml:space="preserve">Suppose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land in Amman cost $2,000,000 and is now worth $2,600,000. </w:t>
      </w:r>
      <w:r>
        <w:rPr>
          <w:sz w:val="19"/>
          <w:szCs w:val="19"/>
        </w:rPr>
        <w:t xml:space="preserve">Under U.S. GAAP it stays at cost. </w:t>
      </w:r>
      <w:r>
        <w:rPr>
          <w:sz w:val="19"/>
          <w:szCs w:val="19"/>
        </w:rPr>
        <w:t xml:space="preserve">Under IFRS, if Orontes chose the revaluation model, it would show the land at fair value and a surplus of $600,000 in OCI.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depreciation   ·   increases   ·   Orontes's   ·   carried   ·   equipment   ·   revaluation surplus</w:t>
            </w:r>
          </w:p>
        </w:tc>
      </w:tr>
    </w:tbl>
    <w:p/>
    <w:p>
      <w:pPr>
        <w:spacing w:before="44" w:after="10"/>
      </w:pPr>
      <w:r>
        <w:rPr>
          <w:b/>
          <w:bCs/>
          <w:color w:val="353A7C"/>
          <w:sz w:val="18"/>
          <w:szCs w:val="18"/>
        </w:rPr>
        <w:t xml:space="preserve">Long-lived assets: U.S. GAAP and IFRS</w:t>
      </w:r>
    </w:p>
    <w:p>
      <w:pPr>
        <w:spacing w:before="0" w:after="12"/>
      </w:pPr>
      <w:r>
        <w:rPr>
          <w:color w:val="6B7280"/>
          <w:sz w:val="15"/>
          <w:szCs w:val="15"/>
        </w:rPr>
        <w:t xml:space="preserve">The two sides differ only where the rows say.</w:t>
      </w:r>
    </w:p>
    <w:p>
      <w:pPr>
        <w:spacing w:after="40" w:before="90"/>
        <w:jc w:val="center"/>
      </w:pPr>
      <w:r>
        <w:drawing>
          <wp:inline distT="0" distB="0" distL="0" distR="0">
            <wp:extent cx="5734050" cy="332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33272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Stays at 2,000,000   ·   Fair value or cost model (IAS 40)   ·   Capitalized; investment income generally not offset   ·   net realizable value (NRV)</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revaluation model</w:t>
            </w:r>
          </w:p>
        </w:tc>
        <w:tc>
          <w:tcPr>
            <w:tcW w:type="pct" w:w="2400"/>
            <w:tcMar>
              <w:top w:type="dxa" w:w="50"/>
              <w:left w:type="dxa" w:w="110"/>
              <w:bottom w:type="dxa" w:w="50"/>
              <w:right w:type="dxa" w:w="110"/>
            </w:tcMar>
          </w:tcPr>
          <w:p>
            <w:pPr>
              <w:spacing w:before="26" w:after="26"/>
            </w:pPr>
            <w:r>
              <w:rPr>
                <w:color w:val="232733"/>
                <w:sz w:val="16"/>
                <w:szCs w:val="16"/>
              </w:rPr>
              <w:t xml:space="preserve">نموذج إعادة التقييم</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revaluation surplus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فائض إعادة التقييم</w:t>
            </w:r>
          </w:p>
        </w:tc>
      </w:tr>
      <w:tr>
        <w:tc>
          <w:tcPr>
            <w:tcW w:type="pct" w:w="2600"/>
            <w:tcMar>
              <w:top w:type="dxa" w:w="50"/>
              <w:left w:type="dxa" w:w="110"/>
              <w:bottom w:type="dxa" w:w="50"/>
              <w:right w:type="dxa" w:w="110"/>
            </w:tcMar>
          </w:tcPr>
          <w:p>
            <w:pPr>
              <w:spacing w:before="26" w:after="26"/>
            </w:pPr>
            <w:r>
              <w:rPr>
                <w:color w:val="232733"/>
                <w:sz w:val="16"/>
                <w:szCs w:val="16"/>
              </w:rPr>
              <w:t xml:space="preserve">component depreciation</w:t>
            </w:r>
          </w:p>
        </w:tc>
        <w:tc>
          <w:tcPr>
            <w:tcW w:type="pct" w:w="2400"/>
            <w:tcMar>
              <w:top w:type="dxa" w:w="50"/>
              <w:left w:type="dxa" w:w="110"/>
              <w:bottom w:type="dxa" w:w="50"/>
              <w:right w:type="dxa" w:w="110"/>
            </w:tcMar>
          </w:tcPr>
          <w:p>
            <w:pPr>
              <w:spacing w:before="26" w:after="26"/>
            </w:pPr>
            <w:r>
              <w:rPr>
                <w:color w:val="232733"/>
                <w:sz w:val="16"/>
                <w:szCs w:val="16"/>
              </w:rPr>
              <w:t xml:space="preserve">الإهلاك حسب المكونات</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17.5  (v) Long-lived assets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equipment</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Orontes's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Stays at 2,000,000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carried</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Capitalized; investment income generally not offset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increases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Fair value or cost model (IAS 40)</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U.S. GAAP carries property, plant and equipment at cost less depreciation. IAS 16 also allows the revaluation model for a whole class of assets: the assets are carried at fair value, and increases go to a revaluation surplus in OCI. Suppose Orontes's land in Amman cost $2,000,000 and is now worth $2,600,000. Under U.S. GAAP it stays at cost. Under IFRS, if Orontes chose the revaluation model, it would show the land at fair value and a surplus of $600,000 in OCI.</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17.6  (vi) Impairment</w:t>
            </w:r>
          </w:p>
          <w:p>
            <w:pPr>
              <w:spacing w:before="0" w:after="46"/>
            </w:pPr>
            <w:r>
              <w:rPr>
                <w:color w:val="E8EAF6"/>
                <w:sz w:val="16"/>
                <w:szCs w:val="16"/>
              </w:rPr>
              <w:t xml:space="preserve">Chapter 17 · section 17.6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U.S. GAAP tests 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asset group in two steps. </w:t>
      </w:r>
      <w:r>
        <w:rPr>
          <w:sz w:val="19"/>
          <w:szCs w:val="19"/>
        </w:rPr>
        <w:t xml:space="preserve">First, it compares the carrying amount with undiscounted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cash flows. </w:t>
      </w:r>
      <w:r>
        <w:rPr>
          <w:sz w:val="19"/>
          <w:szCs w:val="19"/>
        </w:rPr>
        <w:t xml:space="preserve">Only if the carrying amount is higher does it measure a loss, equal to the carrying amount minus fair value. </w:t>
      </w:r>
      <w:r>
        <w:rPr>
          <w:sz w:val="19"/>
          <w:szCs w:val="19"/>
        </w:rPr>
        <w:t xml:space="preserve">It compares the carrying amount of an asset or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unit with its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amount: the higher of fair value less costs of disposal and value in use, a discounted cash-flow measure.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there is no undiscounted screen, IFRS losses often come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recoverable   ·   cash-generating   ·   Because   ·   recoverability test   ·   held-and-used   ·   future   ·   earlier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beverage plant</w:t>
            </w:r>
          </w:p>
        </w:tc>
      </w:tr>
    </w:tbl>
    <w:p/>
    <w:p>
      <w:pPr>
        <w:spacing w:before="20" w:after="20" w:line="360" w:lineRule="auto"/>
        <w:ind w:left="200"/>
      </w:pPr>
      <w:r>
        <w:rPr>
          <w:sz w:val="19"/>
          <w:szCs w:val="19"/>
        </w:rPr>
        <w:t xml:space="preserve">Undiscounted cash flows of $4,200,000 are above the carrying amount of $4,000,000: the plant is recoverable, so there is no loss. Recoverable amount is the higher of $3,500,000 and $3,700,000: $3,700,000. The carrying amount is higher, so the loss is $300,000.</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Which framework?</w:t>
            </w:r>
          </w:p>
        </w:tc>
      </w:tr>
    </w:tbl>
    <w:p/>
    <w:p>
      <w:pPr>
        <w:spacing w:before="44" w:after="10"/>
      </w:pPr>
      <w:r>
        <w:rPr>
          <w:b/>
          <w:bCs/>
          <w:color w:val="353A7C"/>
          <w:sz w:val="18"/>
          <w:szCs w:val="18"/>
        </w:rPr>
        <w:t xml:space="preserve">Which framework? (complete the blanks)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444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2444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Prior service cost is expensed immediately   ·   recoverable amount   ·   Development costs are capitalized when criteria are met</w:t>
            </w:r>
          </w:p>
        </w:tc>
      </w:tr>
    </w:tbl>
    <w:p/>
    <w:p>
      <w:pPr>
        <w:spacing w:before="44" w:after="14"/>
      </w:pPr>
      <w:r>
        <w:rPr>
          <w:b/>
          <w:bCs/>
          <w:color w:val="353A7C"/>
          <w:sz w:val="18"/>
          <w:szCs w:val="18"/>
        </w:rPr>
        <w:t xml:space="preserve">Summary 2</w:t>
      </w:r>
      <w:r>
        <w:rPr>
          <w:color w:val="6B7280"/>
          <w:sz w:val="16"/>
          <w:szCs w:val="16"/>
        </w:rPr>
        <w:t xml:space="preserve">      gaps 9–10</w:t>
      </w:r>
    </w:p>
    <w:p>
      <w:pPr>
        <w:spacing w:before="20" w:after="20" w:line="360" w:lineRule="auto"/>
        <w:ind w:left="200"/>
      </w:pPr>
      <w:r>
        <w:rPr>
          <w:sz w:val="19"/>
          <w:szCs w:val="19"/>
        </w:rPr>
        <w:t xml:space="preserve">The IASB is still discussing changes to goodwill impairment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after its 2024 exposure draft. </w:t>
      </w:r>
      <w:r>
        <w:rPr>
          <w:sz w:val="19"/>
          <w:szCs w:val="19"/>
        </w:rPr>
        <w:t xml:space="preserve">Goodwill remains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under both frameworks for public companies. </w:t>
      </w:r>
      <w:r>
        <w:rPr>
          <w:sz w:val="19"/>
          <w:szCs w:val="19"/>
        </w:rPr>
        <w:t xml:space="preserve">Do not treat the proposal as a rule.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impairment-only   ·   recoverable amount   ·   disclosures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Suppose: Levant Distribution LLC, 2027 (USD 000) — Amount / details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Suppose: Levant Distribution LLC, 2027 (USD 000)</w:t>
            </w:r>
          </w:p>
        </w:tc>
        <w:tc>
          <w:tcPr>
            <w:tcW w:type="pct" w:w="2600"/>
            <w:tcMar>
              <w:top w:type="dxa" w:w="50"/>
              <w:left w:type="dxa" w:w="110"/>
              <w:bottom w:type="dxa" w:w="50"/>
              <w:right w:type="dxa" w:w="110"/>
            </w:tcMar>
          </w:tcPr>
          <w:p>
            <w:pPr>
              <w:spacing w:before="26" w:after="26"/>
            </w:pPr>
            <w:r>
              <w:rPr>
                <w:b/>
                <w:bCs/>
                <w:color w:val="353A7C"/>
                <w:sz w:val="15"/>
                <w:szCs w:val="15"/>
              </w:rPr>
              <w:t xml:space="preserve">Amount / details</w:t>
            </w:r>
          </w:p>
        </w:tc>
      </w:tr>
      <w:tr>
        <w:tc>
          <w:tcPr>
            <w:tcW w:type="pct" w:w="2400"/>
            <w:tcMar>
              <w:top w:type="dxa" w:w="50"/>
              <w:left w:type="dxa" w:w="110"/>
              <w:bottom w:type="dxa" w:w="50"/>
              <w:right w:type="dxa" w:w="110"/>
            </w:tcMar>
          </w:tcPr>
          <w:p>
            <w:pPr>
              <w:spacing w:before="26" w:after="26"/>
            </w:pPr>
            <w:r>
              <w:rPr>
                <w:color w:val="232733"/>
                <w:sz w:val="16"/>
                <w:szCs w:val="16"/>
              </w:rPr>
              <w:t xml:space="preserve">Levant's 2027 net income under IFRS (local books)</w:t>
            </w:r>
          </w:p>
        </w:tc>
        <w:tc>
          <w:tcPr>
            <w:tcW w:type="pct" w:w="2600"/>
            <w:tcMar>
              <w:top w:type="dxa" w:w="50"/>
              <w:left w:type="dxa" w:w="110"/>
              <w:bottom w:type="dxa" w:w="50"/>
              <w:right w:type="dxa" w:w="110"/>
            </w:tcMar>
          </w:tcPr>
          <w:p>
            <w:pPr>
              <w:spacing w:before="26" w:after="26"/>
            </w:pPr>
            <w:r>
              <w:rPr>
                <w:color w:val="232733"/>
                <w:sz w:val="16"/>
                <w:szCs w:val="16"/>
              </w:rPr>
              <w:t xml:space="preserve">1,114</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L1</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Development costs of a new ordering app capitalized in 2027 under IAS 38: 240. None is amortized yet.</w:t>
            </w:r>
          </w:p>
        </w:tc>
      </w:tr>
      <w:tr>
        <w:tc>
          <w:tcPr>
            <w:tcW w:type="pct" w:w="2400"/>
            <w:tcMar>
              <w:top w:type="dxa" w:w="50"/>
              <w:left w:type="dxa" w:w="110"/>
              <w:bottom w:type="dxa" w:w="50"/>
              <w:right w:type="dxa" w:w="110"/>
            </w:tcMar>
          </w:tcPr>
          <w:p>
            <w:pPr>
              <w:spacing w:before="26" w:after="26"/>
            </w:pPr>
            <w:r>
              <w:rPr>
                <w:color w:val="232733"/>
                <w:sz w:val="16"/>
                <w:szCs w:val="16"/>
              </w:rPr>
              <w:t xml:space="preserve">L2</w:t>
            </w:r>
          </w:p>
        </w:tc>
        <w:tc>
          <w:tcPr>
            <w:tcW w:type="pct" w:w="2600"/>
            <w:tcMar>
              <w:top w:type="dxa" w:w="50"/>
              <w:left w:type="dxa" w:w="110"/>
              <w:bottom w:type="dxa" w:w="50"/>
              <w:right w:type="dxa" w:w="110"/>
            </w:tcMar>
          </w:tcPr>
          <w:p>
            <w:pPr>
              <w:spacing w:before="26" w:after="26"/>
            </w:pPr>
            <w:r>
              <w:rPr>
                <w:color w:val="232733"/>
                <w:sz w:val="16"/>
                <w:szCs w:val="16"/>
              </w:rPr>
              <w:t xml:space="preserve">A 2026 inventory write-down was reversed in 2027 under IAS 2: gain of 30.</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L3</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Warehouse land revalued upward by 400; the surplus is in OCI.</w:t>
            </w:r>
          </w:p>
        </w:tc>
      </w:tr>
      <w:tr>
        <w:tc>
          <w:tcPr>
            <w:tcW w:type="pct" w:w="2400"/>
            <w:tcMar>
              <w:top w:type="dxa" w:w="50"/>
              <w:left w:type="dxa" w:w="110"/>
              <w:bottom w:type="dxa" w:w="50"/>
              <w:right w:type="dxa" w:w="110"/>
            </w:tcMar>
          </w:tcPr>
          <w:p>
            <w:pPr>
              <w:spacing w:before="26" w:after="26"/>
            </w:pPr>
            <w:r>
              <w:rPr>
                <w:color w:val="232733"/>
                <w:sz w:val="16"/>
                <w:szCs w:val="16"/>
              </w:rPr>
              <w:t xml:space="preserve">L4</w:t>
            </w:r>
          </w:p>
        </w:tc>
        <w:tc>
          <w:tcPr>
            <w:tcW w:type="pct" w:w="2600"/>
            <w:tcMar>
              <w:top w:type="dxa" w:w="50"/>
              <w:left w:type="dxa" w:w="110"/>
              <w:bottom w:type="dxa" w:w="50"/>
              <w:right w:type="dxa" w:w="110"/>
            </w:tcMar>
          </w:tcPr>
          <w:p>
            <w:pPr>
              <w:spacing w:before="26" w:after="26"/>
            </w:pPr>
            <w:r>
              <w:rPr>
                <w:color w:val="232733"/>
                <w:sz w:val="16"/>
                <w:szCs w:val="16"/>
              </w:rPr>
              <w:t xml:space="preserve">Delivery fleet: IAS 36 impairment loss of 50; carrying amount now 450. Undiscounted cash flows are higher than the carrying amount before th</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L5</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Truck lease: IFRS 16 expense 78; as a U.S. operating lease, the straight-line cost would be 72.</w:t>
            </w:r>
          </w:p>
        </w:tc>
      </w:tr>
      <w:tr>
        <w:tc>
          <w:tcPr>
            <w:tcW w:type="pct" w:w="2400"/>
            <w:tcMar>
              <w:top w:type="dxa" w:w="50"/>
              <w:left w:type="dxa" w:w="110"/>
              <w:bottom w:type="dxa" w:w="50"/>
              <w:right w:type="dxa" w:w="110"/>
            </w:tcMar>
          </w:tcPr>
          <w:p>
            <w:pPr>
              <w:spacing w:before="26" w:after="26"/>
            </w:pPr>
            <w:r>
              <w:rPr>
                <w:color w:val="232733"/>
                <w:sz w:val="16"/>
                <w:szCs w:val="16"/>
              </w:rPr>
              <w:t xml:space="preserve">M1</w:t>
            </w:r>
          </w:p>
        </w:tc>
        <w:tc>
          <w:tcPr>
            <w:tcW w:type="pct" w:w="2600"/>
            <w:tcMar>
              <w:top w:type="dxa" w:w="50"/>
              <w:left w:type="dxa" w:w="110"/>
              <w:bottom w:type="dxa" w:w="50"/>
              <w:right w:type="dxa" w:w="110"/>
            </w:tcMar>
          </w:tcPr>
          <w:p>
            <w:pPr>
              <w:spacing w:before="26" w:after="26"/>
            </w:pPr>
            <w:r>
              <w:rPr>
                <w:color w:val="232733"/>
                <w:sz w:val="16"/>
                <w:szCs w:val="16"/>
              </w:rPr>
              <w:t xml:space="preserve">Orontes must convert Levant's figures to U.S. GAAP before consolidation (Chapter 16). Ignore tax effects.</w:t>
            </w:r>
          </w:p>
        </w:tc>
      </w:tr>
    </w:tbl>
    <w:p/>
    <w:p>
      <w:pPr>
        <w:spacing w:before="44" w:after="10"/>
      </w:pPr>
      <w:r>
        <w:rPr>
          <w:b/>
          <w:bCs/>
          <w:color w:val="353A7C"/>
          <w:sz w:val="18"/>
          <w:szCs w:val="18"/>
        </w:rPr>
        <w:t xml:space="preserve">Item — Answer</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71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1712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fair value less costs of disposal   ·   Development costs capitalized when criteria are met</w:t>
            </w:r>
          </w:p>
        </w:tc>
      </w:tr>
    </w:tbl>
    <w:p/>
    <w:p>
      <w:pPr>
        <w:spacing w:before="44" w:after="10"/>
      </w:pPr>
      <w:r>
        <w:rPr>
          <w:b/>
          <w:bCs/>
          <w:color w:val="353A7C"/>
          <w:sz w:val="18"/>
          <w:szCs w:val="18"/>
        </w:rPr>
        <w:t xml:space="preserve">Item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graded vesting   ·   L5 Truck lease   ·   L2 Write-down reversal</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76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27689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fair value less costs of disposal   ·   recoverable amount   ·   value in use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value in use</w:t>
            </w:r>
          </w:p>
        </w:tc>
        <w:tc>
          <w:tcPr>
            <w:tcW w:type="pct" w:w="2600"/>
            <w:tcMar>
              <w:top w:type="dxa" w:w="50"/>
              <w:left w:type="dxa" w:w="110"/>
              <w:bottom w:type="dxa" w:w="50"/>
              <w:right w:type="dxa" w:w="110"/>
            </w:tcMar>
          </w:tcPr>
          <w:p>
            <w:pPr>
              <w:spacing w:before="26" w:after="26"/>
            </w:pPr>
            <w:r>
              <w:rPr>
                <w:color w:val="232733"/>
                <w:sz w:val="16"/>
                <w:szCs w:val="16"/>
              </w:rPr>
              <w:t xml:space="preserve">القيمة من الاستخدام</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recoverable amount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المبلغ القابل للاسترداد</w:t>
            </w:r>
          </w:p>
        </w:tc>
      </w:tr>
      <w:tr>
        <w:tc>
          <w:tcPr>
            <w:tcW w:type="pct" w:w="2400"/>
            <w:tcMar>
              <w:top w:type="dxa" w:w="50"/>
              <w:left w:type="dxa" w:w="110"/>
              <w:bottom w:type="dxa" w:w="50"/>
              <w:right w:type="dxa" w:w="110"/>
            </w:tcMar>
          </w:tcPr>
          <w:p>
            <w:pPr>
              <w:spacing w:before="26" w:after="26"/>
            </w:pPr>
            <w:r>
              <w:rPr>
                <w:color w:val="232733"/>
                <w:sz w:val="16"/>
                <w:szCs w:val="16"/>
              </w:rPr>
              <w:t xml:space="preserve">cash-generating unit</w:t>
            </w:r>
          </w:p>
        </w:tc>
        <w:tc>
          <w:tcPr>
            <w:tcW w:type="pct" w:w="2600"/>
            <w:tcMar>
              <w:top w:type="dxa" w:w="50"/>
              <w:left w:type="dxa" w:w="110"/>
              <w:bottom w:type="dxa" w:w="50"/>
              <w:right w:type="dxa" w:w="110"/>
            </w:tcMar>
          </w:tcPr>
          <w:p>
            <w:pPr>
              <w:spacing w:before="26" w:after="26"/>
            </w:pPr>
            <w:r>
              <w:rPr>
                <w:color w:val="232733"/>
                <w:sz w:val="16"/>
                <w:szCs w:val="16"/>
              </w:rPr>
              <w:t xml:space="preserve">وحدة توليد النقد</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fair value less costs of disposal</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القيمة العادلة ناقصاً تكاليف الاستبعاد</w:t>
            </w:r>
          </w:p>
        </w:tc>
      </w:tr>
      <w:tr>
        <w:tc>
          <w:tcPr>
            <w:tcW w:type="pct" w:w="2400"/>
            <w:tcMar>
              <w:top w:type="dxa" w:w="50"/>
              <w:left w:type="dxa" w:w="110"/>
              <w:bottom w:type="dxa" w:w="50"/>
              <w:right w:type="dxa" w:w="110"/>
            </w:tcMar>
          </w:tcPr>
          <w:p>
            <w:pPr>
              <w:spacing w:before="26" w:after="26"/>
            </w:pPr>
            <w:r>
              <w:rPr>
                <w:color w:val="232733"/>
                <w:sz w:val="16"/>
                <w:szCs w:val="16"/>
              </w:rPr>
              <w:t xml:space="preserve">recoverability test</w:t>
            </w:r>
          </w:p>
        </w:tc>
        <w:tc>
          <w:tcPr>
            <w:tcW w:type="pct" w:w="2600"/>
            <w:tcMar>
              <w:top w:type="dxa" w:w="50"/>
              <w:left w:type="dxa" w:w="110"/>
              <w:bottom w:type="dxa" w:w="50"/>
              <w:right w:type="dxa" w:w="110"/>
            </w:tcMar>
          </w:tcPr>
          <w:p>
            <w:pPr>
              <w:spacing w:before="26" w:after="26"/>
            </w:pPr>
            <w:r>
              <w:rPr>
                <w:color w:val="232733"/>
                <w:sz w:val="16"/>
                <w:szCs w:val="16"/>
              </w:rPr>
              <w:t xml:space="preserve">اختبار قابلية الاسترداد</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17.6  (vi) Impairment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held-and-used</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disclosures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future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impairment-only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cash-generating</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Development costs capitalized when criteria are met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recoverable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L2 Write-down reversal</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L5 Truck lease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earlier</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value in 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Development costs are capitalized when criteria are met</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fair value less costs of disposal</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Prior service cost is expensed immediately</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U.S. GAAP tests a held-and-used asset group in two steps. First, it compares the carrying amount with undiscounted future cash flows. Only if the carrying amount is higher does it measure a loss, equal to the carrying amount minus fair value. It compares the carrying amount of an asset or cash-generating unit with its recoverable amount: the higher of fair value less costs of disposal and value in use, a discounted cash-flow measure. Because there is no undiscounted screen, IFRS losses often come earlier.</w:t>
      </w:r>
    </w:p>
    <w:p>
      <w:pPr>
        <w:spacing w:before="20" w:after="20"/>
        <w:ind w:left="240" w:hanging="240"/>
      </w:pPr>
      <w:r>
        <w:rPr>
          <w:b/>
          <w:bCs/>
          <w:color w:val="353A7C"/>
          <w:sz w:val="15"/>
          <w:szCs w:val="15"/>
        </w:rPr>
        <w:t xml:space="preserve">Summary 2   </w:t>
      </w:r>
      <w:r>
        <w:rPr>
          <w:color w:val="6B7280"/>
          <w:sz w:val="15"/>
          <w:szCs w:val="15"/>
        </w:rPr>
        <w:t xml:space="preserve">The IASB is still discussing changes to goodwill impairment disclosures after its 2024 exposure draft. Goodwill remains impairment-only under both frameworks for public companies. Do not treat the proposal as a rule.</w:t>
      </w:r>
    </w:p>
    <w:p>
      <w:pPr>
        <w:sectPr>
          <w:headerReference w:type="default" r:id="rIdHdr12"/>
          <w:pgSz w:w="11906" w:h="16838" w:orient="portrait"/>
          <w:pgMar w:top="1180" w:right="1000" w:bottom="900" w:left="1000" w:header="708" w:footer="708" w:gutter="0"/>
          <w:docGrid w:linePitch="360"/>
          <w:pgNumType w:start="1"/>
        </w:sectPr>
      </w:pPr>
    </w:p>
    <w:sectPr>
      <w:headerReference w:type="default" r:id="rIdHdr1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17.1 · (i) Share-based payments and employee benefits</w:t>
          </w:r>
        </w:p>
      </w:tc>
      <w:tc>
        <w:tcPr>
          <w:tcW w:type="pct" w:w="1400"/>
          <w:tcMar>
            <w:top w:type="dxa" w:w="-30"/>
            <w:left w:type="dxa" w:w="30"/>
            <w:bottom w:type="dxa" w:w="-30"/>
            <w:right w:type="dxa" w:w="30"/>
          </w:tcMar>
        </w:tcPr>
        <w:p>
          <w:pPr>
            <w:jc w:val="right"/>
          </w:pPr>
          <w:r>
            <w:rPr>
              <w:color w:val="6B7280"/>
              <w:sz w:val="16"/>
              <w:szCs w:val="16"/>
            </w:rPr>
            <w:t xml:space="preserve">Handout 17.1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17.2 · (ii) Intangible assets</w:t>
          </w:r>
        </w:p>
      </w:tc>
      <w:tc>
        <w:tcPr>
          <w:tcW w:type="pct" w:w="1400"/>
          <w:tcMar>
            <w:top w:type="dxa" w:w="-30"/>
            <w:left w:type="dxa" w:w="30"/>
            <w:bottom w:type="dxa" w:w="-30"/>
            <w:right w:type="dxa" w:w="30"/>
          </w:tcMar>
        </w:tcPr>
        <w:p>
          <w:pPr>
            <w:jc w:val="right"/>
          </w:pPr>
          <w:r>
            <w:rPr>
              <w:color w:val="6B7280"/>
              <w:sz w:val="16"/>
              <w:szCs w:val="16"/>
            </w:rPr>
            <w:t xml:space="preserve">Handout 17.2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17.3 · (iii) Inventories</w:t>
          </w:r>
        </w:p>
      </w:tc>
      <w:tc>
        <w:tcPr>
          <w:tcW w:type="pct" w:w="1400"/>
          <w:tcMar>
            <w:top w:type="dxa" w:w="-30"/>
            <w:left w:type="dxa" w:w="30"/>
            <w:bottom w:type="dxa" w:w="-30"/>
            <w:right w:type="dxa" w:w="30"/>
          </w:tcMar>
        </w:tcPr>
        <w:p>
          <w:pPr>
            <w:jc w:val="right"/>
          </w:pPr>
          <w:r>
            <w:rPr>
              <w:color w:val="6B7280"/>
              <w:sz w:val="16"/>
              <w:szCs w:val="16"/>
            </w:rPr>
            <w:t xml:space="preserve">Handout 17.3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17.4 · (iv) Leases: the lessee</w:t>
          </w:r>
        </w:p>
      </w:tc>
      <w:tc>
        <w:tcPr>
          <w:tcW w:type="pct" w:w="1400"/>
          <w:tcMar>
            <w:top w:type="dxa" w:w="-30"/>
            <w:left w:type="dxa" w:w="30"/>
            <w:bottom w:type="dxa" w:w="-30"/>
            <w:right w:type="dxa" w:w="30"/>
          </w:tcMar>
        </w:tcPr>
        <w:p>
          <w:pPr>
            <w:jc w:val="right"/>
          </w:pPr>
          <w:r>
            <w:rPr>
              <w:color w:val="6B7280"/>
              <w:sz w:val="16"/>
              <w:szCs w:val="16"/>
            </w:rPr>
            <w:t xml:space="preserve">Handout 17.4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17.5 · (v) Long-lived assets</w:t>
          </w:r>
        </w:p>
      </w:tc>
      <w:tc>
        <w:tcPr>
          <w:tcW w:type="pct" w:w="1400"/>
          <w:tcMar>
            <w:top w:type="dxa" w:w="-30"/>
            <w:left w:type="dxa" w:w="30"/>
            <w:bottom w:type="dxa" w:w="-30"/>
            <w:right w:type="dxa" w:w="30"/>
          </w:tcMar>
        </w:tcPr>
        <w:p>
          <w:pPr>
            <w:jc w:val="right"/>
          </w:pPr>
          <w:r>
            <w:rPr>
              <w:color w:val="6B7280"/>
              <w:sz w:val="16"/>
              <w:szCs w:val="16"/>
            </w:rPr>
            <w:t xml:space="preserve">Handout 17.5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17.6 · (vi) Impairment</w:t>
          </w:r>
        </w:p>
      </w:tc>
      <w:tc>
        <w:tcPr>
          <w:tcW w:type="pct" w:w="1400"/>
          <w:tcMar>
            <w:top w:type="dxa" w:w="-30"/>
            <w:left w:type="dxa" w:w="30"/>
            <w:bottom w:type="dxa" w:w="-30"/>
            <w:right w:type="dxa" w:w="30"/>
          </w:tcMar>
        </w:tcPr>
        <w:p>
          <w:pPr>
            <w:jc w:val="right"/>
          </w:pPr>
          <w:r>
            <w:rPr>
              <w:color w:val="6B7280"/>
              <w:sz w:val="16"/>
              <w:szCs w:val="16"/>
            </w:rPr>
            <w:t xml:space="preserve">Handout 17.6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f3338a721044a7afb31b94dfa70b05519a6820bb.png" Type="http://schemas.openxmlformats.org/officeDocument/2006/relationships/image"/><Relationship Id="rId102" Target="media/bd969a6e3e856d4018d4ebd0c5cf36e31b841107.png" Type="http://schemas.openxmlformats.org/officeDocument/2006/relationships/image"/><Relationship Id="rId103" Target="media/5148b6aa805429de758e570240bb8cbcec7d094d.png" Type="http://schemas.openxmlformats.org/officeDocument/2006/relationships/image"/><Relationship Id="rId104" Target="media/b2ef030cb171345f9aac29bcede67ea317a7392d.png" Type="http://schemas.openxmlformats.org/officeDocument/2006/relationships/image"/><Relationship Id="rId105" Target="media/a17018135fcd93d9ddcf3fc28d72d490f2d7d26a.png" Type="http://schemas.openxmlformats.org/officeDocument/2006/relationships/image"/><Relationship Id="rId106" Target="media/04715e1bf40c125e6dc4ff6d6739896b55216473.png" Type="http://schemas.openxmlformats.org/officeDocument/2006/relationships/image"/><Relationship Id="rId107" Target="media/9797b0dfa872afe1d4453939eb5dafcb348497e3.png" Type="http://schemas.openxmlformats.org/officeDocument/2006/relationships/image"/><Relationship Id="rId108" Target="media/3abdb54df73afec6e8e5ae9e7b8d87db81d8664e.png" Type="http://schemas.openxmlformats.org/officeDocument/2006/relationships/image"/><Relationship Id="rId109" Target="media/d827b7741d1861ba4d117b6424d05785eedc76ab.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17</dc:title>
  <dc:subject>Summary handouts</dc:subject>
  <cp:category>Student Book</cp:category>
</cp:coreProperties>
</file>