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Without integrated thinking, a report is just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International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communication   ·   medium   ·   capitals   ·   depend   ·   periodic   ·   preservation   ·   collection   ·   reporting   ·   decisions   ·   relationships   ·   integrated report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integrated thinking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The primary purpose of 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 is to explain to providers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interested in the company's ability to create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   stakeholders   ·   shareholders   ·   policymakers   ·   answer   ·   financial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88"/>
        <w:gridCol w:w="2385"/>
        <w:gridCol w:w="3063"/>
        <w:gridCol w:w="17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244"/>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124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595"/>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919"/>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244"/>
            <w:tcMar>
              <w:top w:type="dxa" w:w="50"/>
              <w:left w:type="dxa" w:w="110"/>
              <w:bottom w:type="dxa" w:w="50"/>
              <w:right w:type="dxa" w:w="110"/>
            </w:tcMar>
          </w:tcPr>
          <w:p>
            <w:pPr>
              <w:spacing w:before="28" w:after="28"/>
            </w:pPr>
            <w:r>
              <w:rPr>
                <w:sz w:val="15"/>
                <w:szCs w:val="15"/>
              </w:rPr>
              <w:t xml:space="preserve">Financial statements (U.S. GAAP)</w:t>
            </w:r>
          </w:p>
        </w:tc>
        <w:tc>
          <w:tcPr>
            <w:tcW w:type="pct" w:w="1242"/>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595"/>
            <w:tcMar>
              <w:top w:type="dxa" w:w="50"/>
              <w:left w:type="dxa" w:w="110"/>
              <w:bottom w:type="dxa" w:w="50"/>
              <w:right w:type="dxa" w:w="110"/>
            </w:tcMar>
          </w:tcPr>
          <w:p>
            <w:pPr>
              <w:spacing w:before="28" w:after="28"/>
            </w:pPr>
            <w:r>
              <w:rPr>
                <w:sz w:val="15"/>
                <w:szCs w:val="15"/>
              </w:rPr>
              <w:t xml:space="preserve">Financial position and performance</w:t>
            </w:r>
          </w:p>
        </w:tc>
        <w:tc>
          <w:tcPr>
            <w:tcW w:type="pct" w:w="919"/>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244"/>
            <w:tcMar>
              <w:top w:type="dxa" w:w="50"/>
              <w:left w:type="dxa" w:w="110"/>
              <w:bottom w:type="dxa" w:w="50"/>
              <w:right w:type="dxa" w:w="110"/>
            </w:tcMar>
          </w:tcPr>
          <w:p>
            <w:pPr>
              <w:spacing w:before="28" w:after="28"/>
            </w:pPr>
            <w:r>
              <w:rPr>
                <w:sz w:val="15"/>
                <w:szCs w:val="15"/>
              </w:rPr>
              <w:t xml:space="preserve">Integrated report (&lt;IR&gt; Framework)</w:t>
            </w:r>
          </w:p>
        </w:tc>
        <w:tc>
          <w:tcPr>
            <w:tcW w:type="pct" w:w="1242"/>
            <w:tcMar>
              <w:top w:type="dxa" w:w="50"/>
              <w:left w:type="dxa" w:w="110"/>
              <w:bottom w:type="dxa" w:w="50"/>
              <w:right w:type="dxa" w:w="110"/>
            </w:tcMar>
          </w:tcPr>
          <w:p>
            <w:pPr>
              <w:spacing w:before="28" w:after="28"/>
            </w:pPr>
            <w:r>
              <w:rPr>
                <w:sz w:val="15"/>
                <w:szCs w:val="15"/>
              </w:rPr>
              <w:t xml:space="preserve">Providers of financial capital, then other stakeholders</w:t>
            </w:r>
          </w:p>
        </w:tc>
        <w:tc>
          <w:tcPr>
            <w:tcW w:type="pct" w:w="1595"/>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91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244"/>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1242"/>
            <w:shd w:fill="FBFAF6" w:val="clear"/>
            <w:tcMar>
              <w:top w:type="dxa" w:w="50"/>
              <w:left w:type="dxa" w:w="110"/>
              <w:bottom w:type="dxa" w:w="50"/>
              <w:right w:type="dxa" w:w="110"/>
            </w:tcMar>
          </w:tcPr>
          <w:p>
            <w:pPr>
              <w:spacing w:before="28" w:after="28"/>
            </w:pPr>
            <w:r>
              <w:rPr>
                <w:sz w:val="15"/>
                <w:szCs w:val="15"/>
              </w:rPr>
              <w:t xml:space="preserve">Investors</w:t>
            </w:r>
          </w:p>
        </w:tc>
        <w:tc>
          <w:tcPr>
            <w:tcW w:type="pct" w:w="159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919"/>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voluntary   ·   Yes: SEC requirement   ·   Only where a jurisdiction adopts them   ·   Sustainability and climate risks that affect prospects   ·   Investors and creditors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primary audience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content elements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natural capital</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 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Investors and creditors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financial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Yes: SEC requirement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54"/>
        <w:gridCol w:w="4534"/>
        <w:gridCol w:w="321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965"/>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362"/>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673"/>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965"/>
            <w:tcMar>
              <w:top w:type="dxa" w:w="50"/>
              <w:left w:type="dxa" w:w="110"/>
              <w:bottom w:type="dxa" w:w="50"/>
              <w:right w:type="dxa" w:w="110"/>
            </w:tcMar>
          </w:tcPr>
          <w:p>
            <w:pPr>
              <w:spacing w:before="28" w:after="28"/>
            </w:pPr>
            <w:r>
              <w:rPr>
                <w:sz w:val="15"/>
                <w:szCs w:val="15"/>
              </w:rPr>
              <w:t xml:space="preserve">Financial</w:t>
            </w:r>
          </w:p>
        </w:tc>
        <w:tc>
          <w:tcPr>
            <w:tcW w:type="pct" w:w="2362"/>
            <w:tcMar>
              <w:top w:type="dxa" w:w="50"/>
              <w:left w:type="dxa" w:w="110"/>
              <w:bottom w:type="dxa" w:w="50"/>
              <w:right w:type="dxa" w:w="110"/>
            </w:tcMar>
          </w:tcPr>
          <w:p>
            <w:pPr>
              <w:spacing w:before="28" w:after="28"/>
            </w:pPr>
            <w:r>
              <w:rPr>
                <w:sz w:val="15"/>
                <w:szCs w:val="15"/>
              </w:rPr>
              <w:t xml:space="preserve">Equity and bank loans (Part I)</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965"/>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362"/>
            <w:shd w:fill="FBFAF6" w:val="clear"/>
            <w:tcMar>
              <w:top w:type="dxa" w:w="50"/>
              <w:left w:type="dxa" w:w="110"/>
              <w:bottom w:type="dxa" w:w="50"/>
              <w:right w:type="dxa" w:w="110"/>
            </w:tcMar>
          </w:tcPr>
          <w:p>
            <w:pPr>
              <w:spacing w:before="28" w:after="28"/>
            </w:pPr>
            <w:r>
              <w:rPr>
                <w:sz w:val="15"/>
                <w:szCs w:val="15"/>
              </w:rPr>
              <w:t xml:space="preserve">Presses, bottling lines, cold stores</w:t>
            </w:r>
          </w:p>
        </w:tc>
        <w:tc>
          <w:tcPr>
            <w:tcW w:type="pct" w:w="1673"/>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965"/>
            <w:tcMar>
              <w:top w:type="dxa" w:w="50"/>
              <w:left w:type="dxa" w:w="110"/>
              <w:bottom w:type="dxa" w:w="50"/>
              <w:right w:type="dxa" w:w="110"/>
            </w:tcMar>
          </w:tcPr>
          <w:p>
            <w:pPr>
              <w:spacing w:before="28" w:after="28"/>
            </w:pPr>
            <w:r>
              <w:rPr>
                <w:sz w:val="15"/>
                <w:szCs w:val="15"/>
              </w:rPr>
              <w:t xml:space="preserve">Intellectual</w:t>
            </w:r>
          </w:p>
        </w:tc>
        <w:tc>
          <w:tcPr>
            <w:tcW w:type="pct" w:w="2362"/>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73"/>
            <w:tcMar>
              <w:top w:type="dxa" w:w="50"/>
              <w:left w:type="dxa" w:w="110"/>
              <w:bottom w:type="dxa" w:w="50"/>
              <w:right w:type="dxa" w:w="110"/>
            </w:tcMar>
          </w:tcPr>
          <w:p>
            <w:pPr>
              <w:spacing w:before="28" w:after="28"/>
            </w:pPr>
            <w:r>
              <w:rPr>
                <w:sz w:val="15"/>
                <w:szCs w:val="15"/>
              </w:rPr>
              <w:t xml:space="preserve">Share of sales from new products</w:t>
            </w:r>
          </w:p>
        </w:tc>
      </w:tr>
      <w:tr>
        <w:tc>
          <w:tcPr>
            <w:tcW w:type="pct" w:w="965"/>
            <w:shd w:fill="FBFAF6" w:val="clear"/>
            <w:tcMar>
              <w:top w:type="dxa" w:w="50"/>
              <w:left w:type="dxa" w:w="110"/>
              <w:bottom w:type="dxa" w:w="50"/>
              <w:right w:type="dxa" w:w="110"/>
            </w:tcMar>
          </w:tcPr>
          <w:p>
            <w:pPr>
              <w:spacing w:before="28" w:after="28"/>
            </w:pPr>
            <w:r>
              <w:rPr>
                <w:sz w:val="15"/>
                <w:szCs w:val="15"/>
              </w:rPr>
              <w:t xml:space="preserve">Human</w:t>
            </w:r>
          </w:p>
        </w:tc>
        <w:tc>
          <w:tcPr>
            <w:tcW w:type="pct" w:w="2362"/>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965"/>
            <w:tcMar>
              <w:top w:type="dxa" w:w="50"/>
              <w:left w:type="dxa" w:w="110"/>
              <w:bottom w:type="dxa" w:w="50"/>
              <w:right w:type="dxa" w:w="110"/>
            </w:tcMar>
          </w:tcPr>
          <w:p>
            <w:pPr>
              <w:spacing w:before="28" w:after="28"/>
            </w:pPr>
            <w:r>
              <w:rPr>
                <w:sz w:val="15"/>
                <w:szCs w:val="15"/>
              </w:rPr>
              <w:t xml:space="preserve">Social and relationship</w:t>
            </w:r>
          </w:p>
        </w:tc>
        <w:tc>
          <w:tcPr>
            <w:tcW w:type="pct" w:w="2362"/>
            <w:tcMar>
              <w:top w:type="dxa" w:w="50"/>
              <w:left w:type="dxa" w:w="110"/>
              <w:bottom w:type="dxa" w:w="50"/>
              <w:right w:type="dxa" w:w="110"/>
            </w:tcMar>
          </w:tcPr>
          <w:p>
            <w:pPr>
              <w:spacing w:before="28" w:after="28"/>
            </w:pPr>
            <w:r>
              <w:rPr>
                <w:sz w:val="15"/>
                <w:szCs w:val="15"/>
              </w:rPr>
              <w:t xml:space="preserve">2,400 farmers in grower cooperatives; supermarket customers</w:t>
            </w:r>
          </w:p>
        </w:tc>
        <w:tc>
          <w:tcPr>
            <w:tcW w:type="pct" w:w="167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965"/>
            <w:shd w:fill="FBFAF6" w:val="clear"/>
            <w:tcMar>
              <w:top w:type="dxa" w:w="50"/>
              <w:left w:type="dxa" w:w="110"/>
              <w:bottom w:type="dxa" w:w="50"/>
              <w:right w:type="dxa" w:w="110"/>
            </w:tcMar>
          </w:tcPr>
          <w:p>
            <w:pPr>
              <w:spacing w:before="28" w:after="28"/>
            </w:pPr>
            <w:r>
              <w:rPr>
                <w:sz w:val="15"/>
                <w:szCs w:val="15"/>
              </w:rPr>
              <w:t xml:space="preserve">Natural</w:t>
            </w:r>
          </w:p>
        </w:tc>
        <w:tc>
          <w:tcPr>
            <w:tcW w:type="pct" w:w="236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3"/>
            <w:shd w:fill="FBFAF6" w:val="clear"/>
            <w:tcMar>
              <w:top w:type="dxa" w:w="50"/>
              <w:left w:type="dxa" w:w="110"/>
              <w:bottom w:type="dxa" w:w="50"/>
              <w:right w:type="dxa" w:w="110"/>
            </w:tcMar>
          </w:tcPr>
          <w:p>
            <w:pPr>
              <w:spacing w:before="28" w:after="28"/>
            </w:pPr>
            <w:r>
              <w:rPr>
                <w:sz w:val="15"/>
                <w:szCs w:val="15"/>
              </w:rPr>
              <w:t xml:space="preserve">Water 900,000 m3; renewable electricity 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Olive groves, water, energy   ·   Cash flow from operations   ·   Recipes, brand, new sparkling-juice line   ·   Presses, bottling lines, cold stores   ·   Farmer contracts renewed   ·   20 training hours per employee</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Capitals are connected, so decisions involve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creation process   ·   differently   ·   trade-offs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Suppose Orontes spends $2,000,000 on drip irrigation for its groves: financial capital falls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natural capital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   integrated   ·   preserved   ·   relationship   ·   human 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Safety training for factory staff   ·   Long-term contracts with grower cooperatives   ·   capitals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رؤوس الأموال, capitaux</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integrated reporting, capitals are resources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not share capital. </w:t>
      </w:r>
      <w:r>
        <w:rPr>
          <w:sz w:val="19"/>
          <w:szCs w:val="19"/>
        </w:rPr>
        <w:t xml:space="preserve">French capital social means share capital, but capital social 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one of the six capitals.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relationships   ·   manufactured capital   ·   relationnel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integrated report   ·   social and relationship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Cash flow from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Recipes, brand, new sparkling-juice line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integrated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Safety training for factory staff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Farmer contracts renewed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Long-term contracts with grower cooperatives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Olive groves, water, energy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trade-offs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relationnel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preserved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2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pacing w:before="20" w:after="20"/>
        <w:ind w:left="240" w:hanging="240"/>
      </w:pPr>
      <w:r>
        <w:rPr>
          <w:b/>
          <w:bCs/>
          <w:color w:val="353A7C"/>
          <w:sz w:val="15"/>
          <w:szCs w:val="15"/>
        </w:rPr>
        <w:t xml:space="preserve">Summary 3   </w:t>
      </w:r>
      <w:r>
        <w:rPr>
          <w:color w:val="6B7280"/>
          <w:sz w:val="15"/>
          <w:szCs w:val="15"/>
        </w:rPr>
        <w:t xml:space="preserve">In integrated reporting, capitals are resources and relationships, not share capital. French capital social means share capital, but capital social et relationnel is one of the six capitals.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77"/>
        <w:gridCol w:w="3757"/>
        <w:gridCol w:w="336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290"/>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7"/>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290"/>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7"/>
            <w:tcMar>
              <w:top w:type="dxa" w:w="50"/>
              <w:left w:type="dxa" w:w="110"/>
              <w:bottom w:type="dxa" w:w="50"/>
              <w:right w:type="dxa" w:w="110"/>
            </w:tcMar>
          </w:tcPr>
          <w:p>
            <w:pPr>
              <w:spacing w:before="28" w:after="28"/>
            </w:pPr>
            <w:r>
              <w:rPr>
                <w:sz w:val="15"/>
                <w:szCs w:val="15"/>
              </w:rPr>
              <w:t xml:space="preserve">Explain strategy and how it creates value over time</w:t>
            </w:r>
          </w:p>
        </w:tc>
        <w:tc>
          <w:tcPr>
            <w:tcW w:type="pct" w:w="1753"/>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7"/>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753"/>
            <w:shd w:fill="FBFAF6" w:val="clear"/>
            <w:tcMar>
              <w:top w:type="dxa" w:w="50"/>
              <w:left w:type="dxa" w:w="110"/>
              <w:bottom w:type="dxa" w:w="50"/>
              <w:right w:type="dxa" w:w="110"/>
            </w:tcMar>
          </w:tcPr>
          <w:p>
            <w:pPr>
              <w:spacing w:before="28" w:after="28"/>
            </w:pPr>
            <w:r>
              <w:rPr>
                <w:sz w:val="15"/>
                <w:szCs w:val="15"/>
              </w:rPr>
              <w:t xml:space="preserve">Irrigation spending linked to water use and grower yields</w:t>
            </w:r>
          </w:p>
        </w:tc>
      </w:tr>
      <w:tr>
        <w:tc>
          <w:tcPr>
            <w:tcW w:type="pct" w:w="1290"/>
            <w:tcMar>
              <w:top w:type="dxa" w:w="50"/>
              <w:left w:type="dxa" w:w="110"/>
              <w:bottom w:type="dxa" w:w="50"/>
              <w:right w:type="dxa" w:w="110"/>
            </w:tcMar>
          </w:tcPr>
          <w:p>
            <w:pPr>
              <w:spacing w:before="28" w:after="28"/>
            </w:pPr>
            <w:r>
              <w:rPr>
                <w:sz w:val="15"/>
                <w:szCs w:val="15"/>
              </w:rPr>
              <w:t xml:space="preserve">Stakeholder relationships</w:t>
            </w:r>
          </w:p>
        </w:tc>
        <w:tc>
          <w:tcPr>
            <w:tcW w:type="pct" w:w="1957"/>
            <w:tcMar>
              <w:top w:type="dxa" w:w="50"/>
              <w:left w:type="dxa" w:w="110"/>
              <w:bottom w:type="dxa" w:w="50"/>
              <w:right w:type="dxa" w:w="110"/>
            </w:tcMar>
          </w:tcPr>
          <w:p>
            <w:pPr>
              <w:spacing w:before="28" w:after="28"/>
            </w:pPr>
            <w:r>
              <w:rPr>
                <w:sz w:val="15"/>
                <w:szCs w:val="15"/>
              </w:rPr>
              <w:t xml:space="preserve">Explain key relationships and how the company responds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7"/>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753"/>
            <w:shd w:fill="FBFAF6" w:val="clear"/>
            <w:tcMar>
              <w:top w:type="dxa" w:w="50"/>
              <w:left w:type="dxa" w:w="110"/>
              <w:bottom w:type="dxa" w:w="50"/>
              <w:right w:type="dxa" w:w="110"/>
            </w:tcMar>
          </w:tcPr>
          <w:p>
            <w:pPr>
              <w:spacing w:before="28" w:after="28"/>
            </w:pPr>
            <w:r>
              <w:rPr>
                <w:sz w:val="15"/>
                <w:szCs w:val="15"/>
              </w:rPr>
              <w:t xml:space="preserve">Water scarcity; olive prices</w:t>
            </w:r>
          </w:p>
        </w:tc>
      </w:tr>
      <w:tr>
        <w:tc>
          <w:tcPr>
            <w:tcW w:type="pct" w:w="1290"/>
            <w:tcMar>
              <w:top w:type="dxa" w:w="50"/>
              <w:left w:type="dxa" w:w="110"/>
              <w:bottom w:type="dxa" w:w="50"/>
              <w:right w:type="dxa" w:w="110"/>
            </w:tcMar>
          </w:tcPr>
          <w:p>
            <w:pPr>
              <w:spacing w:before="28" w:after="28"/>
            </w:pPr>
            <w:r>
              <w:rPr>
                <w:sz w:val="15"/>
                <w:szCs w:val="15"/>
              </w:rPr>
              <w:t xml:space="preserve">Conciseness</w:t>
            </w:r>
          </w:p>
        </w:tc>
        <w:tc>
          <w:tcPr>
            <w:tcW w:type="pct" w:w="1957"/>
            <w:tcMar>
              <w:top w:type="dxa" w:w="50"/>
              <w:left w:type="dxa" w:w="110"/>
              <w:bottom w:type="dxa" w:w="50"/>
              <w:right w:type="dxa" w:w="110"/>
            </w:tcMar>
          </w:tcPr>
          <w:p>
            <w:pPr>
              <w:spacing w:before="28" w:after="28"/>
            </w:pPr>
            <w:r>
              <w:rPr>
                <w:sz w:val="15"/>
                <w:szCs w:val="15"/>
              </w:rPr>
              <w:t xml:space="preserve">Be short and clear</w:t>
            </w:r>
          </w:p>
        </w:tc>
        <w:tc>
          <w:tcPr>
            <w:tcW w:type="pct" w:w="1753"/>
            <w:tcMar>
              <w:top w:type="dxa" w:w="50"/>
              <w:left w:type="dxa" w:w="110"/>
              <w:bottom w:type="dxa" w:w="50"/>
              <w:right w:type="dxa" w:w="110"/>
            </w:tcMar>
          </w:tcPr>
          <w:p>
            <w:pPr>
              <w:spacing w:before="28" w:after="28"/>
            </w:pPr>
            <w:r>
              <w:rPr>
                <w:sz w:val="15"/>
                <w:szCs w:val="15"/>
              </w:rPr>
              <w:t xml:space="preserve">Refer to the financial statements rather than repeat them</w:t>
            </w:r>
          </w:p>
        </w:tc>
      </w:tr>
      <w:tr>
        <w:tc>
          <w:tcPr>
            <w:tcW w:type="pct" w:w="1290"/>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7"/>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290"/>
            <w:tcMar>
              <w:top w:type="dxa" w:w="50"/>
              <w:left w:type="dxa" w:w="110"/>
              <w:bottom w:type="dxa" w:w="50"/>
              <w:right w:type="dxa" w:w="110"/>
            </w:tcMar>
          </w:tcPr>
          <w:p>
            <w:pPr>
              <w:spacing w:before="28" w:after="28"/>
            </w:pPr>
            <w:r>
              <w:rPr>
                <w:sz w:val="15"/>
                <w:szCs w:val="15"/>
              </w:rPr>
              <w:t xml:space="preserve">Consistency and comparability</w:t>
            </w:r>
          </w:p>
        </w:tc>
        <w:tc>
          <w:tcPr>
            <w:tcW w:type="pct" w:w="1957"/>
            <w:tcMar>
              <w:top w:type="dxa" w:w="50"/>
              <w:left w:type="dxa" w:w="110"/>
              <w:bottom w:type="dxa" w:w="50"/>
              <w:right w:type="dxa" w:w="110"/>
            </w:tcMar>
          </w:tcPr>
          <w:p>
            <w:pPr>
              <w:spacing w:before="28" w:after="28"/>
            </w:pPr>
            <w:r>
              <w:rPr>
                <w:sz w:val="15"/>
                <w:szCs w:val="15"/>
              </w:rPr>
              <w:t xml:space="preserve">Use the same basis over time and allow comparison</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Explain key relationships and how the company responds   ·   Show how capitals, strategy and performance link   ·   Same water measure every year   ·   Report a failed product launch too   ·   Include matters that substantively affect value creation   ·   Work with grower cooperatives</w:t>
            </w:r>
          </w:p>
        </w:tc>
      </w:tr>
    </w:tbl>
    <w:p/>
    <w:p>
      <w:pPr>
        <w:spacing w:before="44" w:after="14"/>
      </w:pPr>
      <w:r>
        <w:rPr>
          <w:b/>
          <w:bCs/>
          <w:color w:val="353A7C"/>
          <w:sz w:val="18"/>
          <w:szCs w:val="18"/>
        </w:rPr>
        <w:t xml:space="preserve">Summary 1</w:t>
      </w:r>
      <w:r>
        <w:rPr>
          <w:color w:val="6B7280"/>
          <w:sz w:val="16"/>
          <w:szCs w:val="16"/>
        </w:rPr>
        <w:t xml:space="preserve">      gaps 6–8</w:t>
      </w:r>
    </w:p>
    <w:p>
      <w:pPr>
        <w:spacing w:before="20" w:after="20" w:line="360" w:lineRule="auto"/>
        <w:ind w:left="200"/>
      </w:pPr>
      <w:r>
        <w:rPr>
          <w:sz w:val="19"/>
          <w:szCs w:val="19"/>
        </w:rPr>
        <w:t xml:space="preserve">Eight content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set what the report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governance works, how its business model creates value, which risks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faces, where its strategy is going, how it performed, what lies ahead, and how the report was prepared.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opportunities   ·   elements   ·   guiding principles   ·   covers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10"/>
        <w:gridCol w:w="3614"/>
        <w:gridCol w:w="317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82"/>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5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63"/>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8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54"/>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82"/>
            <w:shd w:fill="FBFAF6" w:val="clear"/>
            <w:tcMar>
              <w:top w:type="dxa" w:w="50"/>
              <w:left w:type="dxa" w:w="110"/>
              <w:bottom w:type="dxa" w:w="50"/>
              <w:right w:type="dxa" w:w="110"/>
            </w:tcMar>
          </w:tcPr>
          <w:p>
            <w:pPr>
              <w:spacing w:before="28" w:after="28"/>
            </w:pPr>
            <w:r>
              <w:rPr>
                <w:sz w:val="15"/>
                <w:szCs w:val="15"/>
              </w:rPr>
              <w:t xml:space="preserve">How does governance support value creation?</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3"/>
            <w:tcMar>
              <w:top w:type="dxa" w:w="50"/>
              <w:left w:type="dxa" w:w="110"/>
              <w:bottom w:type="dxa" w:w="50"/>
              <w:right w:type="dxa" w:w="110"/>
            </w:tcMar>
          </w:tcPr>
          <w:p>
            <w:pPr>
              <w:spacing w:before="28" w:after="28"/>
            </w:pPr>
            <w:r>
              <w:rPr>
                <w:sz w:val="15"/>
                <w:szCs w:val="15"/>
              </w:rPr>
              <w:t xml:space="preserve">Business model</w:t>
            </w:r>
          </w:p>
        </w:tc>
        <w:tc>
          <w:tcPr>
            <w:tcW w:type="pct" w:w="188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54"/>
            <w:tcMar>
              <w:top w:type="dxa" w:w="50"/>
              <w:left w:type="dxa" w:w="110"/>
              <w:bottom w:type="dxa" w:w="50"/>
              <w:right w:type="dxa" w:w="110"/>
            </w:tcMar>
          </w:tcPr>
          <w:p>
            <w:pPr>
              <w:spacing w:before="28" w:after="28"/>
            </w:pPr>
            <w:r>
              <w:rPr>
                <w:sz w:val="15"/>
                <w:szCs w:val="15"/>
              </w:rPr>
              <w:t xml:space="preserve">Grow, press, bottle, sell</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82"/>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1463"/>
            <w:tcMar>
              <w:top w:type="dxa" w:w="50"/>
              <w:left w:type="dxa" w:w="110"/>
              <w:bottom w:type="dxa" w:w="50"/>
              <w:right w:type="dxa" w:w="110"/>
            </w:tcMar>
          </w:tcPr>
          <w:p>
            <w:pPr>
              <w:spacing w:before="28" w:after="28"/>
            </w:pPr>
            <w:r>
              <w:rPr>
                <w:sz w:val="15"/>
                <w:szCs w:val="15"/>
              </w:rPr>
              <w:t xml:space="preserve">Strategy and resource allocation</w:t>
            </w:r>
          </w:p>
        </w:tc>
        <w:tc>
          <w:tcPr>
            <w:tcW w:type="pct" w:w="1882"/>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82"/>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54"/>
            <w:shd w:fill="FBFAF6" w:val="clear"/>
            <w:tcMar>
              <w:top w:type="dxa" w:w="50"/>
              <w:left w:type="dxa" w:w="110"/>
              <w:bottom w:type="dxa" w:w="50"/>
              <w:right w:type="dxa" w:w="110"/>
            </w:tcMar>
          </w:tcPr>
          <w:p>
            <w:pPr>
              <w:spacing w:before="28" w:after="28"/>
            </w:pPr>
            <w:r>
              <w:rPr>
                <w:sz w:val="15"/>
                <w:szCs w:val="15"/>
              </w:rPr>
              <w:t xml:space="preserve">Renewable electricity 30%</w:t>
            </w:r>
          </w:p>
        </w:tc>
      </w:tr>
      <w:tr>
        <w:tc>
          <w:tcPr>
            <w:tcW w:type="pct" w:w="1463"/>
            <w:tcMar>
              <w:top w:type="dxa" w:w="50"/>
              <w:left w:type="dxa" w:w="110"/>
              <w:bottom w:type="dxa" w:w="50"/>
              <w:right w:type="dxa" w:w="110"/>
            </w:tcMar>
          </w:tcPr>
          <w:p>
            <w:pPr>
              <w:spacing w:before="28" w:after="28"/>
            </w:pPr>
            <w:r>
              <w:rPr>
                <w:sz w:val="15"/>
                <w:szCs w:val="15"/>
              </w:rPr>
              <w:t xml:space="preserve">Outlook</w:t>
            </w:r>
          </w:p>
        </w:tc>
        <w:tc>
          <w:tcPr>
            <w:tcW w:type="pct" w:w="1882"/>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1463"/>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82"/>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54"/>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does the company turn capitals into value?   ·   Water scarcity; demand for healthy drinks   ·   What could help or harm value creation?   ·   What does the company do, and where?   ·   Invest in irrigation and new products   ·   Materiality process; measurement methods   ·   Olive yields and prices to 2030   ·   Board committee oversees water risk</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16–17</w:t>
      </w:r>
    </w:p>
    <w:p>
      <w:pPr>
        <w:spacing w:before="20" w:after="20" w:line="360" w:lineRule="auto"/>
        <w:ind w:left="200"/>
      </w:pPr>
      <w:r>
        <w:rPr>
          <w:sz w:val="19"/>
          <w:szCs w:val="19"/>
        </w:rPr>
        <w:t xml:space="preserve">Those charged with governance, such as the board, should include a statement that they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distinguishable   ·   responsible   ·   guiding principles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There are seven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guiding   ·   content elements   ·   connectivity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Show how capitals, strategy and performance link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Work with grower 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 matters that substantively affect value creation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Materiality process; measurement 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Same water measure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elements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opportunities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What does the company do, and where?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Board committee oversees water risk</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How does the company turn capitals into value?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w:t>
      </w:r>
    </w:p>
    <w:p>
      <w:pPr>
        <w:spacing w:before="20" w:after="20"/>
        <w:ind w:left="240" w:hanging="240"/>
      </w:pPr>
      <w:r>
        <w:rPr>
          <w:b/>
          <w:bCs/>
          <w:color w:val="353A7C"/>
          <w:sz w:val="15"/>
          <w:szCs w:val="15"/>
        </w:rPr>
        <w:t xml:space="preserve">Summary 2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3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Supporters say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reporting improves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itself: to report on all the capitals, managers must think about how they connect. </w:t>
      </w:r>
      <w:r>
        <w:rPr>
          <w:sz w:val="19"/>
          <w:szCs w:val="19"/>
        </w:rPr>
        <w:t xml:space="preserve">It can improve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capital, give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clearer and more concise picture, and encourage a long-term view. </w:t>
      </w:r>
      <w:r>
        <w:rPr>
          <w:sz w:val="19"/>
          <w:szCs w:val="19"/>
        </w:rPr>
        <w:t xml:space="preserve">Preparing the report takes time and money,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capitals such as relationships and skills are hard to measure. </w:t>
      </w:r>
      <w:r>
        <w:rPr>
          <w:sz w:val="19"/>
          <w:szCs w:val="19"/>
        </w:rPr>
        <w:t xml:space="preserve">Companies may worry about revealing information to competitors or creating legal risk, and assurance practice is still limited.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allocation   ·   management   ·   investors   ·   integrated   ·   non-financial</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non-financial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allocation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Supporters say integrated reporting improves management itself: to report on all the capitals, managers must think about how they connect. It can improve the allocation of capital, give investors a clearer and more concise picture, and encourage a long-term view. Preparing the report takes time and money, and non-financial capitals such as relationships and skills are hard to measure. Companies may worry about revealing information to competitors or creating legal risk, and assurance practice is still limited.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effect; it is stayed, and the SEC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Framework   ·   outputs   ·   information   ·   integration   ·   voluntary   ·   Practice   ·   proposed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partnerships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tcMar>
              <w:top w:type="dxa" w:w="50"/>
              <w:left w:type="dxa" w:w="110"/>
              <w:bottom w:type="dxa" w:w="50"/>
              <w:right w:type="dxa" w:w="110"/>
            </w:tcMar>
          </w:tcPr>
          <w:p>
            <w:pPr>
              <w:spacing w:before="28" w:after="28"/>
            </w:pPr>
            <w:r>
              <w:rPr>
                <w:sz w:val="15"/>
                <w:szCs w:val="15"/>
              </w:rPr>
              <w:t xml:space="preserve">Packaging waste sent to landfill fell by one third.</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Barada's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 trained all delivery drivers in safe driving.   ·   Staff turnover in the warehouse fell from 25% to 15%.   ·   Packaging waste sent to landfill fell by one third.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Intellectual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52"/>
        <w:gridCol w:w="48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475"/>
            <w:tcMar>
              <w:top w:type="dxa" w:w="50"/>
              <w:left w:type="dxa" w:w="110"/>
              <w:bottom w:type="dxa" w:w="50"/>
              <w:right w:type="dxa" w:w="110"/>
            </w:tcMar>
          </w:tcPr>
          <w:p>
            <w:pPr>
              <w:spacing w:before="26" w:after="26"/>
            </w:pPr>
            <w:r>
              <w:rPr>
                <w:b/>
                <w:bCs/>
                <w:color w:val="353A7C"/>
                <w:sz w:val="15"/>
                <w:szCs w:val="15"/>
              </w:rPr>
              <w:t xml:space="preserve">Disclosure</w:t>
            </w:r>
          </w:p>
        </w:tc>
        <w:tc>
          <w:tcPr>
            <w:tcW w:type="pct" w:w="2525"/>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75"/>
            <w:tcMar>
              <w:top w:type="dxa" w:w="50"/>
              <w:left w:type="dxa" w:w="110"/>
              <w:bottom w:type="dxa" w:w="50"/>
              <w:right w:type="dxa" w:w="110"/>
            </w:tcMar>
          </w:tcPr>
          <w:p>
            <w:pPr>
              <w:spacing w:before="26" w:after="26"/>
            </w:pPr>
            <w:r>
              <w:rPr>
                <w:color w:val="232733"/>
                <w:sz w:val="16"/>
                <w:szCs w:val="16"/>
              </w:rPr>
              <w:t xml:space="preserve">D1 Driver training</w:t>
            </w:r>
          </w:p>
        </w:tc>
        <w:tc>
          <w:tcPr>
            <w:tcW w:type="pct" w:w="2525"/>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D2 Electricity and solar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Natural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D3 Farmer partnerships</w:t>
            </w:r>
          </w:p>
        </w:tc>
        <w:tc>
          <w:tcPr>
            <w:tcW w:type="pct" w:w="2525"/>
            <w:tcMar>
              <w:top w:type="dxa" w:w="50"/>
              <w:left w:type="dxa" w:w="110"/>
              <w:bottom w:type="dxa" w:w="50"/>
              <w:right w:type="dxa" w:w="110"/>
            </w:tcMar>
          </w:tcPr>
          <w:p>
            <w:pPr>
              <w:spacing w:before="26" w:after="26"/>
            </w:pPr>
            <w:r>
              <w:rPr>
                <w:color w:val="232733"/>
                <w:sz w:val="16"/>
                <w:szCs w:val="16"/>
              </w:rPr>
              <w:t xml:space="preserve">Social and relationship capital</w:t>
            </w:r>
          </w:p>
        </w:tc>
      </w:tr>
      <w:tr>
        <w:tc>
          <w:tcPr>
            <w:tcW w:type="pct" w:w="2475"/>
            <w:shd w:fill="FBFAF6" w:val="clear"/>
            <w:tcMar>
              <w:top w:type="dxa" w:w="50"/>
              <w:left w:type="dxa" w:w="110"/>
              <w:bottom w:type="dxa" w:w="50"/>
              <w:right w:type="dxa" w:w="110"/>
            </w:tcMar>
          </w:tcPr>
          <w:p>
            <w:pPr>
              <w:spacing w:before="26" w:after="26"/>
            </w:pPr>
            <w:r>
              <w:rPr>
                <w:color w:val="232733"/>
                <w:sz w:val="16"/>
                <w:szCs w:val="16"/>
              </w:rPr>
              <w:t xml:space="preserve">D4 Warehouse staff turnover</w:t>
            </w:r>
          </w:p>
        </w:tc>
        <w:tc>
          <w:tcPr>
            <w:tcW w:type="pct" w:w="2525"/>
            <w:shd w:fill="FBFAF6" w:val="clear"/>
            <w:tcMar>
              <w:top w:type="dxa" w:w="50"/>
              <w:left w:type="dxa" w:w="110"/>
              <w:bottom w:type="dxa" w:w="50"/>
              <w:right w:type="dxa" w:w="110"/>
            </w:tcMar>
          </w:tcPr>
          <w:p>
            <w:pPr>
              <w:spacing w:before="26" w:after="26"/>
            </w:pPr>
            <w:r>
              <w:rPr>
                <w:color w:val="232733"/>
                <w:sz w:val="16"/>
                <w:szCs w:val="16"/>
              </w:rPr>
              <w:t xml:space="preserve">Human capital</w:t>
            </w:r>
          </w:p>
        </w:tc>
      </w:tr>
      <w:tr>
        <w:tc>
          <w:tcPr>
            <w:tcW w:type="pct" w:w="2475"/>
            <w:tcMar>
              <w:top w:type="dxa" w:w="50"/>
              <w:left w:type="dxa" w:w="110"/>
              <w:bottom w:type="dxa" w:w="50"/>
              <w:right w:type="dxa" w:w="110"/>
            </w:tcMar>
          </w:tcPr>
          <w:p>
            <w:pPr>
              <w:spacing w:before="26" w:after="26"/>
            </w:pPr>
            <w:r>
              <w:rPr>
                <w:color w:val="232733"/>
                <w:sz w:val="16"/>
                <w:szCs w:val="16"/>
              </w:rPr>
              <w:t xml:space="preserve">D5 Packaging waste</w:t>
            </w:r>
          </w:p>
        </w:tc>
        <w:tc>
          <w:tcPr>
            <w:tcW w:type="pct" w:w="2525"/>
            <w:tcMar>
              <w:top w:type="dxa" w:w="50"/>
              <w:left w:type="dxa" w:w="110"/>
              <w:bottom w:type="dxa" w:w="50"/>
              <w:right w:type="dxa" w:w="110"/>
            </w:tcMar>
          </w:tcPr>
          <w:p>
            <w:pPr>
              <w:spacing w:before="26" w:after="26"/>
            </w:pPr>
            <w:r>
              <w:rPr>
                <w:color w:val="232733"/>
                <w:sz w:val="16"/>
                <w:szCs w:val="16"/>
              </w:rPr>
              <w:t xml:space="preserve">Natural capital</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Barada trained all delivery drivers in safe driving.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1d78b31af006a111c7b7e9f629509baadaab8e1.png" Type="http://schemas.openxmlformats.org/officeDocument/2006/relationships/image"/><Relationship Id="rId102" Target="media/1ba37b409319a386a9aafaa727d010a846b9d053.png" Type="http://schemas.openxmlformats.org/officeDocument/2006/relationships/image"/><Relationship Id="rId103" Target="media/aa8b54eb8027a486fe860d38c7693aaad1e0208c.png" Type="http://schemas.openxmlformats.org/officeDocument/2006/relationships/image"/><Relationship Id="rId104" Target="media/f91e4ef892aab28900fff22182a7788a69716fe4.png" Type="http://schemas.openxmlformats.org/officeDocument/2006/relationships/image"/><Relationship Id="rId105" Target="media/43410582454be373bfd09e17339722f88c913ee0.png" Type="http://schemas.openxmlformats.org/officeDocument/2006/relationships/image"/><Relationship Id="rId106" Target="media/543199a8cf2332d3b4ed6874e018d2f24692de5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18</dc:title>
  <dc:subject>Summary handouts</dc:subject>
  <cp:category>Student Book</cp:category>
</cp:coreProperties>
</file>