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The accrual basis and the matching principle   ·   Who uses financial statements, and why?</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A company collects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facts every day: sales, purchases, salaries and loans. </w:t>
      </w:r>
      <w:r>
        <w:rPr>
          <w:sz w:val="19"/>
          <w:szCs w:val="19"/>
        </w:rPr>
        <w:t xml:space="preserve">Financial statements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these facts in a standard form for people outside the company. </w:t>
      </w:r>
      <w:r>
        <w:rPr>
          <w:sz w:val="19"/>
          <w:szCs w:val="19"/>
        </w:rPr>
        <w:t xml:space="preserve">The four main statements are the balance sheet, the income statement, the statement of changes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framework names the most important readers. </w:t>
      </w:r>
      <w:r>
        <w:rPr>
          <w:sz w:val="19"/>
          <w:szCs w:val="19"/>
        </w:rPr>
        <w:t xml:space="preserve">The primary users are existing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company. </w:t>
      </w:r>
      <w:r>
        <w:rPr>
          <w:sz w:val="19"/>
          <w:szCs w:val="19"/>
        </w:rPr>
        <w:t xml:space="preserve">They usually cannot ask the company for special reports, so they depend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summarize   ·   general-purpose   ·   potential   ·   faithful representation   ·   credit   ·   conceptual   ·   equity   ·   reader   ·   published   ·   thousands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1"/>
        <w:gridCol w:w="1679"/>
        <w:gridCol w:w="3084"/>
        <w:gridCol w:w="260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62"/>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6"/>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5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62"/>
            <w:tcMar>
              <w:top w:type="dxa" w:w="50"/>
              <w:left w:type="dxa" w:w="110"/>
              <w:bottom w:type="dxa" w:w="50"/>
              <w:right w:type="dxa" w:w="110"/>
            </w:tcMar>
          </w:tcPr>
          <w:p>
            <w:pPr>
              <w:spacing w:before="28" w:after="28"/>
            </w:pPr>
            <w:r>
              <w:rPr>
                <w:sz w:val="15"/>
                <w:szCs w:val="15"/>
              </w:rPr>
              <w:t xml:space="preserve">Investors (shareholders)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606"/>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5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606"/>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35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62"/>
            <w:tcMar>
              <w:top w:type="dxa" w:w="50"/>
              <w:left w:type="dxa" w:w="110"/>
              <w:bottom w:type="dxa" w:w="50"/>
              <w:right w:type="dxa" w:w="110"/>
            </w:tcMar>
          </w:tcPr>
          <w:p>
            <w:pPr>
              <w:spacing w:before="28" w:after="28"/>
            </w:pPr>
            <w:r>
              <w:rPr>
                <w:sz w:val="15"/>
                <w:szCs w:val="15"/>
              </w:rPr>
              <w:t xml:space="preserve">Other creditors (suppliers) — PRIMARY</w:t>
            </w:r>
          </w:p>
        </w:tc>
        <w:tc>
          <w:tcPr>
            <w:tcW w:type="pct" w:w="874"/>
            <w:tcMar>
              <w:top w:type="dxa" w:w="50"/>
              <w:left w:type="dxa" w:w="110"/>
              <w:bottom w:type="dxa" w:w="50"/>
              <w:right w:type="dxa" w:w="110"/>
            </w:tcMar>
          </w:tcPr>
          <w:p>
            <w:pPr>
              <w:spacing w:before="28" w:after="28"/>
            </w:pPr>
            <w:r>
              <w:rPr>
                <w:sz w:val="15"/>
                <w:szCs w:val="15"/>
              </w:rPr>
              <w:t xml:space="preserve">Sell on credit, set credit terms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5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874"/>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5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62"/>
            <w:tcMar>
              <w:top w:type="dxa" w:w="50"/>
              <w:left w:type="dxa" w:w="110"/>
              <w:bottom w:type="dxa" w:w="50"/>
              <w:right w:type="dxa" w:w="110"/>
            </w:tcMar>
          </w:tcPr>
          <w:p>
            <w:pPr>
              <w:spacing w:before="28" w:after="28"/>
            </w:pPr>
            <w:r>
              <w:rPr>
                <w:sz w:val="15"/>
                <w:szCs w:val="15"/>
              </w:rPr>
              <w:t xml:space="preserve">Customers</w:t>
            </w:r>
          </w:p>
        </w:tc>
        <w:tc>
          <w:tcPr>
            <w:tcW w:type="pct" w:w="874"/>
            <w:tcMar>
              <w:top w:type="dxa" w:w="50"/>
              <w:left w:type="dxa" w:w="110"/>
              <w:bottom w:type="dxa" w:w="50"/>
              <w:right w:type="dxa" w:w="110"/>
            </w:tcMar>
          </w:tcPr>
          <w:p>
            <w:pPr>
              <w:spacing w:before="28" w:after="28"/>
            </w:pPr>
            <w:r>
              <w:rPr>
                <w:sz w:val="15"/>
                <w:szCs w:val="15"/>
              </w:rPr>
              <w:t xml:space="preserve">Sign long-term contracts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5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62"/>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87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06"/>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5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62"/>
            <w:tcMar>
              <w:top w:type="dxa" w:w="50"/>
              <w:left w:type="dxa" w:w="110"/>
              <w:bottom w:type="dxa" w:w="50"/>
              <w:right w:type="dxa" w:w="110"/>
            </w:tcMar>
          </w:tcPr>
          <w:p>
            <w:pPr>
              <w:spacing w:before="28" w:after="28"/>
            </w:pPr>
            <w:r>
              <w:rPr>
                <w:sz w:val="15"/>
                <w:szCs w:val="15"/>
              </w:rPr>
              <w:t xml:space="preserve">Managers (internal)</w:t>
            </w:r>
          </w:p>
        </w:tc>
        <w:tc>
          <w:tcPr>
            <w:tcW w:type="pct" w:w="874"/>
            <w:tcMar>
              <w:top w:type="dxa" w:w="50"/>
              <w:left w:type="dxa" w:w="110"/>
              <w:bottom w:type="dxa" w:w="50"/>
              <w:right w:type="dxa" w:w="110"/>
            </w:tcMar>
          </w:tcPr>
          <w:p>
            <w:pPr>
              <w:spacing w:before="28" w:after="28"/>
            </w:pPr>
            <w:r>
              <w:rPr>
                <w:sz w:val="15"/>
                <w:szCs w:val="15"/>
              </w:rPr>
              <w:t xml:space="preserve">Plan and control operations</w:t>
            </w:r>
          </w:p>
        </w:tc>
        <w:tc>
          <w:tcPr>
            <w:tcW w:type="pct" w:w="160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5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Lend, renew or stop a loan   ·   Is the company stable and profitable?   ·   Buy, hold or sell shares   ·   Will the company pay its bills when due?   ·   Will the company continue to supply us?   ·   Not a primary user: can use internal reports   ·   Income statement, cash flows, balance sheet</w:t>
            </w:r>
          </w:p>
        </w:tc>
      </w:tr>
    </w:tbl>
    <w:p/>
    <w:p>
      <w:pPr>
        <w:spacing w:before="44" w:after="14"/>
      </w:pPr>
      <w:r>
        <w:rPr>
          <w:b/>
          <w:bCs/>
          <w:color w:val="353A7C"/>
          <w:sz w:val="18"/>
          <w:szCs w:val="18"/>
        </w:rPr>
        <w:t xml:space="preserve">Summary 2</w:t>
      </w:r>
      <w:r>
        <w:rPr>
          <w:color w:val="6B7280"/>
          <w:sz w:val="16"/>
          <w:szCs w:val="16"/>
        </w:rPr>
        <w:t xml:space="preserve">      gaps 19–27</w:t>
      </w:r>
    </w:p>
    <w:p>
      <w:pPr>
        <w:spacing w:before="20" w:after="20" w:line="360" w:lineRule="auto"/>
        <w:ind w:left="200"/>
      </w:pPr>
      <w:r>
        <w:rPr>
          <w:sz w:val="19"/>
          <w:szCs w:val="19"/>
        </w:rPr>
        <w:t xml:space="preserve">Other groups also read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However, managers are not primary users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perform in the period? The income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financial   ·   information   ·   Reporting   ·   governments   ·   simple   ·   balance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28–35</w:t>
      </w:r>
    </w:p>
    <w:p>
      <w:pPr>
        <w:spacing w:before="20" w:after="20" w:line="360" w:lineRule="auto"/>
        <w:ind w:left="200"/>
      </w:pP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constraint: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representation   ·   conceptual   ·   fundamental   ·   confirmatory   ·   complete   ·   materiality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36–37</w:t>
      </w:r>
    </w:p>
    <w:p>
      <w:pPr>
        <w:spacing w:before="20" w:after="20" w:line="360" w:lineRule="auto"/>
        <w:ind w:left="200"/>
      </w:pPr>
      <w:r>
        <w:rPr>
          <w:sz w:val="19"/>
          <w:szCs w:val="19"/>
        </w:rPr>
        <w:t xml:space="preserve">Primary users are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relevance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recognize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7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78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   disclose   ·   conceptual framework</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40–41</w:t>
      </w:r>
    </w:p>
    <w:p>
      <w:pPr>
        <w:spacing w:before="20" w:after="20" w:line="360" w:lineRule="auto"/>
        <w:ind w:left="200"/>
      </w:pPr>
      <w:r>
        <w:rPr>
          <w:sz w:val="19"/>
          <w:szCs w:val="19"/>
        </w:rPr>
        <w:t xml:space="preserve">Example: Orontes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statement,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recognize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published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The other elements describe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Equity   ·   expense   ·   revenue   ·   statements   ·   retained earnings   ·   FASB   ·   liability   ·   changes   ·   operations</w:t>
            </w:r>
          </w:p>
        </w:tc>
      </w:tr>
    </w:tbl>
    <w:p/>
    <w:p>
      <w:pPr>
        <w:spacing w:before="44" w:after="14"/>
      </w:pPr>
      <w:r>
        <w:rPr>
          <w:b/>
          <w:bCs/>
          <w:color w:val="353A7C"/>
          <w:sz w:val="18"/>
          <w:szCs w:val="18"/>
        </w:rPr>
        <w:t xml:space="preserve">Summary 2</w:t>
      </w:r>
      <w:r>
        <w:rPr>
          <w:color w:val="6B7280"/>
          <w:sz w:val="16"/>
          <w:szCs w:val="16"/>
        </w:rPr>
        <w:t xml:space="preserve">      gaps 12–19</w:t>
      </w:r>
    </w:p>
    <w:p>
      <w:pPr>
        <w:spacing w:before="20" w:after="20" w:line="360" w:lineRule="auto"/>
        <w:ind w:left="200"/>
      </w:pPr>
      <w:r>
        <w:rPr>
          <w:sz w:val="19"/>
          <w:szCs w:val="19"/>
        </w:rPr>
        <w:t xml:space="preserve">Investments by owners,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new shares,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decrease equity.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IFRS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Framework (2018) defines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as a present economic resource controlled by the entity as a result of past events. </w:t>
      </w:r>
      <w:r>
        <w:rPr>
          <w:sz w:val="19"/>
          <w:szCs w:val="19"/>
        </w:rPr>
        <w:t xml:space="preserve">The idea is the same as in U.S. GAAP; only the wording is different. </w:t>
      </w:r>
      <w:r>
        <w:rPr>
          <w:sz w:val="19"/>
          <w:szCs w:val="19"/>
        </w:rPr>
        <w:t xml:space="preserve">IFRS also uses the word income for both revenue and gains, while U.S. GAAP keeps revenues and gains apart. </w:t>
      </w:r>
      <w:r>
        <w:rPr>
          <w:sz w:val="19"/>
          <w:szCs w:val="19"/>
        </w:rPr>
        <w:t xml:space="preserve">You may also know these IFRS names: statement of financial position (balance sheet), share capital (common stock) and share premium (additional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sources   ·   accounting equation   ·   Distributions   ·   Conceptual   ·   asset   ·   dividends   ·   Comprehensive   ·   increase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relevance   ·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IFRS Conceptual Framework (2018) defines an asset as a present economic resource controlled by the entity as a result of past events. 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affects at least two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total debits always equal total credits. </w:t>
      </w:r>
      <w:r>
        <w:rPr>
          <w:sz w:val="19"/>
          <w:szCs w:val="19"/>
        </w:rPr>
        <w:t xml:space="preserve">This is why the accounting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always balances. </w:t>
      </w:r>
      <w:r>
        <w:rPr>
          <w:sz w:val="19"/>
          <w:szCs w:val="19"/>
        </w:rPr>
        <w:t xml:space="preserve">A contra account reduces a related account, so it has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depreciation reduces equipment. </w:t>
      </w:r>
      <w:r>
        <w:rPr>
          <w:sz w:val="19"/>
          <w:szCs w:val="19"/>
        </w:rPr>
        <w:t xml:space="preserve">It has a credit balance, but it belongs with the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opposite   ·   double-entry   ·   equation   ·   T-account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January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pastries   ·   exchange   ·   transactions   ·   accounts receivable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8"/>
        <w:gridCol w:w="1138"/>
        <w:gridCol w:w="5050"/>
        <w:gridCol w:w="1138"/>
        <w:gridCol w:w="113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63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92"/>
            <w:tcMar>
              <w:top w:type="dxa" w:w="50"/>
              <w:left w:type="dxa" w:w="110"/>
              <w:bottom w:type="dxa" w:w="50"/>
              <w:right w:type="dxa" w:w="110"/>
            </w:tcMar>
          </w:tcPr>
          <w:p>
            <w:pPr>
              <w:spacing w:before="28" w:after="28"/>
            </w:pPr>
            <w:r>
              <w:rPr>
                <w:sz w:val="15"/>
                <w:szCs w:val="15"/>
              </w:rPr>
              <w:t xml:space="preserve">1</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1,500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Additional paid-in capital</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1,400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2</w:t>
            </w:r>
          </w:p>
        </w:tc>
        <w:tc>
          <w:tcPr>
            <w:tcW w:type="pct" w:w="592"/>
            <w:tcMar>
              <w:top w:type="dxa" w:w="50"/>
              <w:left w:type="dxa" w:w="110"/>
              <w:bottom w:type="dxa" w:w="50"/>
              <w:right w:type="dxa" w:w="110"/>
            </w:tcMar>
          </w:tcPr>
          <w:p>
            <w:pPr>
              <w:spacing w:before="28" w:after="28"/>
            </w:pPr>
            <w:r>
              <w:rPr>
                <w:sz w:val="15"/>
                <w:szCs w:val="15"/>
              </w:rPr>
              <w:t xml:space="preserve">Jan 5</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800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800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3</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630"/>
            <w:shd w:fill="FBFAF6" w:val="clear"/>
            <w:tcMar>
              <w:top w:type="dxa" w:w="50"/>
              <w:left w:type="dxa" w:w="110"/>
              <w:bottom w:type="dxa" w:w="50"/>
              <w:right w:type="dxa" w:w="110"/>
            </w:tcMar>
          </w:tcPr>
          <w:p>
            <w:pPr>
              <w:spacing w:before="28" w:after="28"/>
            </w:pPr>
            <w:r>
              <w:rPr>
                <w:sz w:val="15"/>
                <w:szCs w:val="15"/>
              </w:rPr>
              <w:t xml:space="preserve">Equipment</w:t>
            </w:r>
          </w:p>
        </w:tc>
        <w:tc>
          <w:tcPr>
            <w:tcW w:type="pct" w:w="592"/>
            <w:shd w:fill="FBFAF6" w:val="clear"/>
            <w:tcMar>
              <w:top w:type="dxa" w:w="50"/>
              <w:left w:type="dxa" w:w="110"/>
              <w:bottom w:type="dxa" w:w="50"/>
              <w:right w:type="dxa" w:w="110"/>
            </w:tcMar>
          </w:tcPr>
          <w:p>
            <w:pPr>
              <w:spacing w:before="28" w:after="28"/>
            </w:pPr>
            <w:r>
              <w:rPr>
                <w:sz w:val="15"/>
                <w:szCs w:val="15"/>
              </w:rPr>
              <w:t xml:space="preserve">1,200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1,200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4</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630"/>
            <w:tcMar>
              <w:top w:type="dxa" w:w="50"/>
              <w:left w:type="dxa" w:w="110"/>
              <w:bottom w:type="dxa" w:w="50"/>
              <w:right w:type="dxa" w:w="110"/>
            </w:tcMar>
          </w:tcPr>
          <w:p>
            <w:pPr>
              <w:spacing w:before="28" w:after="28"/>
            </w:pPr>
            <w:r>
              <w:rPr>
                <w:sz w:val="15"/>
                <w:szCs w:val="15"/>
              </w:rPr>
              <w:t xml:space="preserve">Accounts receivable</w:t>
            </w:r>
          </w:p>
        </w:tc>
        <w:tc>
          <w:tcPr>
            <w:tcW w:type="pct" w:w="592"/>
            <w:tcMar>
              <w:top w:type="dxa" w:w="50"/>
              <w:left w:type="dxa" w:w="110"/>
              <w:bottom w:type="dxa" w:w="50"/>
              <w:right w:type="dxa" w:w="110"/>
            </w:tcMar>
          </w:tcPr>
          <w:p>
            <w:pPr>
              <w:spacing w:before="28" w:after="28"/>
            </w:pPr>
            <w:r>
              <w:rPr>
                <w:sz w:val="15"/>
                <w:szCs w:val="15"/>
              </w:rPr>
              <w:t xml:space="preserve">300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300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Cost of goods sold</w:t>
            </w:r>
          </w:p>
        </w:tc>
        <w:tc>
          <w:tcPr>
            <w:tcW w:type="pct" w:w="592"/>
            <w:tcMar>
              <w:top w:type="dxa" w:w="50"/>
              <w:left w:type="dxa" w:w="110"/>
              <w:bottom w:type="dxa" w:w="50"/>
              <w:right w:type="dxa" w:w="110"/>
            </w:tcMar>
          </w:tcPr>
          <w:p>
            <w:pPr>
              <w:spacing w:before="28" w:after="28"/>
            </w:pPr>
            <w:r>
              <w:rPr>
                <w:sz w:val="15"/>
                <w:szCs w:val="15"/>
              </w:rPr>
              <w:t xml:space="preserve">180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Inventory</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180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5</w:t>
            </w:r>
          </w:p>
        </w:tc>
        <w:tc>
          <w:tcPr>
            <w:tcW w:type="pct" w:w="592"/>
            <w:shd w:fill="FBFAF6" w:val="clear"/>
            <w:tcMar>
              <w:top w:type="dxa" w:w="50"/>
              <w:left w:type="dxa" w:w="110"/>
              <w:bottom w:type="dxa" w:w="50"/>
              <w:right w:type="dxa" w:w="110"/>
            </w:tcMar>
          </w:tcPr>
          <w:p>
            <w:pPr>
              <w:spacing w:before="28" w:after="28"/>
            </w:pPr>
            <w:r>
              <w:rPr>
                <w:sz w:val="15"/>
                <w:szCs w:val="15"/>
              </w:rPr>
              <w:t xml:space="preserve">Jan 31</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92"/>
            <w:shd w:fill="FBFAF6" w:val="clear"/>
            <w:tcMar>
              <w:top w:type="dxa" w:w="50"/>
              <w:left w:type="dxa" w:w="110"/>
              <w:bottom w:type="dxa" w:w="50"/>
              <w:right w:type="dxa" w:w="110"/>
            </w:tcMar>
          </w:tcPr>
          <w:p>
            <w:pPr>
              <w:spacing w:before="28" w:after="28"/>
            </w:pPr>
            <w:r>
              <w:rPr>
                <w:sz w:val="15"/>
                <w:szCs w:val="15"/>
              </w:rPr>
              <w:t xml:space="preserve">40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40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6</w:t>
            </w:r>
          </w:p>
        </w:tc>
        <w:tc>
          <w:tcPr>
            <w:tcW w:type="pct" w:w="592"/>
            <w:tcMar>
              <w:top w:type="dxa" w:w="50"/>
              <w:left w:type="dxa" w:w="110"/>
              <w:bottom w:type="dxa" w:w="50"/>
              <w:right w:type="dxa" w:w="110"/>
            </w:tcMar>
          </w:tcPr>
          <w:p>
            <w:pPr>
              <w:spacing w:before="28" w:after="28"/>
            </w:pPr>
            <w:r>
              <w:rPr>
                <w:sz w:val="15"/>
                <w:szCs w:val="15"/>
              </w:rPr>
              <w:t xml:space="preserve">Jan 31</w:t>
            </w:r>
          </w:p>
        </w:tc>
        <w:tc>
          <w:tcPr>
            <w:tcW w:type="pct" w:w="2630"/>
            <w:tcMar>
              <w:top w:type="dxa" w:w="50"/>
              <w:left w:type="dxa" w:w="110"/>
              <w:bottom w:type="dxa" w:w="50"/>
              <w:right w:type="dxa" w:w="110"/>
            </w:tcMar>
          </w:tcPr>
          <w:p>
            <w:pPr>
              <w:spacing w:before="28" w:after="28"/>
            </w:pPr>
            <w:r>
              <w:rPr>
                <w:sz w:val="15"/>
                <w:szCs w:val="15"/>
              </w:rPr>
              <w:t xml:space="preserve">Retained earnings (dividends declared)</w:t>
            </w:r>
          </w:p>
        </w:tc>
        <w:tc>
          <w:tcPr>
            <w:tcW w:type="pct" w:w="592"/>
            <w:tcMar>
              <w:top w:type="dxa" w:w="50"/>
              <w:left w:type="dxa" w:w="110"/>
              <w:bottom w:type="dxa" w:w="50"/>
              <w:right w:type="dxa" w:w="110"/>
            </w:tcMar>
          </w:tcPr>
          <w:p>
            <w:pPr>
              <w:spacing w:before="28" w:after="28"/>
            </w:pPr>
            <w:r>
              <w:rPr>
                <w:sz w:val="15"/>
                <w:szCs w:val="15"/>
              </w:rPr>
              <w:t xml:space="preserve">50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50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 stock   ·   Sales revenue   ·   Jan 2   ·   Jan 10   ·   Dividends payable   ·   Paid January wages to plant workers in cash.   ·   Totals   ·   Wages expense   ·   Jan 18</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16–21</w:t>
      </w:r>
    </w:p>
    <w:p>
      <w:pPr>
        <w:spacing w:before="20" w:after="20" w:line="360" w:lineRule="auto"/>
        <w:ind w:left="200"/>
      </w:pPr>
      <w:r>
        <w:rPr>
          <w:sz w:val="19"/>
          <w:szCs w:val="19"/>
        </w:rPr>
        <w:t xml:space="preserve">Three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equity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equation   ·   liability   ·   delivers   ·   February   ·   points   ·   accumulated depreciation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It reduces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depreciation   ·   Buying   ·   revenue   ·   retained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20" w:after="20" w:line="360" w:lineRule="auto"/>
        <w:ind w:left="200"/>
      </w:pPr>
      <w:r>
        <w:rPr>
          <w:sz w:val="19"/>
          <w:szCs w:val="19"/>
        </w:rPr>
        <w:t xml:space="preserve">Here are six transactions from February (USD 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X is debited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to increase ...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debit   ·   asset   ·   double-entry system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Jan 2</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Common stock</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Jan 18</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Paid January wages to plant workers in cash.</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debit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A contra account reduces a related account, so it has the opposite normal balance. For example, accumulated depreciation reduces equipment. It has a credit balance, but it belongs with the assets.</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w:t>
      </w:r>
    </w:p>
    <w:p>
      <w:pPr>
        <w:spacing w:before="20" w:after="20"/>
        <w:ind w:left="240" w:hanging="240"/>
      </w:pPr>
      <w:r>
        <w:rPr>
          <w:b/>
          <w:bCs/>
          <w:color w:val="353A7C"/>
          <w:sz w:val="15"/>
          <w:szCs w:val="15"/>
        </w:rPr>
        <w:t xml:space="preserve">Summary 3   </w:t>
      </w:r>
      <w:r>
        <w:rPr>
          <w:color w:val="6B7280"/>
          <w:sz w:val="15"/>
          <w:szCs w:val="15"/>
        </w:rPr>
        <w:t xml:space="preserve">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X is debited (or credited) for an amount: Cash is debited for 1,500. Exam stems often say: The effect of this transaction is to increase ...</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When should a company record revenues and expenses? U.S. GAAP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goods or services. </w:t>
      </w:r>
      <w:r>
        <w:rPr>
          <w:sz w:val="19"/>
          <w:szCs w:val="19"/>
        </w:rPr>
        <w:t xml:space="preserve">It records expenses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cash does not decide the period. </w:t>
      </w:r>
      <w:r>
        <w:rPr>
          <w:sz w:val="19"/>
          <w:szCs w:val="19"/>
        </w:rPr>
        <w:t xml:space="preserve">The cash basis records items only when cash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simple, but it is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records the revenue and the cost of goods sold in fiscal 2025, the year it delivered the goods. </w:t>
      </w:r>
      <w:r>
        <w:rPr>
          <w:sz w:val="19"/>
          <w:szCs w:val="19"/>
        </w:rPr>
        <w:t xml:space="preserve">The gross profit of 36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2025. </w:t>
      </w:r>
      <w:r>
        <w:rPr>
          <w:sz w:val="19"/>
          <w:szCs w:val="19"/>
        </w:rPr>
        <w:t xml:space="preserve">In January, the cash receipt only changes one asset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timing   ·   Orontes   ·   receivable   ·   incurs   ·   cash basis   ·   statements   ·   belongs   ·   delivers   ·   acceptable</w:t>
            </w:r>
          </w:p>
        </w:tc>
      </w:tr>
    </w:tbl>
    <w:p/>
    <w:p>
      <w:pPr>
        <w:spacing w:before="44" w:after="14"/>
      </w:pPr>
      <w:r>
        <w:rPr>
          <w:b/>
          <w:bCs/>
          <w:color w:val="353A7C"/>
          <w:sz w:val="18"/>
          <w:szCs w:val="18"/>
        </w:rPr>
        <w:t xml:space="preserve">Summary 2</w:t>
      </w:r>
      <w:r>
        <w:rPr>
          <w:color w:val="6B7280"/>
          <w:sz w:val="16"/>
          <w:szCs w:val="16"/>
        </w:rPr>
        <w:t xml:space="preserve">      gaps 10–18</w:t>
      </w:r>
    </w:p>
    <w:p>
      <w:pPr>
        <w:spacing w:before="20" w:after="20" w:line="360" w:lineRule="auto"/>
        <w:ind w:left="200"/>
      </w:pPr>
      <w:r>
        <w:rPr>
          <w:sz w:val="19"/>
          <w:szCs w:val="19"/>
        </w:rPr>
        <w:t xml:space="preserve">The matching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transactions.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   ·   incurred   ·   bottling   ·   advertising   ·   directly   ·   adjustment   ·   classic   ·   Depreciation   ·   Systematic   ·   principle</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Two of these names are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Cash received in advance is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12–17</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However, Section A also asks about the main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U.S. GAAP and IFRS (Chapter 17). </w:t>
      </w:r>
      <w:r>
        <w:rPr>
          <w:sz w:val="19"/>
          <w:szCs w:val="19"/>
        </w:rPr>
        <w:t xml:space="preserve">If you learned accounting under IFRS, this is good news: most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box, so Chapter 17 will be revision for you. </w:t>
      </w:r>
      <w:r>
        <w:rPr>
          <w:sz w:val="19"/>
          <w:szCs w:val="19"/>
        </w:rPr>
        <w:t xml:space="preserve">Both systems rest on a conceptual framework: the basic ideas behind the standards, such as the users, the elements and the qualities of useful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studied the U.S. version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   ·   auditing   ·   U.S. GAAP   ·   concepts   ·   information   ·   Sections   ·   differences</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retained earnings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FASB: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SEC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However, Section A also asks about the main differences between U.S. GAAP and IFRS (Chapter 17). If you learned accounting under IFRS, this is good news: most concepts are the same. Every chapter has an IFRS Contrast box, so Chapter 17 will be revision for you.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recognize</w:t>
            </w:r>
          </w:p>
        </w:tc>
      </w:tr>
    </w:tbl>
    <w:p/>
    <w:p>
      <w:pPr>
        <w:spacing w:before="44" w:after="14"/>
      </w:pPr>
      <w:r>
        <w:rPr>
          <w:b/>
          <w:bCs/>
          <w:color w:val="353A7C"/>
          <w:sz w:val="18"/>
          <w:szCs w:val="18"/>
        </w:rPr>
        <w:t xml:space="preserve">Summary 1</w:t>
      </w:r>
      <w:r>
        <w:rPr>
          <w:color w:val="6B7280"/>
          <w:sz w:val="16"/>
          <w:szCs w:val="16"/>
        </w:rPr>
        <w:t xml:space="preserve">      gaps 2–7</w:t>
      </w:r>
    </w:p>
    <w:p>
      <w:pPr>
        <w:spacing w:before="20" w:after="20" w:line="360" w:lineRule="auto"/>
        <w:ind w:left="200"/>
      </w:pPr>
      <w:r>
        <w:rPr>
          <w:sz w:val="19"/>
          <w:szCs w:val="19"/>
        </w:rPr>
        <w:t xml:space="preserve">You can see both links in the January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Orontes. </w:t>
      </w:r>
      <w:r>
        <w:rPr>
          <w:sz w:val="19"/>
          <w:szCs w:val="19"/>
        </w:rPr>
        <w:t xml:space="preserve">Net income was 80: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300, minus cost of goods sold of 180, minus wages of 40.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outflow of 40, an investing outflow of 1,200 and a financing inflow of 2,300. </w:t>
      </w:r>
      <w:r>
        <w:rPr>
          <w:sz w:val="19"/>
          <w:szCs w:val="19"/>
        </w:rPr>
        <w:t xml:space="preserve">Notice that net income and the change in cash are 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basis at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revenue   ·   transactions   ·   income statement   ·   operating   ·   accrual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6"/>
        <w:gridCol w:w="23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2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01"/>
            <w:tcMar>
              <w:top w:type="dxa" w:w="50"/>
              <w:left w:type="dxa" w:w="110"/>
              <w:bottom w:type="dxa" w:w="50"/>
              <w:right w:type="dxa" w:w="110"/>
            </w:tcMar>
          </w:tcPr>
          <w:p>
            <w:pPr>
              <w:spacing w:before="28" w:after="28"/>
            </w:pPr>
            <w:r>
              <w:rPr>
                <w:sz w:val="15"/>
                <w:szCs w:val="15"/>
              </w:rPr>
              <w:t xml:space="preserve">1,050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201"/>
            <w:shd w:fill="FBFAF6" w:val="clear"/>
            <w:tcMar>
              <w:top w:type="dxa" w:w="50"/>
              <w:left w:type="dxa" w:w="110"/>
              <w:bottom w:type="dxa" w:w="50"/>
              <w:right w:type="dxa" w:w="110"/>
            </w:tcMar>
          </w:tcPr>
          <w:p>
            <w:pPr>
              <w:spacing w:before="28" w:after="28"/>
            </w:pPr>
            <w:r>
              <w:rPr>
                <w:sz w:val="15"/>
                <w:szCs w:val="15"/>
              </w:rPr>
              <w:t xml:space="preserve">300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01"/>
            <w:shd w:fill="FBFAF6" w:val="clear"/>
            <w:tcMar>
              <w:top w:type="dxa" w:w="50"/>
              <w:left w:type="dxa" w:w="110"/>
              <w:bottom w:type="dxa" w:w="50"/>
              <w:right w:type="dxa" w:w="110"/>
            </w:tcMar>
          </w:tcPr>
          <w:p>
            <w:pPr>
              <w:spacing w:before="28" w:after="28"/>
            </w:pPr>
            <w:r>
              <w:rPr>
                <w:sz w:val="15"/>
                <w:szCs w:val="15"/>
              </w:rPr>
              <w:t xml:space="preserve">420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1"/>
            <w:tcMar>
              <w:top w:type="dxa" w:w="50"/>
              <w:left w:type="dxa" w:w="110"/>
              <w:bottom w:type="dxa" w:w="50"/>
              <w:right w:type="dxa" w:w="110"/>
            </w:tcMar>
          </w:tcPr>
          <w:p>
            <w:pPr>
              <w:spacing w:before="28" w:after="28"/>
            </w:pPr>
            <w:r>
              <w:rPr>
                <w:sz w:val="15"/>
                <w:szCs w:val="15"/>
              </w:rPr>
              <w:t xml:space="preserve">24</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1"/>
            <w:shd w:fill="FBFAF6" w:val="clear"/>
            <w:tcMar>
              <w:top w:type="dxa" w:w="50"/>
              <w:left w:type="dxa" w:w="110"/>
              <w:bottom w:type="dxa" w:w="50"/>
              <w:right w:type="dxa" w:w="110"/>
            </w:tcMar>
          </w:tcPr>
          <w:p>
            <w:pPr>
              <w:spacing w:before="28" w:after="28"/>
            </w:pPr>
            <w:r>
              <w:rPr>
                <w:sz w:val="15"/>
                <w:szCs w:val="15"/>
              </w:rPr>
              <w:t xml:space="preserve">936</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Equipment</w:t>
            </w:r>
          </w:p>
        </w:tc>
        <w:tc>
          <w:tcPr>
            <w:tcW w:type="pct" w:w="1201"/>
            <w:tcMar>
              <w:top w:type="dxa" w:w="50"/>
              <w:left w:type="dxa" w:w="110"/>
              <w:bottom w:type="dxa" w:w="50"/>
              <w:right w:type="dxa" w:w="110"/>
            </w:tcMar>
          </w:tcPr>
          <w:p>
            <w:pPr>
              <w:spacing w:before="28" w:after="28"/>
            </w:pPr>
            <w:r>
              <w:rPr>
                <w:sz w:val="15"/>
                <w:szCs w:val="15"/>
              </w:rPr>
              <w:t xml:space="preserve">4,200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600"/>
            <w:tcMar>
              <w:top w:type="dxa" w:w="50"/>
              <w:left w:type="dxa" w:w="110"/>
              <w:bottom w:type="dxa" w:w="50"/>
              <w:right w:type="dxa" w:w="110"/>
            </w:tcMar>
          </w:tcPr>
          <w:p>
            <w:pPr>
              <w:spacing w:before="28" w:after="28"/>
            </w:pPr>
            <w:r>
              <w:rPr>
                <w:sz w:val="15"/>
                <w:szCs w:val="15"/>
              </w:rPr>
              <w:t xml:space="preserve">Accounts payable</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380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Notes payable (long-term)</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1,900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Dividends declared</w:t>
            </w:r>
          </w:p>
        </w:tc>
        <w:tc>
          <w:tcPr>
            <w:tcW w:type="pct" w:w="1201"/>
            <w:tcMar>
              <w:top w:type="dxa" w:w="50"/>
              <w:left w:type="dxa" w:w="110"/>
              <w:bottom w:type="dxa" w:w="50"/>
              <w:right w:type="dxa" w:w="110"/>
            </w:tcMar>
          </w:tcPr>
          <w:p>
            <w:pPr>
              <w:spacing w:before="28" w:after="28"/>
            </w:pPr>
            <w:r>
              <w:rPr>
                <w:sz w:val="15"/>
                <w:szCs w:val="15"/>
              </w:rPr>
              <w:t xml:space="preserve">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600"/>
            <w:tcMar>
              <w:top w:type="dxa" w:w="50"/>
              <w:left w:type="dxa" w:w="110"/>
              <w:bottom w:type="dxa" w:w="50"/>
              <w:right w:type="dxa" w:w="110"/>
            </w:tcMar>
          </w:tcPr>
          <w:p>
            <w:pPr>
              <w:spacing w:before="28" w:after="28"/>
            </w:pPr>
            <w:r>
              <w:rPr>
                <w:sz w:val="15"/>
                <w:szCs w:val="15"/>
              </w:rPr>
              <w:t xml:space="preserve">Cost of goods sold</w:t>
            </w:r>
          </w:p>
        </w:tc>
        <w:tc>
          <w:tcPr>
            <w:tcW w:type="pct" w:w="1201"/>
            <w:tcMar>
              <w:top w:type="dxa" w:w="50"/>
              <w:left w:type="dxa" w:w="110"/>
              <w:bottom w:type="dxa" w:w="50"/>
              <w:right w:type="dxa" w:w="110"/>
            </w:tcMar>
          </w:tcPr>
          <w:p>
            <w:pPr>
              <w:spacing w:before="28" w:after="28"/>
            </w:pPr>
            <w:r>
              <w:rPr>
                <w:sz w:val="15"/>
                <w:szCs w:val="15"/>
              </w:rPr>
              <w:t xml:space="preserve">1,860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520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1"/>
            <w:tcMar>
              <w:top w:type="dxa" w:w="50"/>
              <w:left w:type="dxa" w:w="110"/>
              <w:bottom w:type="dxa" w:w="50"/>
              <w:right w:type="dxa" w:w="110"/>
            </w:tcMar>
          </w:tcPr>
          <w:p>
            <w:pPr>
              <w:spacing w:before="28" w:after="28"/>
            </w:pPr>
            <w:r>
              <w:rPr>
                <w:sz w:val="15"/>
                <w:szCs w:val="15"/>
              </w:rPr>
              <w:t xml:space="preserve">300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90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Totals</w:t>
            </w:r>
          </w:p>
        </w:tc>
        <w:tc>
          <w:tcPr>
            <w:tcW w:type="pct" w:w="1201"/>
            <w:tcMar>
              <w:top w:type="dxa" w:w="50"/>
              <w:left w:type="dxa" w:w="110"/>
              <w:bottom w:type="dxa" w:w="50"/>
              <w:right w:type="dxa" w:w="110"/>
            </w:tcMar>
          </w:tcPr>
          <w:p>
            <w:pPr>
              <w:spacing w:before="28" w:after="28"/>
            </w:pPr>
            <w:r>
              <w:rPr>
                <w:sz w:val="15"/>
                <w:szCs w:val="15"/>
              </w:rPr>
              <w:t xml:space="preserve">9,750</w:t>
            </w:r>
          </w:p>
        </w:tc>
        <w:tc>
          <w:tcPr>
            <w:tcW w:type="pct" w:w="1199"/>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Totals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MOST likely or BEST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NOT or EXCEPT: three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true.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options</w:t>
            </w:r>
          </w:p>
        </w:tc>
      </w:tr>
    </w:tbl>
    <w:p/>
    <w:p>
      <w:pPr>
        <w:pageBreakBefore w:val="true"/>
        <w:spacing w:after="0"/>
      </w:pPr>
      <w:r>
        <w:rPr>
          <w:sz w:val="2"/>
        </w:rPr>
        <w:t xml:space="preserve"> </w:t>
      </w:r>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balance   ·   6</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Asset</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BFAF6" w:val="clear"/>
            <w:tcMar>
              <w:top w:type="dxa" w:w="50"/>
              <w:left w:type="dxa" w:w="110"/>
              <w:bottom w:type="dxa" w:w="50"/>
              <w:right w:type="dxa" w:w="110"/>
            </w:tcMar>
          </w:tcPr>
          <w:p>
            <w:pPr>
              <w:spacing w:before="28" w:after="28"/>
            </w:pPr>
            <w:r>
              <w:rPr>
                <w:sz w:val="15"/>
                <w:szCs w:val="15"/>
              </w:rPr>
              <w:t xml:space="preserve">Equity</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Contra-asset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Equity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disclose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Land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statement of changes in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You can see both links in the January transactions of Orontes. Net income was 80: revenue of 300, minus cost of goods sold of 180, minus wages of 40.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NOT or EXCEPT: three options are true.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classified balance sheet   ·   Other presentation matters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equity at one point in time. </w:t>
      </w:r>
      <w:r>
        <w:rPr>
          <w:sz w:val="19"/>
          <w:szCs w:val="19"/>
        </w:rPr>
        <w:t xml:space="preserve">It answers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investors and lenders. </w:t>
      </w:r>
      <w:r>
        <w:rPr>
          <w:sz w:val="19"/>
          <w:szCs w:val="19"/>
        </w:rPr>
        <w:t xml:space="preserve">Can the company pay its bills 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unexpected happens? This is financial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coming   ·   company's   ·   short-term   ·   questions   ·   classified   ·   solvency   ·   liquidity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18"/>
        <w:gridCol w:w="229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207"/>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193"/>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600"/>
            <w:tcMar>
              <w:top w:type="dxa" w:w="50"/>
              <w:left w:type="dxa" w:w="110"/>
              <w:bottom w:type="dxa" w:w="50"/>
              <w:right w:type="dxa" w:w="110"/>
            </w:tcMar>
          </w:tcPr>
          <w:p>
            <w:pPr>
              <w:spacing w:before="28" w:after="28"/>
            </w:pPr>
            <w:r>
              <w:rPr>
                <w:sz w:val="15"/>
                <w:szCs w:val="15"/>
              </w:rPr>
              <w:t xml:space="preserve">ASSETS</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Cash</w:t>
            </w:r>
          </w:p>
        </w:tc>
        <w:tc>
          <w:tcPr>
            <w:tcW w:type="pct" w:w="1207"/>
            <w:tcMar>
              <w:top w:type="dxa" w:w="50"/>
              <w:left w:type="dxa" w:w="110"/>
              <w:bottom w:type="dxa" w:w="50"/>
              <w:right w:type="dxa" w:w="110"/>
            </w:tcMar>
          </w:tcPr>
          <w:p>
            <w:pPr>
              <w:spacing w:before="28" w:after="28"/>
            </w:pPr>
            <w:r>
              <w:rPr>
                <w:sz w:val="15"/>
                <w:szCs w:val="15"/>
              </w:rPr>
              <w:t xml:space="preserve">7,302,100</w:t>
            </w:r>
          </w:p>
        </w:tc>
        <w:tc>
          <w:tcPr>
            <w:tcW w:type="pct" w:w="1193"/>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207"/>
            <w:shd w:fill="FBFAF6" w:val="clear"/>
            <w:tcMar>
              <w:top w:type="dxa" w:w="50"/>
              <w:left w:type="dxa" w:w="110"/>
              <w:bottom w:type="dxa" w:w="50"/>
              <w:right w:type="dxa" w:w="110"/>
            </w:tcMar>
          </w:tcPr>
          <w:p>
            <w:pPr>
              <w:spacing w:before="28" w:after="28"/>
            </w:pPr>
            <w:r>
              <w:rPr>
                <w:sz w:val="15"/>
                <w:szCs w:val="15"/>
              </w:rPr>
              <w:t xml:space="preserve">42,000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Accounts receivable, net of allowance (2025: 156,000; 2024: 140,000)</w:t>
            </w:r>
          </w:p>
        </w:tc>
        <w:tc>
          <w:tcPr>
            <w:tcW w:type="pct" w:w="1207"/>
            <w:tcMar>
              <w:top w:type="dxa" w:w="50"/>
              <w:left w:type="dxa" w:w="110"/>
              <w:bottom w:type="dxa" w:w="50"/>
              <w:right w:type="dxa" w:w="110"/>
            </w:tcMar>
          </w:tcPr>
          <w:p>
            <w:pPr>
              <w:spacing w:before="28" w:after="28"/>
            </w:pPr>
            <w:r>
              <w:rPr>
                <w:sz w:val="15"/>
                <w:szCs w:val="15"/>
              </w:rPr>
              <w:t xml:space="preserve">4,144,000</w:t>
            </w:r>
          </w:p>
        </w:tc>
        <w:tc>
          <w:tcPr>
            <w:tcW w:type="pct" w:w="1193"/>
            <w:tcMar>
              <w:top w:type="dxa" w:w="50"/>
              <w:left w:type="dxa" w:w="110"/>
              <w:bottom w:type="dxa" w:w="50"/>
              <w:right w:type="dxa" w:w="110"/>
            </w:tcMar>
          </w:tcPr>
          <w:p>
            <w:pPr>
              <w:spacing w:before="28" w:after="28"/>
            </w:pPr>
            <w:r>
              <w:rPr>
                <w:sz w:val="15"/>
                <w:szCs w:val="15"/>
              </w:rPr>
              <w:t xml:space="preserve">3,760,000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7"/>
            <w:shd w:fill="FBFAF6" w:val="clear"/>
            <w:tcMar>
              <w:top w:type="dxa" w:w="50"/>
              <w:left w:type="dxa" w:w="110"/>
              <w:bottom w:type="dxa" w:w="50"/>
              <w:right w:type="dxa" w:w="110"/>
            </w:tcMar>
          </w:tcPr>
          <w:p>
            <w:pPr>
              <w:spacing w:before="28" w:after="28"/>
            </w:pPr>
            <w:r>
              <w:rPr>
                <w:sz w:val="15"/>
                <w:szCs w:val="15"/>
              </w:rPr>
              <w:t xml:space="preserve">2,450,000</w:t>
            </w:r>
          </w:p>
        </w:tc>
        <w:tc>
          <w:tcPr>
            <w:tcW w:type="pct" w:w="1193"/>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600"/>
            <w:tcMar>
              <w:top w:type="dxa" w:w="50"/>
              <w:left w:type="dxa" w:w="110"/>
              <w:bottom w:type="dxa" w:w="50"/>
              <w:right w:type="dxa" w:w="110"/>
            </w:tcMar>
          </w:tcPr>
          <w:p>
            <w:pPr>
              <w:spacing w:before="28" w:after="28"/>
            </w:pPr>
            <w:r>
              <w:rPr>
                <w:sz w:val="15"/>
                <w:szCs w:val="15"/>
              </w:rPr>
              <w:t xml:space="preserve">Prepaid expenses</w:t>
            </w:r>
          </w:p>
        </w:tc>
        <w:tc>
          <w:tcPr>
            <w:tcW w:type="pct" w:w="1207"/>
            <w:tcMar>
              <w:top w:type="dxa" w:w="50"/>
              <w:left w:type="dxa" w:w="110"/>
              <w:bottom w:type="dxa" w:w="50"/>
              <w:right w:type="dxa" w:w="110"/>
            </w:tcMar>
          </w:tcPr>
          <w:p>
            <w:pPr>
              <w:spacing w:before="28" w:after="28"/>
            </w:pPr>
            <w:r>
              <w:rPr>
                <w:sz w:val="15"/>
                <w:szCs w:val="15"/>
              </w:rPr>
              <w:t xml:space="preserve">204,000</w:t>
            </w:r>
          </w:p>
        </w:tc>
        <w:tc>
          <w:tcPr>
            <w:tcW w:type="pct" w:w="1193"/>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7"/>
            <w:shd w:fill="FBFAF6" w:val="clear"/>
            <w:tcMar>
              <w:top w:type="dxa" w:w="50"/>
              <w:left w:type="dxa" w:w="110"/>
              <w:bottom w:type="dxa" w:w="50"/>
              <w:right w:type="dxa" w:w="110"/>
            </w:tcMar>
          </w:tcPr>
          <w:p>
            <w:pPr>
              <w:spacing w:before="28" w:after="28"/>
            </w:pPr>
            <w:r>
              <w:rPr>
                <w:sz w:val="15"/>
                <w:szCs w:val="15"/>
              </w:rPr>
              <w:t xml:space="preserve">46,000</w:t>
            </w:r>
          </w:p>
        </w:tc>
        <w:tc>
          <w:tcPr>
            <w:tcW w:type="pct" w:w="1193"/>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tcMar>
              <w:top w:type="dxa" w:w="50"/>
              <w:left w:type="dxa" w:w="110"/>
              <w:bottom w:type="dxa" w:w="50"/>
              <w:right w:type="dxa" w:w="110"/>
            </w:tcMar>
          </w:tcPr>
          <w:p>
            <w:pPr>
              <w:spacing w:before="28" w:after="28"/>
            </w:pPr>
            <w:r>
              <w:rPr>
                <w:sz w:val="15"/>
                <w:szCs w:val="15"/>
              </w:rPr>
              <w:t xml:space="preserve">Total current assets</w:t>
            </w:r>
          </w:p>
        </w:tc>
        <w:tc>
          <w:tcPr>
            <w:tcW w:type="pct" w:w="1207"/>
            <w:tcMar>
              <w:top w:type="dxa" w:w="50"/>
              <w:left w:type="dxa" w:w="110"/>
              <w:bottom w:type="dxa" w:w="50"/>
              <w:right w:type="dxa" w:w="110"/>
            </w:tcMar>
          </w:tcPr>
          <w:p>
            <w:pPr>
              <w:spacing w:before="28" w:after="28"/>
            </w:pPr>
            <w:r>
              <w:rPr>
                <w:sz w:val="15"/>
                <w:szCs w:val="15"/>
              </w:rPr>
              <w:t xml:space="preserve">14,188,100</w:t>
            </w:r>
          </w:p>
        </w:tc>
        <w:tc>
          <w:tcPr>
            <w:tcW w:type="pct" w:w="1193"/>
            <w:tcMar>
              <w:top w:type="dxa" w:w="50"/>
              <w:left w:type="dxa" w:w="110"/>
              <w:bottom w:type="dxa" w:w="50"/>
              <w:right w:type="dxa" w:w="110"/>
            </w:tcMar>
          </w:tcPr>
          <w:p>
            <w:pPr>
              <w:spacing w:before="28" w:after="28"/>
            </w:pPr>
            <w:r>
              <w:rPr>
                <w:sz w:val="15"/>
                <w:szCs w:val="15"/>
              </w:rPr>
              <w:t xml:space="preserve">8,380,000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207"/>
            <w:tcMar>
              <w:top w:type="dxa" w:w="50"/>
              <w:left w:type="dxa" w:w="110"/>
              <w:bottom w:type="dxa" w:w="50"/>
              <w:right w:type="dxa" w:w="110"/>
            </w:tcMar>
          </w:tcPr>
          <w:p>
            <w:pPr>
              <w:spacing w:before="28" w:after="28"/>
            </w:pPr>
            <w:r>
              <w:rPr>
                <w:sz w:val="15"/>
                <w:szCs w:val="15"/>
              </w:rPr>
              <w:t xml:space="preserve">88,500</w:t>
            </w:r>
          </w:p>
        </w:tc>
        <w:tc>
          <w:tcPr>
            <w:tcW w:type="pct" w:w="1193"/>
            <w:tcMar>
              <w:top w:type="dxa" w:w="50"/>
              <w:left w:type="dxa" w:w="110"/>
              <w:bottom w:type="dxa" w:w="50"/>
              <w:right w:type="dxa" w:w="110"/>
            </w:tcMar>
          </w:tcPr>
          <w:p>
            <w:pPr>
              <w:spacing w:before="28" w:after="28"/>
            </w:pPr>
            <w:r>
              <w:rPr>
                <w:sz w:val="15"/>
                <w:szCs w:val="15"/>
              </w:rPr>
              <w:t xml:space="preserve">90,000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207"/>
            <w:shd w:fill="FBFAF6" w:val="clear"/>
            <w:tcMar>
              <w:top w:type="dxa" w:w="50"/>
              <w:left w:type="dxa" w:w="110"/>
              <w:bottom w:type="dxa" w:w="50"/>
              <w:right w:type="dxa" w:w="110"/>
            </w:tcMar>
          </w:tcPr>
          <w:p>
            <w:pPr>
              <w:spacing w:before="28" w:after="28"/>
            </w:pPr>
            <w:r>
              <w:rPr>
                <w:sz w:val="15"/>
                <w:szCs w:val="15"/>
              </w:rPr>
              <w:t xml:space="preserve">27,000</w:t>
            </w:r>
          </w:p>
        </w:tc>
        <w:tc>
          <w:tcPr>
            <w:tcW w:type="pct" w:w="1193"/>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7"/>
            <w:tcMar>
              <w:top w:type="dxa" w:w="50"/>
              <w:left w:type="dxa" w:w="110"/>
              <w:bottom w:type="dxa" w:w="50"/>
              <w:right w:type="dxa" w:w="110"/>
            </w:tcMar>
          </w:tcPr>
          <w:p>
            <w:pPr>
              <w:spacing w:before="28" w:after="28"/>
            </w:pPr>
            <w:r>
              <w:rPr>
                <w:sz w:val="15"/>
                <w:szCs w:val="15"/>
              </w:rPr>
              <w:t xml:space="preserve">1,807,000</w:t>
            </w:r>
          </w:p>
        </w:tc>
        <w:tc>
          <w:tcPr>
            <w:tcW w:type="pct" w:w="1193"/>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Property, plant and equipment, net of accumulated depreciation (2025: 11,988,000; 2024: 8,000,000)</w:t>
            </w:r>
          </w:p>
        </w:tc>
        <w:tc>
          <w:tcPr>
            <w:tcW w:type="pct" w:w="1207"/>
            <w:shd w:fill="FBFAF6" w:val="clear"/>
            <w:tcMar>
              <w:top w:type="dxa" w:w="50"/>
              <w:left w:type="dxa" w:w="110"/>
              <w:bottom w:type="dxa" w:w="50"/>
              <w:right w:type="dxa" w:w="110"/>
            </w:tcMar>
          </w:tcPr>
          <w:p>
            <w:pPr>
              <w:spacing w:before="28" w:after="28"/>
            </w:pPr>
            <w:r>
              <w:rPr>
                <w:sz w:val="15"/>
                <w:szCs w:val="15"/>
              </w:rPr>
              <w:t xml:space="preserve">14,802,000</w:t>
            </w:r>
          </w:p>
        </w:tc>
        <w:tc>
          <w:tcPr>
            <w:tcW w:type="pct" w:w="1193"/>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600"/>
            <w:tcMar>
              <w:top w:type="dxa" w:w="50"/>
              <w:left w:type="dxa" w:w="110"/>
              <w:bottom w:type="dxa" w:w="50"/>
              <w:right w:type="dxa" w:w="110"/>
            </w:tcMar>
          </w:tcPr>
          <w:p>
            <w:pPr>
              <w:spacing w:before="28" w:after="28"/>
            </w:pPr>
            <w:r>
              <w:rPr>
                <w:sz w:val="15"/>
                <w:szCs w:val="15"/>
              </w:rPr>
              <w:t xml:space="preserve">Brand (indefinite-lived)</w:t>
            </w:r>
          </w:p>
        </w:tc>
        <w:tc>
          <w:tcPr>
            <w:tcW w:type="pct" w:w="1207"/>
            <w:tcMar>
              <w:top w:type="dxa" w:w="50"/>
              <w:left w:type="dxa" w:w="110"/>
              <w:bottom w:type="dxa" w:w="50"/>
              <w:right w:type="dxa" w:w="110"/>
            </w:tcMar>
          </w:tcPr>
          <w:p>
            <w:pPr>
              <w:spacing w:before="28" w:after="28"/>
            </w:pPr>
            <w:r>
              <w:rPr>
                <w:sz w:val="15"/>
                <w:szCs w:val="15"/>
              </w:rPr>
              <w:t xml:space="preserve">260,000</w:t>
            </w:r>
          </w:p>
        </w:tc>
        <w:tc>
          <w:tcPr>
            <w:tcW w:type="pct" w:w="1193"/>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7"/>
            <w:shd w:fill="FBFAF6" w:val="clear"/>
            <w:tcMar>
              <w:top w:type="dxa" w:w="50"/>
              <w:left w:type="dxa" w:w="110"/>
              <w:bottom w:type="dxa" w:w="50"/>
              <w:right w:type="dxa" w:w="110"/>
            </w:tcMar>
          </w:tcPr>
          <w:p>
            <w:pPr>
              <w:spacing w:before="28" w:after="28"/>
            </w:pPr>
            <w:r>
              <w:rPr>
                <w:sz w:val="15"/>
                <w:szCs w:val="15"/>
              </w:rPr>
              <w:t xml:space="preserve">300,000</w:t>
            </w:r>
          </w:p>
        </w:tc>
        <w:tc>
          <w:tcPr>
            <w:tcW w:type="pct" w:w="1193"/>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600"/>
            <w:tcMar>
              <w:top w:type="dxa" w:w="50"/>
              <w:left w:type="dxa" w:w="110"/>
              <w:bottom w:type="dxa" w:w="50"/>
              <w:right w:type="dxa" w:w="110"/>
            </w:tcMar>
          </w:tcPr>
          <w:p>
            <w:pPr>
              <w:spacing w:before="28" w:after="28"/>
            </w:pPr>
            <w:r>
              <w:rPr>
                <w:sz w:val="15"/>
                <w:szCs w:val="15"/>
              </w:rPr>
              <w:t xml:space="preserve">Other noncurrent assets</w:t>
            </w:r>
          </w:p>
        </w:tc>
        <w:tc>
          <w:tcPr>
            <w:tcW w:type="pct" w:w="1207"/>
            <w:tcMar>
              <w:top w:type="dxa" w:w="50"/>
              <w:left w:type="dxa" w:w="110"/>
              <w:bottom w:type="dxa" w:w="50"/>
              <w:right w:type="dxa" w:w="110"/>
            </w:tcMar>
          </w:tcPr>
          <w:p>
            <w:pPr>
              <w:spacing w:before="28" w:after="28"/>
            </w:pPr>
            <w:r>
              <w:rPr>
                <w:sz w:val="15"/>
                <w:szCs w:val="15"/>
              </w:rPr>
              <w:t xml:space="preserve">200,000</w:t>
            </w:r>
          </w:p>
        </w:tc>
        <w:tc>
          <w:tcPr>
            <w:tcW w:type="pct" w:w="1193"/>
            <w:tcMar>
              <w:top w:type="dxa" w:w="50"/>
              <w:left w:type="dxa" w:w="110"/>
              <w:bottom w:type="dxa" w:w="50"/>
              <w:right w:type="dxa" w:w="110"/>
            </w:tcMar>
          </w:tcPr>
          <w:p>
            <w:pPr>
              <w:spacing w:before="28" w:after="28"/>
            </w:pPr>
            <w:r>
              <w:rPr>
                <w:sz w:val="15"/>
                <w:szCs w:val="15"/>
              </w:rPr>
              <w:t xml:space="preserve">200,000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207"/>
            <w:shd w:fill="FBFAF6" w:val="clear"/>
            <w:tcMar>
              <w:top w:type="dxa" w:w="50"/>
              <w:left w:type="dxa" w:w="110"/>
              <w:bottom w:type="dxa" w:w="50"/>
              <w:right w:type="dxa" w:w="110"/>
            </w:tcMar>
          </w:tcPr>
          <w:p>
            <w:pPr>
              <w:spacing w:before="28" w:after="28"/>
            </w:pPr>
            <w:r>
              <w:rPr>
                <w:sz w:val="15"/>
                <w:szCs w:val="15"/>
              </w:rPr>
              <w:t xml:space="preserve">31,672,600</w:t>
            </w:r>
          </w:p>
        </w:tc>
        <w:tc>
          <w:tcPr>
            <w:tcW w:type="pct" w:w="1193"/>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600"/>
            <w:tcMar>
              <w:top w:type="dxa" w:w="50"/>
              <w:left w:type="dxa" w:w="110"/>
              <w:bottom w:type="dxa" w:w="50"/>
              <w:right w:type="dxa" w:w="110"/>
            </w:tcMar>
          </w:tcPr>
          <w:p>
            <w:pPr>
              <w:spacing w:before="28" w:after="28"/>
            </w:pPr>
            <w:r>
              <w:rPr>
                <w:sz w:val="15"/>
                <w:szCs w:val="15"/>
              </w:rPr>
              <w:t xml:space="preserve">LIABILITIES AND STOCKHOLDERS' EQUITY</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Accounts payable</w:t>
            </w:r>
          </w:p>
        </w:tc>
        <w:tc>
          <w:tcPr>
            <w:tcW w:type="pct" w:w="1207"/>
            <w:tcMar>
              <w:top w:type="dxa" w:w="50"/>
              <w:left w:type="dxa" w:w="110"/>
              <w:bottom w:type="dxa" w:w="50"/>
              <w:right w:type="dxa" w:w="110"/>
            </w:tcMar>
          </w:tcPr>
          <w:p>
            <w:pPr>
              <w:spacing w:before="28" w:after="28"/>
            </w:pPr>
            <w:r>
              <w:rPr>
                <w:sz w:val="15"/>
                <w:szCs w:val="15"/>
              </w:rPr>
              <w:t xml:space="preserve">2,050,000</w:t>
            </w:r>
          </w:p>
        </w:tc>
        <w:tc>
          <w:tcPr>
            <w:tcW w:type="pct" w:w="1193"/>
            <w:tcMar>
              <w:top w:type="dxa" w:w="50"/>
              <w:left w:type="dxa" w:w="110"/>
              <w:bottom w:type="dxa" w:w="50"/>
              <w:right w:type="dxa" w:w="110"/>
            </w:tcMar>
          </w:tcPr>
          <w:p>
            <w:pPr>
              <w:spacing w:before="28" w:after="28"/>
            </w:pPr>
            <w:r>
              <w:rPr>
                <w:sz w:val="15"/>
                <w:szCs w:val="15"/>
              </w:rPr>
              <w:t xml:space="preserve">1,900,000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900,000</w:t>
            </w:r>
          </w:p>
        </w:tc>
        <w:tc>
          <w:tcPr>
            <w:tcW w:type="pct" w:w="1193"/>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7"/>
            <w:tcMar>
              <w:top w:type="dxa" w:w="50"/>
              <w:left w:type="dxa" w:w="110"/>
              <w:bottom w:type="dxa" w:w="50"/>
              <w:right w:type="dxa" w:w="110"/>
            </w:tcMar>
          </w:tcPr>
          <w:p>
            <w:pPr>
              <w:spacing w:before="28" w:after="28"/>
            </w:pPr>
            <w:r>
              <w:rPr>
                <w:sz w:val="15"/>
                <w:szCs w:val="15"/>
              </w:rPr>
              <w:t xml:space="preserve">350,000</w:t>
            </w:r>
          </w:p>
        </w:tc>
        <w:tc>
          <w:tcPr>
            <w:tcW w:type="pct" w:w="1193"/>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7"/>
            <w:shd w:fill="FBFAF6" w:val="clear"/>
            <w:tcMar>
              <w:top w:type="dxa" w:w="50"/>
              <w:left w:type="dxa" w:w="110"/>
              <w:bottom w:type="dxa" w:w="50"/>
              <w:right w:type="dxa" w:w="110"/>
            </w:tcMar>
          </w:tcPr>
          <w:p>
            <w:pPr>
              <w:spacing w:before="28" w:after="28"/>
            </w:pPr>
            <w:r>
              <w:rPr>
                <w:sz w:val="15"/>
                <w:szCs w:val="15"/>
              </w:rPr>
              <w:t xml:space="preserve">180,000</w:t>
            </w:r>
          </w:p>
        </w:tc>
        <w:tc>
          <w:tcPr>
            <w:tcW w:type="pct" w:w="1193"/>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1207"/>
            <w:tcMar>
              <w:top w:type="dxa" w:w="50"/>
              <w:left w:type="dxa" w:w="110"/>
              <w:bottom w:type="dxa" w:w="50"/>
              <w:right w:type="dxa" w:w="110"/>
            </w:tcMar>
          </w:tcPr>
          <w:p>
            <w:pPr>
              <w:spacing w:before="28" w:after="28"/>
            </w:pPr>
            <w:r>
              <w:rPr>
                <w:sz w:val="15"/>
                <w:szCs w:val="15"/>
              </w:rPr>
              <w:t xml:space="preserve">400,000</w:t>
            </w:r>
          </w:p>
        </w:tc>
        <w:tc>
          <w:tcPr>
            <w:tcW w:type="pct" w:w="1193"/>
            <w:tcMar>
              <w:top w:type="dxa" w:w="50"/>
              <w:left w:type="dxa" w:w="110"/>
              <w:bottom w:type="dxa" w:w="50"/>
              <w:right w:type="dxa" w:w="110"/>
            </w:tcMar>
          </w:tcPr>
          <w:p>
            <w:pPr>
              <w:spacing w:before="28" w:after="28"/>
            </w:pPr>
            <w:r>
              <w:rPr>
                <w:sz w:val="15"/>
                <w:szCs w:val="15"/>
              </w:rPr>
              <w:t xml:space="preser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portion of long-term debt</w:t>
            </w:r>
          </w:p>
        </w:tc>
        <w:tc>
          <w:tcPr>
            <w:tcW w:type="pct" w:w="1207"/>
            <w:shd w:fill="FBFAF6" w:val="clear"/>
            <w:tcMar>
              <w:top w:type="dxa" w:w="50"/>
              <w:left w:type="dxa" w:w="110"/>
              <w:bottom w:type="dxa" w:w="50"/>
              <w:right w:type="dxa" w:w="110"/>
            </w:tcMar>
          </w:tcPr>
          <w:p>
            <w:pPr>
              <w:spacing w:before="28" w:after="28"/>
            </w:pPr>
            <w:r>
              <w:rPr>
                <w:sz w:val="15"/>
                <w:szCs w:val="15"/>
              </w:rPr>
              <w:t xml:space="preserve">400,000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600"/>
            <w:tcMar>
              <w:top w:type="dxa" w:w="50"/>
              <w:left w:type="dxa" w:w="110"/>
              <w:bottom w:type="dxa" w:w="50"/>
              <w:right w:type="dxa" w:w="110"/>
            </w:tcMar>
          </w:tcPr>
          <w:p>
            <w:pPr>
              <w:spacing w:before="28" w:after="28"/>
            </w:pPr>
            <w:r>
              <w:rPr>
                <w:sz w:val="15"/>
                <w:szCs w:val="15"/>
              </w:rPr>
              <w:t xml:space="preserve">Total current liabilities</w:t>
            </w:r>
          </w:p>
        </w:tc>
        <w:tc>
          <w:tcPr>
            <w:tcW w:type="pct" w:w="1207"/>
            <w:tcMar>
              <w:top w:type="dxa" w:w="50"/>
              <w:left w:type="dxa" w:w="110"/>
              <w:bottom w:type="dxa" w:w="50"/>
              <w:right w:type="dxa" w:w="110"/>
            </w:tcMar>
          </w:tcPr>
          <w:p>
            <w:pPr>
              <w:spacing w:before="28" w:after="28"/>
            </w:pPr>
            <w:r>
              <w:rPr>
                <w:sz w:val="15"/>
                <w:szCs w:val="15"/>
              </w:rPr>
              <w:t xml:space="preserve">4,280,000</w:t>
            </w:r>
          </w:p>
        </w:tc>
        <w:tc>
          <w:tcPr>
            <w:tcW w:type="pct" w:w="1193"/>
            <w:tcMar>
              <w:top w:type="dxa" w:w="50"/>
              <w:left w:type="dxa" w:w="110"/>
              <w:bottom w:type="dxa" w:w="50"/>
              <w:right w:type="dxa" w:w="110"/>
            </w:tcMar>
          </w:tcPr>
          <w:p>
            <w:pPr>
              <w:spacing w:before="28" w:after="28"/>
            </w:pPr>
            <w:r>
              <w:rPr>
                <w:sz w:val="15"/>
                <w:szCs w:val="15"/>
              </w:rPr>
              <w:t xml:space="preserve">3,570,000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7"/>
            <w:shd w:fill="FBFAF6" w:val="clear"/>
            <w:tcMar>
              <w:top w:type="dxa" w:w="50"/>
              <w:left w:type="dxa" w:w="110"/>
              <w:bottom w:type="dxa" w:w="50"/>
              <w:right w:type="dxa" w:w="110"/>
            </w:tcMar>
          </w:tcPr>
          <w:p>
            <w:pPr>
              <w:spacing w:before="28" w:after="28"/>
            </w:pPr>
            <w:r>
              <w:rPr>
                <w:sz w:val="15"/>
                <w:szCs w:val="15"/>
              </w:rPr>
              <w:t xml:space="preserve">6,000,000</w:t>
            </w:r>
          </w:p>
        </w:tc>
        <w:tc>
          <w:tcPr>
            <w:tcW w:type="pct" w:w="1193"/>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07"/>
            <w:tcMar>
              <w:top w:type="dxa" w:w="50"/>
              <w:left w:type="dxa" w:w="110"/>
              <w:bottom w:type="dxa" w:w="50"/>
              <w:right w:type="dxa" w:w="110"/>
            </w:tcMar>
          </w:tcPr>
          <w:p>
            <w:pPr>
              <w:spacing w:before="28" w:after="28"/>
            </w:pPr>
            <w:r>
              <w:rPr>
                <w:sz w:val="15"/>
                <w:szCs w:val="15"/>
              </w:rPr>
              <w:t xml:space="preserve">999,625</w:t>
            </w:r>
          </w:p>
        </w:tc>
        <w:tc>
          <w:tcPr>
            <w:tcW w:type="pct" w:w="1193"/>
            <w:tcMar>
              <w:top w:type="dxa" w:w="50"/>
              <w:left w:type="dxa" w:w="110"/>
              <w:bottom w:type="dxa" w:w="50"/>
              <w:right w:type="dxa" w:w="110"/>
            </w:tcMar>
          </w:tcPr>
          <w:p>
            <w:pPr>
              <w:spacing w:before="28" w:after="28"/>
            </w:pPr>
            <w:r>
              <w:rPr>
                <w:sz w:val="15"/>
                <w:szCs w:val="15"/>
              </w:rPr>
              <w:t xml:space="preserve">900,000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11,279,625</w:t>
            </w:r>
          </w:p>
        </w:tc>
        <w:tc>
          <w:tcPr>
            <w:tcW w:type="pct" w:w="1193"/>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600"/>
            <w:tcMar>
              <w:top w:type="dxa" w:w="50"/>
              <w:left w:type="dxa" w:w="110"/>
              <w:bottom w:type="dxa" w:w="50"/>
              <w:right w:type="dxa" w:w="110"/>
            </w:tcMar>
          </w:tcPr>
          <w:p>
            <w:pPr>
              <w:spacing w:before="28" w:after="28"/>
            </w:pPr>
            <w:r>
              <w:rPr>
                <w:sz w:val="15"/>
                <w:szCs w:val="15"/>
              </w:rPr>
              <w:t xml:space="preserve">Commitments and contingencies (Note 12)</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Common stock, $1 par; shares issued and outstanding: 2025 8,100,000, 2024 8,000,000</w:t>
            </w:r>
          </w:p>
        </w:tc>
        <w:tc>
          <w:tcPr>
            <w:tcW w:type="pct" w:w="1207"/>
            <w:tcMar>
              <w:top w:type="dxa" w:w="50"/>
              <w:left w:type="dxa" w:w="110"/>
              <w:bottom w:type="dxa" w:w="50"/>
              <w:right w:type="dxa" w:w="110"/>
            </w:tcMar>
          </w:tcPr>
          <w:p>
            <w:pPr>
              <w:spacing w:before="28" w:after="28"/>
            </w:pPr>
            <w:r>
              <w:rPr>
                <w:sz w:val="15"/>
                <w:szCs w:val="15"/>
              </w:rPr>
              <w:t xml:space="preserve">8,100,000</w:t>
            </w:r>
          </w:p>
        </w:tc>
        <w:tc>
          <w:tcPr>
            <w:tcW w:type="pct" w:w="1193"/>
            <w:tcMar>
              <w:top w:type="dxa" w:w="50"/>
              <w:left w:type="dxa" w:w="110"/>
              <w:bottom w:type="dxa" w:w="50"/>
              <w:right w:type="dxa" w:w="110"/>
            </w:tcMar>
          </w:tcPr>
          <w:p>
            <w:pPr>
              <w:spacing w:before="28" w:after="28"/>
            </w:pPr>
            <w:r>
              <w:rPr>
                <w:sz w:val="15"/>
                <w:szCs w:val="15"/>
              </w:rPr>
              <w:t xml:space="preserve">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1207"/>
            <w:shd w:fill="FBFAF6" w:val="clear"/>
            <w:tcMar>
              <w:top w:type="dxa" w:w="50"/>
              <w:left w:type="dxa" w:w="110"/>
              <w:bottom w:type="dxa" w:w="50"/>
              <w:right w:type="dxa" w:w="110"/>
            </w:tcMar>
          </w:tcPr>
          <w:p>
            <w:pPr>
              <w:spacing w:before="28" w:after="28"/>
            </w:pPr>
            <w:r>
              <w:rPr>
                <w:sz w:val="15"/>
                <w:szCs w:val="15"/>
              </w:rPr>
              <w:t xml:space="preserve">5,400,000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07"/>
            <w:tcMar>
              <w:top w:type="dxa" w:w="50"/>
              <w:left w:type="dxa" w:w="110"/>
              <w:bottom w:type="dxa" w:w="50"/>
              <w:right w:type="dxa" w:w="110"/>
            </w:tcMar>
          </w:tcPr>
          <w:p>
            <w:pPr>
              <w:spacing w:before="28" w:after="28"/>
            </w:pPr>
            <w:r>
              <w:rPr>
                <w:sz w:val="15"/>
                <w:szCs w:val="15"/>
              </w:rPr>
              <w:t xml:space="preserve">6,894,100</w:t>
            </w:r>
          </w:p>
        </w:tc>
        <w:tc>
          <w:tcPr>
            <w:tcW w:type="pct" w:w="1193"/>
            <w:tcMar>
              <w:top w:type="dxa" w:w="50"/>
              <w:left w:type="dxa" w:w="110"/>
              <w:bottom w:type="dxa" w:w="50"/>
              <w:right w:type="dxa" w:w="110"/>
            </w:tcMar>
          </w:tcPr>
          <w:p>
            <w:pPr>
              <w:spacing w:before="28" w:after="28"/>
            </w:pPr>
            <w:r>
              <w:rPr>
                <w:sz w:val="15"/>
                <w:szCs w:val="15"/>
              </w:rPr>
              <w:t xml:space="preserve">4,375,000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207"/>
            <w:shd w:fill="FBFAF6" w:val="clear"/>
            <w:tcMar>
              <w:top w:type="dxa" w:w="50"/>
              <w:left w:type="dxa" w:w="110"/>
              <w:bottom w:type="dxa" w:w="50"/>
              <w:right w:type="dxa" w:w="110"/>
            </w:tcMar>
          </w:tcPr>
          <w:p>
            <w:pPr>
              <w:spacing w:before="28" w:after="28"/>
            </w:pPr>
            <w:r>
              <w:rPr>
                <w:sz w:val="15"/>
                <w:szCs w:val="15"/>
              </w:rPr>
              <w:t xml:space="preserve">(1,125)</w:t>
            </w:r>
          </w:p>
        </w:tc>
        <w:tc>
          <w:tcPr>
            <w:tcW w:type="pct" w:w="1193"/>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tcMar>
              <w:top w:type="dxa" w:w="50"/>
              <w:left w:type="dxa" w:w="110"/>
              <w:bottom w:type="dxa" w:w="50"/>
              <w:right w:type="dxa" w:w="110"/>
            </w:tcMar>
          </w:tcPr>
          <w:p>
            <w:pPr>
              <w:spacing w:before="28" w:after="28"/>
            </w:pPr>
            <w:r>
              <w:rPr>
                <w:sz w:val="15"/>
                <w:szCs w:val="15"/>
              </w:rPr>
              <w:t xml:space="preserve">Total stockholders' equity</w:t>
            </w:r>
          </w:p>
        </w:tc>
        <w:tc>
          <w:tcPr>
            <w:tcW w:type="pct" w:w="1207"/>
            <w:tcMar>
              <w:top w:type="dxa" w:w="50"/>
              <w:left w:type="dxa" w:w="110"/>
              <w:bottom w:type="dxa" w:w="50"/>
              <w:right w:type="dxa" w:w="110"/>
            </w:tcMar>
          </w:tcPr>
          <w:p>
            <w:pPr>
              <w:spacing w:before="28" w:after="28"/>
            </w:pPr>
            <w:r>
              <w:rPr>
                <w:sz w:val="15"/>
                <w:szCs w:val="15"/>
              </w:rPr>
              <w:t xml:space="preserve">20,392,975</w:t>
            </w:r>
          </w:p>
        </w:tc>
        <w:tc>
          <w:tcPr>
            <w:tcW w:type="pct" w:w="1193"/>
            <w:tcMar>
              <w:top w:type="dxa" w:w="50"/>
              <w:left w:type="dxa" w:w="110"/>
              <w:bottom w:type="dxa" w:w="50"/>
              <w:right w:type="dxa" w:w="110"/>
            </w:tcMar>
          </w:tcPr>
          <w:p>
            <w:pPr>
              <w:spacing w:before="28" w:after="28"/>
            </w:pPr>
            <w:r>
              <w:rPr>
                <w:sz w:val="15"/>
                <w:szCs w:val="15"/>
              </w:rPr>
              <w:t xml:space="preserve">16,375,000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207"/>
            <w:shd w:fill="FBFAF6" w:val="clear"/>
            <w:tcMar>
              <w:top w:type="dxa" w:w="50"/>
              <w:left w:type="dxa" w:w="110"/>
              <w:bottom w:type="dxa" w:w="50"/>
              <w:right w:type="dxa" w:w="110"/>
            </w:tcMar>
          </w:tcPr>
          <w:p>
            <w:pPr>
              <w:spacing w:before="28" w:after="28"/>
            </w:pPr>
            <w:r>
              <w:rPr>
                <w:sz w:val="15"/>
                <w:szCs w:val="15"/>
              </w:rPr>
              <w:t xml:space="preserve">31,672,600</w:t>
            </w:r>
          </w:p>
        </w:tc>
        <w:tc>
          <w:tcPr>
            <w:tcW w:type="pct" w:w="1193"/>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Assets held for sale   ·   Contract liabilities   ·   Trading securities   ·   Goodwill   ·   Long-term debt, less current portion   ·   Retained earnings   ·   Accumulated other comprehensive income (loss)   ·   Equity-method investments   ·   Inventory   ·   Income taxes payable   ·   Deferred tax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21–24</w:t>
      </w:r>
    </w:p>
    <w:p>
      <w:pPr>
        <w:spacing w:before="20" w:after="20" w:line="360" w:lineRule="auto"/>
        <w:ind w:left="200"/>
      </w:pPr>
      <w:r>
        <w:rPr>
          <w:sz w:val="19"/>
          <w:szCs w:val="19"/>
        </w:rPr>
        <w:t xml:space="preserve">Current assets come first, from cash down to assets held for sale. </w:t>
      </w:r>
      <w:r>
        <w:rPr>
          <w:sz w:val="19"/>
          <w:szCs w:val="19"/>
        </w:rPr>
        <w:t xml:space="preserve">Then come the noncurrent assets: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contingencies   ·   liquidity   ·   depreciation   ·   investments   ·   Liabilities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Contract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Accumulated other comprehensive income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Assets held for sale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Equity-method 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principal is due within a year. </w:t>
      </w:r>
      <w:r>
        <w:rPr>
          <w:sz w:val="19"/>
          <w:szCs w:val="19"/>
        </w:rPr>
        <w:t xml:space="preserve">Two measures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prepayments   ·   investments   ·   average   ·   current liabilities   ·   collecting   ·   creating   ·   obligations   ·   whichever   ·   liability   ·   Restricted   ·   noncurrent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working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Paying a supplier in cash reduces current assets and 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debt from current to noncurrent increases working capital and the current ratio. </w:t>
      </w:r>
      <w:r>
        <w:rPr>
          <w:sz w:val="19"/>
          <w:szCs w:val="19"/>
        </w:rPr>
        <w:t xml:space="preserve">Use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current assets   ·   Reclassifying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spacing w:before="44" w:after="14"/>
      </w:pPr>
      <w:r>
        <w:rPr>
          <w:b/>
          <w:bCs/>
          <w:color w:val="353A7C"/>
          <w:sz w:val="18"/>
          <w:szCs w:val="18"/>
        </w:rPr>
        <w:t xml:space="preserve">Summary 4</w:t>
      </w:r>
      <w:r>
        <w:rPr>
          <w:color w:val="6B7280"/>
          <w:sz w:val="16"/>
          <w:szCs w:val="16"/>
        </w:rPr>
        <w:t xml:space="preserve">      gaps 18–22</w:t>
      </w:r>
    </w:p>
    <w:p>
      <w:pPr>
        <w:spacing w:before="20" w:after="20" w:line="360" w:lineRule="auto"/>
        <w:ind w:left="200"/>
      </w:pPr>
      <w:r>
        <w:rPr>
          <w:sz w:val="19"/>
          <w:szCs w:val="19"/>
        </w:rPr>
        <w:t xml:space="preserve">Next year's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working capital   ·   delivery   ·   installment   ·   expects   ·   equity-method</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2"/>
        <w:gridCol w:w="1072"/>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558"/>
            <w:tcMar>
              <w:top w:type="dxa" w:w="50"/>
              <w:left w:type="dxa" w:w="110"/>
              <w:bottom w:type="dxa" w:w="50"/>
              <w:right w:type="dxa" w:w="110"/>
            </w:tcMar>
          </w:tcPr>
          <w:p>
            <w:pPr>
              <w:spacing w:before="26" w:after="26"/>
            </w:pPr>
            <w:r>
              <w:rPr>
                <w:b/>
                <w:bCs/>
                <w:color w:val="353A7C"/>
                <w:sz w:val="15"/>
                <w:szCs w:val="15"/>
              </w:rPr>
              <w:t xml:space="preserve">Item</w:t>
            </w:r>
          </w:p>
        </w:tc>
        <w:tc>
          <w:tcPr>
            <w:tcW w:type="pct" w:w="558"/>
            <w:tcMar>
              <w:top w:type="dxa" w:w="50"/>
              <w:left w:type="dxa" w:w="110"/>
              <w:bottom w:type="dxa" w:w="50"/>
              <w:right w:type="dxa" w:w="110"/>
            </w:tcMar>
          </w:tcPr>
          <w:p>
            <w:pPr>
              <w:spacing w:before="26" w:after="26"/>
            </w:pPr>
            <w:r>
              <w:rPr>
                <w:b/>
                <w:bCs/>
                <w:color w:val="353A7C"/>
                <w:sz w:val="15"/>
                <w:szCs w:val="15"/>
              </w:rPr>
              <w:t xml:space="preserve">Classification</w:t>
            </w:r>
          </w:p>
        </w:tc>
        <w:tc>
          <w:tcPr>
            <w:tcW w:type="pct" w:w="1883"/>
            <w:tcMar>
              <w:top w:type="dxa" w:w="50"/>
              <w:left w:type="dxa" w:w="110"/>
              <w:bottom w:type="dxa" w:w="50"/>
              <w:right w:type="dxa" w:w="110"/>
            </w:tcMar>
          </w:tcPr>
          <w:p>
            <w:pPr>
              <w:spacing w:before="26" w:after="26"/>
            </w:pPr>
            <w:r>
              <w:rPr>
                <w:b/>
                <w:bCs/>
                <w:color w:val="353A7C"/>
                <w:sz w:val="15"/>
                <w:szCs w:val="15"/>
              </w:rPr>
              <w:t xml:space="preserve">Reason</w:t>
            </w:r>
          </w:p>
        </w:tc>
      </w:tr>
      <w:tr>
        <w:tc>
          <w:tcPr>
            <w:tcW w:type="pct" w:w="2558"/>
            <w:tcMar>
              <w:top w:type="dxa" w:w="50"/>
              <w:left w:type="dxa" w:w="110"/>
              <w:bottom w:type="dxa" w:w="50"/>
              <w:right w:type="dxa" w:w="110"/>
            </w:tcMar>
          </w:tcPr>
          <w:p>
            <w:pPr>
              <w:spacing w:before="26" w:after="26"/>
            </w:pPr>
            <w:r>
              <w:rPr>
                <w:color w:val="232733"/>
                <w:sz w:val="16"/>
                <w:szCs w:val="16"/>
              </w:rPr>
              <w:t xml:space="preserve">Cash set aside in a sinking fund to repay bonds in 2029</w:t>
            </w:r>
          </w:p>
        </w:tc>
        <w:tc>
          <w:tcPr>
            <w:tcW w:type="pct" w:w="558"/>
            <w:tcMar>
              <w:top w:type="dxa" w:w="50"/>
              <w:left w:type="dxa" w:w="110"/>
              <w:bottom w:type="dxa" w:w="50"/>
              <w:right w:type="dxa" w:w="110"/>
            </w:tcMar>
          </w:tcPr>
          <w:p>
            <w:pPr>
              <w:spacing w:before="26" w:after="26"/>
            </w:pPr>
            <w:r>
              <w:rPr>
                <w:color w:val="232733"/>
                <w:sz w:val="16"/>
                <w:szCs w:val="16"/>
              </w:rPr>
              <w:t xml:space="preserve">Noncurrent asset</w:t>
            </w:r>
          </w:p>
        </w:tc>
        <w:tc>
          <w:tcPr>
            <w:tcW w:type="pct" w:w="1883"/>
            <w:tcMar>
              <w:top w:type="dxa" w:w="50"/>
              <w:left w:type="dxa" w:w="110"/>
              <w:bottom w:type="dxa" w:w="50"/>
              <w:right w:type="dxa" w:w="110"/>
            </w:tcMar>
          </w:tcPr>
          <w:p>
            <w:pPr>
              <w:spacing w:before="26" w:after="26"/>
            </w:pPr>
            <w:r>
              <w:rPr>
                <w:color w:val="232733"/>
                <w:sz w:val="16"/>
                <w:szCs w:val="16"/>
              </w:rPr>
              <w:t xml:space="preserve">Restricted for a noncurrent purpose</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Date vinegar that Orontes ages for 18 months before sale</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Current asset</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The operating cycle is longer than one year, so the cycle applies</w:t>
            </w:r>
          </w:p>
        </w:tc>
      </w:tr>
      <w:tr>
        <w:tc>
          <w:tcPr>
            <w:tcW w:type="pct" w:w="2558"/>
            <w:tcMar>
              <w:top w:type="dxa" w:w="50"/>
              <w:left w:type="dxa" w:w="110"/>
              <w:bottom w:type="dxa" w:w="50"/>
              <w:right w:type="dxa" w:w="110"/>
            </w:tcMar>
          </w:tcPr>
          <w:p>
            <w:pPr>
              <w:spacing w:before="26" w:after="26"/>
            </w:pPr>
            <w:r>
              <w:rPr>
                <w:color w:val="232733"/>
                <w:sz w:val="16"/>
                <w:szCs w:val="16"/>
              </w:rPr>
              <w:t xml:space="preserve">Cash surrender value of an executive life insurance policy</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Bank loan due on demand; the bank has never asked for repayment</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tcMar>
              <w:top w:type="dxa" w:w="50"/>
              <w:left w:type="dxa" w:w="110"/>
              <w:bottom w:type="dxa" w:w="50"/>
              <w:right w:type="dxa" w:w="110"/>
            </w:tcMar>
          </w:tcPr>
          <w:p>
            <w:pPr>
              <w:spacing w:before="26" w:after="26"/>
            </w:pPr>
            <w:r>
              <w:rPr>
                <w:color w:val="232733"/>
                <w:sz w:val="16"/>
                <w:szCs w:val="16"/>
              </w:rPr>
              <w:t xml:space="preserve">Deferred tax asset from warranty costs expected to reverse next year</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Customer deposits for orders to be delivered next month</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ratio   ·   operating cycle   ·   current liabilities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r>
        <w:rPr>
          <w:sz w:val="19"/>
          <w:szCs w:val="19"/>
        </w:rPr>
        <w:t xml:space="preserve">Debt that is due on demand is always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refinancing   ·   Orontes   ·   classification   ·   statements   ·   expect   ·   installments   ·   agreements   ·   callable   ·   repayment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30"/>
        <w:gridCol w:w="247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291"/>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6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10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91"/>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109"/>
            <w:shd w:fill="FBFAF6" w:val="clear"/>
            <w:tcMar>
              <w:top w:type="dxa" w:w="50"/>
              <w:left w:type="dxa" w:w="110"/>
              <w:bottom w:type="dxa" w:w="50"/>
              <w:right w:type="dxa" w:w="110"/>
            </w:tcMar>
          </w:tcPr>
          <w:p>
            <w:pPr>
              <w:spacing w:before="28" w:after="28"/>
            </w:pPr>
            <w:r>
              <w:rPr>
                <w:sz w:val="15"/>
                <w:szCs w:val="15"/>
              </w:rPr>
              <w:t xml:space="preserve">Noncurrent</w:t>
            </w:r>
          </w:p>
        </w:tc>
        <w:tc>
          <w:tcPr>
            <w:tcW w:type="pct" w:w="1291"/>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6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109"/>
            <w:tcMar>
              <w:top w:type="dxa" w:w="50"/>
              <w:left w:type="dxa" w:w="110"/>
              <w:bottom w:type="dxa" w:w="50"/>
              <w:right w:type="dxa" w:w="110"/>
            </w:tcMar>
          </w:tcPr>
          <w:p>
            <w:pPr>
              <w:spacing w:before="28" w:after="28"/>
            </w:pPr>
            <w:r>
              <w:rPr>
                <w:sz w:val="15"/>
                <w:szCs w:val="15"/>
              </w:rPr>
              <w:t xml:space="preserve">Noncurrent</w:t>
            </w:r>
          </w:p>
        </w:tc>
        <w:tc>
          <w:tcPr>
            <w:tcW w:type="pct" w:w="1291"/>
            <w:tcMar>
              <w:top w:type="dxa" w:w="50"/>
              <w:left w:type="dxa" w:w="110"/>
              <w:bottom w:type="dxa" w:w="50"/>
              <w:right w:type="dxa" w:w="110"/>
            </w:tcMar>
          </w:tcPr>
          <w:p>
            <w:pPr>
              <w:spacing w:before="28" w:after="28"/>
            </w:pPr>
            <w:r>
              <w:rPr>
                <w:sz w:val="15"/>
                <w:szCs w:val="15"/>
              </w:rPr>
              <w:t xml:space="preserve">Noncurrent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109"/>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291"/>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Subjective acceleration clause</w:t>
            </w:r>
          </w:p>
        </w:tc>
        <w:tc>
          <w:tcPr>
            <w:tcW w:type="pct" w:w="1109"/>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291"/>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10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91"/>
            <w:shd w:fill="FBFAF6" w:val="clear"/>
            <w:tcMar>
              <w:top w:type="dxa" w:w="50"/>
              <w:left w:type="dxa" w:w="110"/>
              <w:bottom w:type="dxa" w:w="50"/>
              <w:right w:type="dxa" w:w="110"/>
            </w:tcMar>
          </w:tcPr>
          <w:p>
            <w:pPr>
              <w:spacing w:before="28" w:after="28"/>
            </w:pPr>
            <w:r>
              <w:rPr>
                <w:sz w:val="15"/>
                <w:szCs w:val="15"/>
              </w:rPr>
              <w:t xml:space="preserve">All non-current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only if acceleration is probable   ·   Noncurrent (intent and demonstrated ability)   ·   All noncurrent   ·   Ignored unless it removes the right to defer   ·   Noncurrent; disclose the risk</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The FASB proposed a simpler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debt-classification   ·   waiver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Refinanced after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waiver   ·   year-end   ·   demand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restricted cash   ·   callable debt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Noncurrent (intent and demonstrated 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Noncurrent; disclose the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Ignored unless it removes the right to defer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 Debt that is due on demand is always current.</w:t>
      </w:r>
    </w:p>
    <w:p>
      <w:pPr>
        <w:spacing w:before="20" w:after="20"/>
        <w:ind w:left="240" w:hanging="240"/>
      </w:pPr>
      <w:r>
        <w:rPr>
          <w:b/>
          <w:bCs/>
          <w:color w:val="353A7C"/>
          <w:sz w:val="15"/>
          <w:szCs w:val="15"/>
        </w:rPr>
        <w:t xml:space="preserve">Summary 2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3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enforceable.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appears   ·   long-term   ·   noncurrent   ·   loss contingency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01"/>
        <w:gridCol w:w="4726"/>
        <w:gridCol w:w="36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626"/>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461"/>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1913"/>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626"/>
            <w:tcMar>
              <w:top w:type="dxa" w:w="50"/>
              <w:left w:type="dxa" w:w="110"/>
              <w:bottom w:type="dxa" w:w="50"/>
              <w:right w:type="dxa" w:w="110"/>
            </w:tcMar>
          </w:tcPr>
          <w:p>
            <w:pPr>
              <w:spacing w:before="28" w:after="28"/>
            </w:pPr>
            <w:r>
              <w:rPr>
                <w:sz w:val="15"/>
                <w:szCs w:val="15"/>
              </w:rPr>
              <w:t xml:space="preserve">Probable</w:t>
            </w:r>
          </w:p>
        </w:tc>
        <w:tc>
          <w:tcPr>
            <w:tcW w:type="pct" w:w="2461"/>
            <w:tcMar>
              <w:top w:type="dxa" w:w="50"/>
              <w:left w:type="dxa" w:w="110"/>
              <w:bottom w:type="dxa" w:w="50"/>
              <w:right w:type="dxa" w:w="110"/>
            </w:tcMar>
          </w:tcPr>
          <w:p>
            <w:pPr>
              <w:spacing w:before="28" w:after="28"/>
            </w:pPr>
            <w:r>
              <w:rPr>
                <w:sz w:val="15"/>
                <w:szCs w:val="15"/>
              </w:rPr>
              <w:t xml:space="preserve">Accrue a liability and a loss (best estimate; if no best estimate, the minimum of the range)</w:t>
            </w:r>
          </w:p>
        </w:tc>
        <w:tc>
          <w:tcPr>
            <w:tcW w:type="pct" w:w="1913"/>
            <w:tcMar>
              <w:top w:type="dxa" w:w="50"/>
              <w:left w:type="dxa" w:w="110"/>
              <w:bottom w:type="dxa" w:w="50"/>
              <w:right w:type="dxa" w:w="110"/>
            </w:tcMar>
          </w:tcPr>
          <w:p>
            <w:pPr>
              <w:spacing w:before="28" w:after="28"/>
            </w:pPr>
            <w:r>
              <w:rPr>
                <w:sz w:val="15"/>
                <w:szCs w:val="15"/>
              </w:rPr>
              <w:t xml:space="preserve">Accrue and disclose</w:t>
            </w:r>
          </w:p>
        </w:tc>
      </w:tr>
      <w:tr>
        <w:tc>
          <w:tcPr>
            <w:tcW w:type="pct" w:w="626"/>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461"/>
            <w:shd w:fill="FBFAF6" w:val="clear"/>
            <w:tcMar>
              <w:top w:type="dxa" w:w="50"/>
              <w:left w:type="dxa" w:w="110"/>
              <w:bottom w:type="dxa" w:w="50"/>
              <w:right w:type="dxa" w:w="110"/>
            </w:tcMar>
          </w:tcPr>
          <w:p>
            <w:pPr>
              <w:spacing w:before="28" w:after="28"/>
            </w:pPr>
            <w:r>
              <w:rPr>
                <w:sz w:val="15"/>
                <w:szCs w:val="15"/>
              </w:rPr>
              <w:t xml:space="preserve">No accrual</w:t>
            </w:r>
          </w:p>
        </w:tc>
        <w:tc>
          <w:tcPr>
            <w:tcW w:type="pct" w:w="1913"/>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estimated)</w:t>
            </w:r>
          </w:p>
        </w:tc>
      </w:tr>
      <w:tr>
        <w:tc>
          <w:tcPr>
            <w:tcW w:type="pct" w:w="626"/>
            <w:tcMar>
              <w:top w:type="dxa" w:w="50"/>
              <w:left w:type="dxa" w:w="110"/>
              <w:bottom w:type="dxa" w:w="50"/>
              <w:right w:type="dxa" w:w="110"/>
            </w:tcMar>
          </w:tcPr>
          <w:p>
            <w:pPr>
              <w:spacing w:before="28" w:after="28"/>
            </w:pPr>
            <w:r>
              <w:rPr>
                <w:sz w:val="15"/>
                <w:szCs w:val="15"/>
              </w:rPr>
              <w:t xml:space="preserve">Remote</w:t>
            </w:r>
          </w:p>
        </w:tc>
        <w:tc>
          <w:tcPr>
            <w:tcW w:type="pct" w:w="2461"/>
            <w:tcMar>
              <w:top w:type="dxa" w:w="50"/>
              <w:left w:type="dxa" w:w="110"/>
              <w:bottom w:type="dxa" w:w="50"/>
              <w:right w:type="dxa" w:w="110"/>
            </w:tcMar>
          </w:tcPr>
          <w:p>
            <w:pPr>
              <w:spacing w:before="28" w:after="28"/>
            </w:pPr>
            <w:r>
              <w:rPr>
                <w:sz w:val="15"/>
                <w:szCs w:val="15"/>
              </w:rPr>
              <w:t xml:space="preserve">No accrual</w:t>
            </w:r>
          </w:p>
        </w:tc>
        <w:tc>
          <w:tcPr>
            <w:tcW w:type="pct" w:w="191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626"/>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461"/>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13"/>
            <w:shd w:fill="FBFAF6" w:val="clear"/>
            <w:tcMar>
              <w:top w:type="dxa" w:w="50"/>
              <w:left w:type="dxa" w:w="110"/>
              <w:bottom w:type="dxa" w:w="50"/>
              <w:right w:type="dxa" w:w="110"/>
            </w:tcMar>
          </w:tcPr>
          <w:p>
            <w:pPr>
              <w:spacing w:before="28" w:after="28"/>
            </w:pPr>
            <w:r>
              <w:rPr>
                <w:sz w:val="15"/>
                <w:szCs w:val="15"/>
              </w:rPr>
              <w:t xml:space="preserve">Disclose carefully, without misleading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disclosure (except guarantees)   ·   Accrue and disclose   ·   Never recognized before it is realized</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Finally, the notes begin with a summary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not an extra. </w:t>
      </w:r>
      <w:r>
        <w:rPr>
          <w:sz w:val="19"/>
          <w:szCs w:val="19"/>
        </w:rPr>
        <w:t xml:space="preserve">IFRS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midpoint;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depreciation   ·   significant   ·   provision   ·   right of setoff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Arabic مخصص can mean an allowance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provision (a liability) or even a reserve 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(احتياطي). </w:t>
      </w:r>
      <w:r>
        <w:rPr>
          <w:sz w:val="19"/>
          <w:szCs w:val="19"/>
        </w:rPr>
        <w:t xml:space="preserve">In U.S. GAAP answers, use allowance for contra-assets, accrued liability or loss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right of setoff   ·   contingency   ·   equity   ·   contra-asset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solvency   ·   loss contingency   ·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Never recognized before it is 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w:t>
      </w:r>
    </w:p>
    <w:p>
      <w:pPr>
        <w:spacing w:before="20" w:after="20"/>
        <w:ind w:left="240" w:hanging="240"/>
      </w:pPr>
      <w:r>
        <w:rPr>
          <w:b/>
          <w:bCs/>
          <w:color w:val="353A7C"/>
          <w:sz w:val="15"/>
          <w:szCs w:val="15"/>
        </w:rPr>
        <w:t xml:space="preserve">Summary 2   </w:t>
      </w:r>
      <w:r>
        <w:rPr>
          <w:color w:val="6B7280"/>
          <w:sz w:val="15"/>
          <w:szCs w:val="15"/>
        </w:rPr>
        <w:t xml:space="preserve">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Arabic مخصص can mean an allowance (a contra-asset), a provision (a liability) or even a reserve in equity (احتياطي).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Orontes's land and buildings are shown at what they cost years ago. </w:t>
      </w:r>
      <w:r>
        <w:rPr>
          <w:sz w:val="19"/>
          <w:szCs w:val="19"/>
        </w:rPr>
        <w:t xml:space="preserve">Many amounts depend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the allowance for credit losses and useful lives.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resources are missing.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developed brands, customer loyalty and a skilled workforce are not recorded, so the balance sheet usually shows much less than the market value of the company. </w:t>
      </w:r>
      <w:r>
        <w:rPr>
          <w:sz w:val="19"/>
          <w:szCs w:val="19"/>
        </w:rPr>
        <w:t xml:space="preserve">Some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too. </w:t>
      </w:r>
      <w:r>
        <w:rPr>
          <w:sz w:val="19"/>
          <w:szCs w:val="19"/>
        </w:rPr>
        <w:t xml:space="preserve">Other comprehensive income works the same way. </w:t>
      </w:r>
      <w:r>
        <w:rPr>
          <w:sz w:val="19"/>
          <w:szCs w:val="19"/>
        </w:rPr>
        <w:t xml:space="preserve">Orontes's OCI of $(1,125) does not go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earnings. </w:t>
      </w:r>
      <w:r>
        <w:rPr>
          <w:sz w:val="19"/>
          <w:szCs w:val="19"/>
        </w:rPr>
        <w:t xml:space="preserve">It goes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historical   ·   retained   ·   Internally   ·   estimates   ·   Finally   ·   statements   ·   obligations   ·   suppliers   ·   loss contingency   ·   Important   ·   valuation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   ·   waiver   ·   stockholders</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3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236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Dividends payable   ·   Equipment   ·   subsequent events   ·   Additional paid-in capital   ·   Allowance for credit losses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Cash surrender value</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it is not expected to be turned into cash in the operating cycle.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Loan due on demand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debt due on demand is current, whatever the bank's expected behaviour.</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(contract liability): it will be settled by delivering goods within a year.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tcMar>
              <w:top w:type="dxa" w:w="50"/>
              <w:left w:type="dxa" w:w="110"/>
              <w:bottom w:type="dxa" w:w="50"/>
              <w:right w:type="dxa" w:w="110"/>
            </w:tcMar>
          </w:tcPr>
          <w:p>
            <w:pPr>
              <w:spacing w:before="28" w:after="28"/>
            </w:pPr>
            <w:r>
              <w:rPr>
                <w:sz w:val="15"/>
                <w:szCs w:val="15"/>
              </w:rPr>
              <w:t xml:space="preserve">Equity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Equity   ·   Noncurrent asset</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2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Managers use it to compare results with budgets and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balance   ·   increases   ·   company's   ·   multi-step income statement   ·   profitable   ·   usually   ·   interest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Net sales</w:t>
            </w:r>
          </w:p>
        </w:tc>
        <w:tc>
          <w:tcPr>
            <w:tcW w:type="pct" w:w="2400"/>
            <w:tcMar>
              <w:top w:type="dxa" w:w="50"/>
              <w:left w:type="dxa" w:w="110"/>
              <w:bottom w:type="dxa" w:w="50"/>
              <w:right w:type="dxa" w:w="110"/>
            </w:tcMar>
          </w:tcPr>
          <w:p>
            <w:pPr>
              <w:spacing w:before="26" w:after="26"/>
            </w:pPr>
            <w:r>
              <w:rPr>
                <w:color w:val="232733"/>
                <w:sz w:val="16"/>
                <w:szCs w:val="16"/>
              </w:rPr>
              <w:t xml:space="preserve">42,000,000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(27,300,000)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14,700,000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expenses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Selling, general and administrative</w:t>
            </w:r>
          </w:p>
        </w:tc>
        <w:tc>
          <w:tcPr>
            <w:tcW w:type="pct" w:w="2400"/>
            <w:tcMar>
              <w:top w:type="dxa" w:w="50"/>
              <w:left w:type="dxa" w:w="110"/>
              <w:bottom w:type="dxa" w:w="50"/>
              <w:right w:type="dxa" w:w="110"/>
            </w:tcMar>
          </w:tcPr>
          <w:p>
            <w:pPr>
              <w:spacing w:before="26" w:after="26"/>
            </w:pPr>
            <w:r>
              <w:rPr>
                <w:color w:val="232733"/>
                <w:sz w:val="16"/>
                <w:szCs w:val="16"/>
              </w:rPr>
              <w:t xml:space="preserve">(7,237,000)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 loss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(63,000)</w:t>
            </w:r>
          </w:p>
        </w:tc>
      </w:tr>
      <w:tr>
        <w:tc>
          <w:tcPr>
            <w:tcW w:type="pct" w:w="2600"/>
            <w:tcMar>
              <w:top w:type="dxa" w:w="50"/>
              <w:left w:type="dxa" w:w="110"/>
              <w:bottom w:type="dxa" w:w="50"/>
              <w:right w:type="dxa" w:w="110"/>
            </w:tcMar>
          </w:tcPr>
          <w:p>
            <w:pPr>
              <w:spacing w:before="26" w:after="26"/>
            </w:pPr>
            <w:r>
              <w:rPr>
                <w:color w:val="232733"/>
                <w:sz w:val="16"/>
                <w:szCs w:val="16"/>
              </w:rPr>
              <w:t xml:space="preserve">Research and development</w:t>
            </w:r>
          </w:p>
        </w:tc>
        <w:tc>
          <w:tcPr>
            <w:tcW w:type="pct" w:w="2400"/>
            <w:tcMar>
              <w:top w:type="dxa" w:w="50"/>
              <w:left w:type="dxa" w:w="110"/>
              <w:bottom w:type="dxa" w:w="50"/>
              <w:right w:type="dxa" w:w="110"/>
            </w:tcMar>
          </w:tcPr>
          <w:p>
            <w:pPr>
              <w:spacing w:before="26" w:after="26"/>
            </w:pPr>
            <w:r>
              <w:rPr>
                <w:color w:val="232733"/>
                <w:sz w:val="16"/>
                <w:szCs w:val="16"/>
              </w:rPr>
              <w:t xml:space="preserve">(500,000)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tcMar>
              <w:top w:type="dxa" w:w="50"/>
              <w:left w:type="dxa" w:w="110"/>
              <w:bottom w:type="dxa" w:w="50"/>
              <w:right w:type="dxa" w:w="110"/>
            </w:tcMar>
          </w:tcPr>
          <w:p>
            <w:pPr>
              <w:spacing w:before="26" w:after="26"/>
            </w:pPr>
            <w:r>
              <w:rPr>
                <w:color w:val="232733"/>
                <w:sz w:val="16"/>
                <w:szCs w:val="16"/>
              </w:rPr>
              <w:t xml:space="preserve">Total operating expenses</w:t>
            </w:r>
          </w:p>
        </w:tc>
        <w:tc>
          <w:tcPr>
            <w:tcW w:type="pct" w:w="2400"/>
            <w:tcMar>
              <w:top w:type="dxa" w:w="50"/>
              <w:left w:type="dxa" w:w="110"/>
              <w:bottom w:type="dxa" w:w="50"/>
              <w:right w:type="dxa" w:w="110"/>
            </w:tcMar>
          </w:tcPr>
          <w:p>
            <w:pPr>
              <w:spacing w:before="26" w:after="26"/>
            </w:pPr>
            <w:r>
              <w:rPr>
                <w:color w:val="232733"/>
                <w:sz w:val="16"/>
                <w:szCs w:val="16"/>
              </w:rPr>
              <w:t xml:space="preserve">(10,524,000)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4,176,000</w:t>
            </w:r>
          </w:p>
        </w:tc>
      </w:tr>
      <w:tr>
        <w:tc>
          <w:tcPr>
            <w:tcW w:type="pct" w:w="2600"/>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and dividend income</w:t>
            </w:r>
          </w:p>
        </w:tc>
        <w:tc>
          <w:tcPr>
            <w:tcW w:type="pct" w:w="2400"/>
            <w:tcMar>
              <w:top w:type="dxa" w:w="50"/>
              <w:left w:type="dxa" w:w="110"/>
              <w:bottom w:type="dxa" w:w="50"/>
              <w:right w:type="dxa" w:w="110"/>
            </w:tcMar>
          </w:tcPr>
          <w:p>
            <w:pPr>
              <w:spacing w:before="26" w:after="26"/>
            </w:pPr>
            <w:r>
              <w:rPr>
                <w:color w:val="232733"/>
                <w:sz w:val="16"/>
                <w:szCs w:val="16"/>
              </w:rPr>
              <w:t xml:space="preserve">3,800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tcMar>
              <w:top w:type="dxa" w:w="50"/>
              <w:left w:type="dxa" w:w="110"/>
              <w:bottom w:type="dxa" w:w="50"/>
              <w:right w:type="dxa" w:w="110"/>
            </w:tcMar>
          </w:tcPr>
          <w:p>
            <w:pPr>
              <w:spacing w:before="26" w:after="26"/>
            </w:pPr>
            <w:r>
              <w:rPr>
                <w:color w:val="232733"/>
                <w:sz w:val="16"/>
                <w:szCs w:val="16"/>
              </w:rPr>
              <w:t xml:space="preserve">177,000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receivables</w:t>
            </w:r>
          </w:p>
        </w:tc>
        <w:tc>
          <w:tcPr>
            <w:tcW w:type="pct" w:w="2400"/>
            <w:tcMar>
              <w:top w:type="dxa" w:w="50"/>
              <w:left w:type="dxa" w:w="110"/>
              <w:bottom w:type="dxa" w:w="50"/>
              <w:right w:type="dxa" w:w="110"/>
            </w:tcMar>
          </w:tcPr>
          <w:p>
            <w:pPr>
              <w:spacing w:before="26" w:after="26"/>
            </w:pPr>
            <w:r>
              <w:rPr>
                <w:color w:val="232733"/>
                <w:sz w:val="16"/>
                <w:szCs w:val="16"/>
              </w:rPr>
              <w:t xml:space="preserve">(15,000)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other income and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(217,200)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before income taxes</w:t>
            </w:r>
          </w:p>
        </w:tc>
        <w:tc>
          <w:tcPr>
            <w:tcW w:type="pct" w:w="2400"/>
            <w:tcMar>
              <w:top w:type="dxa" w:w="50"/>
              <w:left w:type="dxa" w:w="110"/>
              <w:bottom w:type="dxa" w:w="50"/>
              <w:right w:type="dxa" w:w="110"/>
            </w:tcMar>
          </w:tcPr>
          <w:p>
            <w:pPr>
              <w:spacing w:before="26" w:after="26"/>
            </w:pPr>
            <w:r>
              <w:rPr>
                <w:color w:val="232733"/>
                <w:sz w:val="16"/>
                <w:szCs w:val="16"/>
              </w:rPr>
              <w:t xml:space="preserve">3,958,800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(989,700)</w:t>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Earnings per share, basic and diluted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$0.37</w:t>
            </w:r>
          </w:p>
        </w:tc>
      </w:tr>
      <w:tr>
        <w:tc>
          <w:tcPr>
            <w:tcW w:type="pct" w:w="2600"/>
            <w:tcMar>
              <w:top w:type="dxa" w:w="50"/>
              <w:left w:type="dxa" w:w="110"/>
              <w:bottom w:type="dxa" w:w="50"/>
              <w:right w:type="dxa" w:w="110"/>
            </w:tcMar>
          </w:tcPr>
          <w:p>
            <w:pPr>
              <w:spacing w:before="26" w:after="26"/>
            </w:pPr>
            <w:r>
              <w:rPr>
                <w:color w:val="232733"/>
                <w:sz w:val="16"/>
                <w:szCs w:val="16"/>
              </w:rPr>
              <w:t xml:space="preserve">Weighted-average shares outstanding</w:t>
            </w:r>
          </w:p>
        </w:tc>
        <w:tc>
          <w:tcPr>
            <w:tcW w:type="pct" w:w="2400"/>
            <w:tcMar>
              <w:top w:type="dxa" w:w="50"/>
              <w:left w:type="dxa" w:w="110"/>
              <w:bottom w:type="dxa" w:w="50"/>
              <w:right w:type="dxa" w:w="110"/>
            </w:tcMar>
          </w:tcPr>
          <w:p>
            <w:pPr>
              <w:spacing w:before="26" w:after="26"/>
            </w:pPr>
            <w:r>
              <w:rPr>
                <w:color w:val="232733"/>
                <w:sz w:val="16"/>
                <w:szCs w:val="16"/>
              </w:rPr>
              <w:t xml:space="preserve">8,099,726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Other 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loss on available-for-sale debt securities, net of tax of 375</w:t>
            </w:r>
          </w:p>
        </w:tc>
        <w:tc>
          <w:tcPr>
            <w:tcW w:type="pct" w:w="2400"/>
            <w:tcMar>
              <w:top w:type="dxa" w:w="50"/>
              <w:left w:type="dxa" w:w="110"/>
              <w:bottom w:type="dxa" w:w="50"/>
              <w:right w:type="dxa" w:w="110"/>
            </w:tcMar>
          </w:tcPr>
          <w:p>
            <w:pPr>
              <w:spacing w:before="26" w:after="26"/>
            </w:pPr>
            <w:r>
              <w:rPr>
                <w:color w:val="232733"/>
                <w:sz w:val="16"/>
                <w:szCs w:val="16"/>
              </w:rPr>
              <w:t xml:space="preserve">(1,125)</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2,967,975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single-step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development,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peripheral or incidental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gain of $3,000: the proceeds minus the carrying amount, not the full proceeds. </w:t>
      </w:r>
      <w:r>
        <w:rPr>
          <w:sz w:val="19"/>
          <w:szCs w:val="19"/>
        </w:rPr>
        <w:t xml:space="preserve">Income tax expense is then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deducted   ·   administrative   ·   transaction   ·   function of expense   ·   reported   ·   follows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 income and expense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Gross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other income and expense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Interest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depreciation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earnings per share (EPS)   ·   equipment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year ended December 31, 2025 (</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3,100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(1,860)</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w:t>
            </w:r>
          </w:p>
        </w:tc>
        <w:tc>
          <w:tcPr>
            <w:tcW w:type="pct" w:w="2400"/>
            <w:tcMar>
              <w:top w:type="dxa" w:w="50"/>
              <w:left w:type="dxa" w:w="110"/>
              <w:bottom w:type="dxa" w:w="50"/>
              <w:right w:type="dxa" w:w="110"/>
            </w:tcMar>
          </w:tcPr>
          <w:p>
            <w:pPr>
              <w:spacing w:before="26" w:after="26"/>
            </w:pPr>
            <w:r>
              <w:rPr>
                <w:color w:val="232733"/>
                <w:sz w:val="16"/>
                <w:szCs w:val="16"/>
              </w:rPr>
              <w:t xml:space="preserve">1,240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w:t>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400"/>
            <w:tcMar>
              <w:top w:type="dxa" w:w="50"/>
              <w:left w:type="dxa" w:w="110"/>
              <w:bottom w:type="dxa" w:w="50"/>
              <w:right w:type="dxa" w:w="110"/>
            </w:tcMar>
          </w:tcPr>
          <w:p>
            <w:pPr>
              <w:spacing w:before="26" w:after="26"/>
            </w:pPr>
            <w:r>
              <w:rPr>
                <w:color w:val="232733"/>
                <w:sz w:val="16"/>
                <w:szCs w:val="16"/>
              </w:rPr>
              <w:t xml:space="preserve">(300)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Operating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tcMar>
              <w:top w:type="dxa" w:w="50"/>
              <w:left w:type="dxa" w:w="110"/>
              <w:bottom w:type="dxa" w:w="50"/>
              <w:right w:type="dxa" w:w="110"/>
            </w:tcMar>
          </w:tcPr>
          <w:p>
            <w:pPr>
              <w:spacing w:before="26" w:after="26"/>
            </w:pPr>
            <w:r>
              <w:rPr>
                <w:color w:val="232733"/>
                <w:sz w:val="16"/>
                <w:szCs w:val="16"/>
              </w:rPr>
              <w:t xml:space="preserve">(90)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Gross profit as a percentage of sales</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income statement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Examples are leaving a major line of business or a major geographic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happen   ·   discontinued operation   ·   effect   ·   removed   ·   infrequent   ·   attention   ·   separate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8"/>
        <w:gridCol w:w="1749"/>
        <w:gridCol w:w="1374"/>
        <w:gridCol w:w="174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911"/>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16"/>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911"/>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1"/>
            <w:tcMar>
              <w:top w:type="dxa" w:w="50"/>
              <w:left w:type="dxa" w:w="110"/>
              <w:bottom w:type="dxa" w:w="50"/>
              <w:right w:type="dxa" w:w="110"/>
            </w:tcMar>
          </w:tcPr>
          <w:p>
            <w:pPr>
              <w:spacing w:before="28" w:after="28"/>
            </w:pPr>
            <w:r>
              <w:rPr>
                <w:sz w:val="15"/>
                <w:szCs w:val="15"/>
              </w:rPr>
              <w:t xml:space="preserve">(420,000)</w:t>
            </w:r>
          </w:p>
        </w:tc>
        <w:tc>
          <w:tcPr>
            <w:tcW w:type="pct" w:w="716"/>
            <w:tcMar>
              <w:top w:type="dxa" w:w="50"/>
              <w:left w:type="dxa" w:w="110"/>
              <w:bottom w:type="dxa" w:w="50"/>
              <w:right w:type="dxa" w:w="110"/>
            </w:tcMar>
          </w:tcPr>
          <w:p>
            <w:pPr>
              <w:spacing w:before="28" w:after="28"/>
            </w:pPr>
            <w:r>
              <w:rPr>
                <w:sz w:val="15"/>
                <w:szCs w:val="15"/>
              </w:rPr>
              <w:t xml:space="preserve">105,000</w:t>
            </w:r>
          </w:p>
        </w:tc>
        <w:tc>
          <w:tcPr>
            <w:tcW w:type="pct" w:w="911"/>
            <w:tcMar>
              <w:top w:type="dxa" w:w="50"/>
              <w:left w:type="dxa" w:w="110"/>
              <w:bottom w:type="dxa" w:w="50"/>
              <w:right w:type="dxa" w:w="110"/>
            </w:tcMar>
          </w:tcPr>
          <w:p>
            <w:pPr>
              <w:spacing w:before="28" w:after="28"/>
            </w:pPr>
            <w:r>
              <w:rPr>
                <w:sz w:val="15"/>
                <w:szCs w:val="15"/>
              </w:rPr>
              <w:t xml:space="preserve">(315,000)</w:t>
            </w:r>
          </w:p>
        </w:tc>
      </w:tr>
      <w:tr>
        <w:tc>
          <w:tcPr>
            <w:tcW w:type="pct" w:w="2462"/>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911"/>
            <w:shd w:fill="FBFAF6" w:val="clear"/>
            <w:tcMar>
              <w:top w:type="dxa" w:w="50"/>
              <w:left w:type="dxa" w:w="110"/>
              <w:bottom w:type="dxa" w:w="50"/>
              <w:right w:type="dxa" w:w="110"/>
            </w:tcMar>
          </w:tcPr>
          <w:p>
            <w:pPr>
              <w:spacing w:before="28" w:after="28"/>
            </w:pPr>
            <w:r>
              <w:rPr>
                <w:sz w:val="15"/>
                <w:szCs w:val="15"/>
              </w:rPr>
              <w:t xml:space="preserve">(180,000)</w:t>
            </w:r>
          </w:p>
        </w:tc>
        <w:tc>
          <w:tcPr>
            <w:tcW w:type="pct" w:w="716"/>
            <w:shd w:fill="FBFAF6" w:val="clear"/>
            <w:tcMar>
              <w:top w:type="dxa" w:w="50"/>
              <w:left w:type="dxa" w:w="110"/>
              <w:bottom w:type="dxa" w:w="50"/>
              <w:right w:type="dxa" w:w="110"/>
            </w:tcMar>
          </w:tcPr>
          <w:p>
            <w:pPr>
              <w:spacing w:before="28" w:after="28"/>
            </w:pPr>
            <w:r>
              <w:rPr>
                <w:sz w:val="15"/>
                <w:szCs w:val="15"/>
              </w:rPr>
              <w:t xml:space="preserve">45,000</w:t>
            </w:r>
          </w:p>
        </w:tc>
        <w:tc>
          <w:tcPr>
            <w:tcW w:type="pct" w:w="911"/>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11"/>
            <w:tcMar>
              <w:top w:type="dxa" w:w="50"/>
              <w:left w:type="dxa" w:w="110"/>
              <w:bottom w:type="dxa" w:w="50"/>
              <w:right w:type="dxa" w:w="110"/>
            </w:tcMar>
          </w:tcPr>
          <w:p>
            <w:pPr>
              <w:spacing w:before="28" w:after="28"/>
            </w:pPr>
            <w:r>
              <w:rPr>
                <w:sz w:val="15"/>
                <w:szCs w:val="15"/>
              </w:rPr>
              <w:t xml:space="preserve">(600,000)</w:t>
            </w:r>
          </w:p>
        </w:tc>
        <w:tc>
          <w:tcPr>
            <w:tcW w:type="pct" w:w="716"/>
            <w:tcMar>
              <w:top w:type="dxa" w:w="50"/>
              <w:left w:type="dxa" w:w="110"/>
              <w:bottom w:type="dxa" w:w="50"/>
              <w:right w:type="dxa" w:w="110"/>
            </w:tcMar>
          </w:tcPr>
          <w:p>
            <w:pPr>
              <w:spacing w:before="28" w:after="28"/>
            </w:pPr>
            <w:r>
              <w:rPr>
                <w:sz w:val="15"/>
                <w:szCs w:val="15"/>
              </w:rPr>
              <w:t xml:space="preserve">150,000</w:t>
            </w:r>
          </w:p>
        </w:tc>
        <w:tc>
          <w:tcPr>
            <w:tcW w:type="pct" w:w="911"/>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Older textbooks show earthquakes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today's exam, such an item is unusual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expropriations   ·   infrequent   ·   frameworks   ·   geographic   ·   discontinued   ·   intraperiod tax allocation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reclassification adjustment   ·   unusual or infrequent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Comprehensive income is net income plus OCI for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continuous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allowed.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consecutive   ·   comprehensive income   ·   period   ·   through   ·   Showing   ·   realized</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earnings per share (EPS)   ·   OCI; reclassified when the foreign operation is sold   ·   OCI; amortized into net income later   ·   OCI; reclassified to net income on sale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reclassifies   ·   investments   ·   remeasurements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question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balance   ·   Unrealized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OCI; reclassified to net income on sale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OCI; reclassified when the foreign operation is sold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accumulated other comprehensive income (AOCI)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OCI; amortized into net income later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estimates: useful lives, credit losses,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methods, such as FIFO or LIFO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report different profits from the same activity. </w:t>
      </w:r>
      <w:r>
        <w:rPr>
          <w:sz w:val="19"/>
          <w:szCs w:val="19"/>
        </w:rPr>
        <w:t xml:space="preserve">The income statement also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increase in the value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such as research or advertising, near the year-end. </w:t>
      </w:r>
      <w:r>
        <w:rPr>
          <w:sz w:val="19"/>
          <w:szCs w:val="19"/>
        </w:rPr>
        <w:t xml:space="preserve">Net income then moves to the statement of changes in equity, where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In the statement of cash flows,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starts from net income. </w:t>
      </w:r>
      <w:r>
        <w:rPr>
          <w:sz w:val="19"/>
          <w:szCs w:val="19"/>
        </w:rPr>
        <w:t xml:space="preserve">ASU 2024-03 (DISE) requires public companies to break down some expense captions in the notes, such as employee pay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statement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IFRS 18 replaces IAS 1 and adds required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increases   ·   unusual or infrequent item   ·   inventory   ·   depreciation   ·   testable   ·   discretionary   ·   impairment   ·   indirect   ·   leaves   ·   subtotals   ·   therefore   ·   change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Résultat and إيرادات</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French résultat means profit, not result in general, and résultat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U.S. category. </w:t>
      </w:r>
      <w:r>
        <w:rPr>
          <w:sz w:val="19"/>
          <w:szCs w:val="19"/>
        </w:rPr>
        <w:t xml:space="preserve">Arabic إيرادات can mean revenue or income; in U.S. GAAP, revenue comes from main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income is what remains after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exceptionnel   ·   activities   ·   unusual or infrequent item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Résultat and إيرادات</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 memo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Net sales</w:t>
            </w:r>
          </w:p>
        </w:tc>
        <w:tc>
          <w:tcPr>
            <w:tcW w:type="pct" w:w="2600"/>
            <w:tcMar>
              <w:top w:type="dxa" w:w="50"/>
              <w:left w:type="dxa" w:w="110"/>
              <w:bottom w:type="dxa" w:w="50"/>
              <w:right w:type="dxa" w:w="110"/>
            </w:tcMar>
          </w:tcPr>
          <w:p>
            <w:pPr>
              <w:spacing w:before="26" w:after="26"/>
            </w:pPr>
            <w:r>
              <w:rPr>
                <w:color w:val="232733"/>
                <w:sz w:val="16"/>
                <w:szCs w:val="16"/>
              </w:rPr>
              <w:t xml:space="preserve">3,400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2,040</w:t>
            </w:r>
          </w:p>
        </w:tc>
      </w:tr>
      <w:tr>
        <w:tc>
          <w:tcPr>
            <w:tcW w:type="pct" w:w="2400"/>
            <w:tcMar>
              <w:top w:type="dxa" w:w="50"/>
              <w:left w:type="dxa" w:w="110"/>
              <w:bottom w:type="dxa" w:w="50"/>
              <w:right w:type="dxa" w:w="110"/>
            </w:tcMar>
          </w:tcPr>
          <w:p>
            <w:pPr>
              <w:spacing w:before="26" w:after="26"/>
            </w:pPr>
            <w:r>
              <w:rPr>
                <w:color w:val="232733"/>
                <w:sz w:val="16"/>
                <w:szCs w:val="16"/>
              </w:rPr>
              <w:t xml:space="preserve">Wages expense</w:t>
            </w:r>
          </w:p>
        </w:tc>
        <w:tc>
          <w:tcPr>
            <w:tcW w:type="pct" w:w="2600"/>
            <w:tcMar>
              <w:top w:type="dxa" w:w="50"/>
              <w:left w:type="dxa" w:w="110"/>
              <w:bottom w:type="dxa" w:w="50"/>
              <w:right w:type="dxa" w:w="110"/>
            </w:tcMar>
          </w:tcPr>
          <w:p>
            <w:pPr>
              <w:spacing w:before="26" w:after="26"/>
            </w:pPr>
            <w:r>
              <w:rPr>
                <w:color w:val="232733"/>
                <w:sz w:val="16"/>
                <w:szCs w:val="16"/>
              </w:rPr>
              <w:t xml:space="preserve">560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Depreciation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300</w:t>
            </w:r>
          </w:p>
        </w:tc>
      </w:tr>
      <w:tr>
        <w:tc>
          <w:tcPr>
            <w:tcW w:type="pct" w:w="2400"/>
            <w:tcMar>
              <w:top w:type="dxa" w:w="50"/>
              <w:left w:type="dxa" w:w="110"/>
              <w:bottom w:type="dxa" w:w="50"/>
              <w:right w:type="dxa" w:w="110"/>
            </w:tcMar>
          </w:tcPr>
          <w:p>
            <w:pPr>
              <w:spacing w:before="26" w:after="26"/>
            </w:pPr>
            <w:r>
              <w:rPr>
                <w:color w:val="232733"/>
                <w:sz w:val="16"/>
                <w:szCs w:val="16"/>
              </w:rPr>
              <w:t xml:space="preserve">Fire loss (uninsured inventory)</w:t>
            </w:r>
          </w:p>
        </w:tc>
        <w:tc>
          <w:tcPr>
            <w:tcW w:type="pct" w:w="2600"/>
            <w:tcMar>
              <w:top w:type="dxa" w:w="50"/>
              <w:left w:type="dxa" w:w="110"/>
              <w:bottom w:type="dxa" w:w="50"/>
              <w:right w:type="dxa" w:w="110"/>
            </w:tcMar>
          </w:tcPr>
          <w:p>
            <w:pPr>
              <w:spacing w:before="26" w:after="26"/>
            </w:pPr>
            <w:r>
              <w:rPr>
                <w:color w:val="232733"/>
                <w:sz w:val="16"/>
                <w:szCs w:val="16"/>
              </w:rPr>
              <w:t xml:space="preserve">70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Lawsuit settlement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50</w:t>
            </w:r>
          </w:p>
        </w:tc>
      </w:tr>
      <w:tr>
        <w:tc>
          <w:tcPr>
            <w:tcW w:type="pct" w:w="2400"/>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August 2026 Barada sold its catering-supply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The fire loss is the uninsured inventory destroyed on February 10, 2026. Fires are unusual for Barada.</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income tax rate is 25% on all items. Barada has no other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1,240 ÷ 3,100 = 40%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unusual or infrequent item</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exceptionnel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 on sale of equipment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Net income then moves to the statement of changes in equity, where it increases retained earnings. In the statement of cash flows, the indirect method starts from net income. 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w:t>
      </w:r>
    </w:p>
    <w:p>
      <w:pPr>
        <w:spacing w:before="20" w:after="20"/>
        <w:ind w:left="240" w:hanging="240"/>
      </w:pPr>
      <w:r>
        <w:rPr>
          <w:b/>
          <w:bCs/>
          <w:color w:val="353A7C"/>
          <w:sz w:val="15"/>
          <w:szCs w:val="15"/>
        </w:rPr>
        <w:t xml:space="preserve">Summary 2   </w:t>
      </w:r>
      <w:r>
        <w:rPr>
          <w:color w:val="6B7280"/>
          <w:sz w:val="15"/>
          <w:szCs w:val="15"/>
        </w:rPr>
        <w:t xml:space="preserve">French résultat means profit, not result in general, and résultat exceptionnel is not a U.S. category. Arabic إيرادات can mean revenue or income; in U.S. GAAP, revenue comes from main activities, and income is what remains after expenses.</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in: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noncontrolling interest, if any, is shown separately within equity (Chapter 16).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Treasury   ·   Comprehensive   ·   Contributed   ·   preferred stock   ·   statement   ·   Transactions   ·   separates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date of record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Contributed capital is what owners have paid in: common stock and preferred stock at par or stated value, plus additional paid-in capital. Earned capital is retained earnings and AOCI. Treasury stock is deducted from the total. A noncontrolling interest, if any, is shown separately within equity (Chapter 16).</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method, treasury stock is recorded at the price paid and deducted from equity. </w:t>
      </w:r>
      <w:r>
        <w:rPr>
          <w:sz w:val="19"/>
          <w:szCs w:val="19"/>
        </w:rPr>
        <w:t xml:space="preserve">Shares held as treasury stock are issued shares but not outstanding shares: they receive no dividends and have no votes.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underwriting   ·   issued shares   ·   whichever   ·   credits   ·   amount   ·   stated   ·   Preferred   ·   issues   ·   account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Suppose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remaining $20,000.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debited   ·   shortfall   ·   credited   ·   treasury stock   ·   Orontes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date of record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16–24</w:t>
      </w:r>
    </w:p>
    <w:p>
      <w:pPr>
        <w:spacing w:before="20" w:after="20" w:line="360" w:lineRule="auto"/>
        <w:ind w:left="200"/>
      </w:pPr>
      <w:r>
        <w:rPr>
          <w:sz w:val="19"/>
          <w:szCs w:val="19"/>
        </w:rPr>
        <w:t xml:space="preserve">If the company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deducts treasury shares from equity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amounts   ·   retirement   ·   between   ·   beginning   ·   outstanding shares   ·   testable   ·   instead   ·   current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method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three dates. </w:t>
      </w:r>
      <w:r>
        <w:rPr>
          <w:sz w:val="19"/>
          <w:szCs w:val="19"/>
        </w:rPr>
        <w:t xml:space="preserve">On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date the company debits retained earnings and credits dividends payable, a current liability. </w:t>
      </w:r>
      <w:r>
        <w:rPr>
          <w:sz w:val="19"/>
          <w:szCs w:val="19"/>
        </w:rPr>
        <w:t xml:space="preserve">On the date of record no entry is made; it only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declared $400,000 in December 2025, so that amount is still payable at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 split   ·   decides   ·   declaration   ·   payment   ·   dividend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81"/>
        <w:gridCol w:w="3044"/>
        <w:gridCol w:w="2140"/>
        <w:gridCol w:w="193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92"/>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586"/>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92"/>
            <w:tcMar>
              <w:top w:type="dxa" w:w="50"/>
              <w:left w:type="dxa" w:w="110"/>
              <w:bottom w:type="dxa" w:w="50"/>
              <w:right w:type="dxa" w:w="110"/>
            </w:tcMar>
          </w:tcPr>
          <w:p>
            <w:pPr>
              <w:spacing w:before="28" w:after="28"/>
            </w:pPr>
            <w:r>
              <w:rPr>
                <w:sz w:val="15"/>
                <w:szCs w:val="15"/>
              </w:rPr>
              <w:t xml:space="preserve">Cash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liability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586"/>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Scrip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114"/>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Small stock dividend (below about 20–25%)</w:t>
            </w:r>
          </w:p>
        </w:tc>
        <w:tc>
          <w:tcPr>
            <w:tcW w:type="pct" w:w="1586"/>
            <w:tcMar>
              <w:top w:type="dxa" w:w="50"/>
              <w:left w:type="dxa" w:w="110"/>
              <w:bottom w:type="dxa" w:w="50"/>
              <w:right w:type="dxa" w:w="110"/>
            </w:tcMar>
          </w:tcPr>
          <w:p>
            <w:pPr>
              <w:spacing w:before="28" w:after="28"/>
            </w:pPr>
            <w:r>
              <w:rPr>
                <w:sz w:val="15"/>
                <w:szCs w:val="15"/>
              </w:rPr>
              <w:t xml:space="preserve">Fair value of the shares</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No change</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92"/>
            <w:tcMar>
              <w:top w:type="dxa" w:w="50"/>
              <w:left w:type="dxa" w:w="110"/>
              <w:bottom w:type="dxa" w:w="50"/>
              <w:right w:type="dxa" w:w="110"/>
            </w:tcMar>
          </w:tcPr>
          <w:p>
            <w:pPr>
              <w:spacing w:before="28" w:after="28"/>
            </w:pPr>
            <w:r>
              <w:rPr>
                <w:sz w:val="15"/>
                <w:szCs w:val="15"/>
              </w:rPr>
              <w:t xml:space="preserve">Stock split</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14"/>
            <w:tcMar>
              <w:top w:type="dxa" w:w="50"/>
              <w:left w:type="dxa" w:w="110"/>
              <w:bottom w:type="dxa" w:w="50"/>
              <w:right w:type="dxa" w:w="110"/>
            </w:tcMar>
          </w:tcPr>
          <w:p>
            <w:pPr>
              <w:spacing w:before="28" w:after="28"/>
            </w:pPr>
            <w:r>
              <w:rPr>
                <w:sz w:val="15"/>
                <w:szCs w:val="15"/>
              </w:rPr>
              <w:t xml:space="preserve">No change</w:t>
            </w:r>
          </w:p>
        </w:tc>
        <w:tc>
          <w:tcPr>
            <w:tcW w:type="pct" w:w="1008"/>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Face value of the note   ·   Fair value of the shares   ·   Amount declared   ·   No entry; par per share falls   ·   Amount beyond retained earnings   ·   Par value of the shares</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stock dividend gives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stock dividend   ·   outstanding   ·   shareholders   ·   instead</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Small stock dividend at fair value; large stock dividend at par. </w:t>
      </w:r>
      <w:r>
        <w:rPr>
          <w:sz w:val="19"/>
          <w:szCs w:val="19"/>
        </w:rPr>
        <w:t xml:space="preserve">Use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distributable   ·   outstanding   ·   stock dividend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Amount beyond retained earnings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entry; par per share falls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Retained earnings are the profits a company has kept since it began, less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retained earnings stay within equity; no costs are ever charged to them. </w:t>
      </w:r>
      <w:r>
        <w:rPr>
          <w:sz w:val="19"/>
          <w:szCs w:val="19"/>
        </w:rPr>
        <w:t xml:space="preserve">If a company finds an error in earlier 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does not correct it through this year's net income. </w:t>
      </w:r>
      <w:r>
        <w:rPr>
          <w:sz w:val="19"/>
          <w:szCs w:val="19"/>
        </w:rPr>
        <w:t xml:space="preserve">It makes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it restates the earlier years and adjusts the opening balance of retained earnings, net of tax. </w:t>
      </w:r>
      <w:r>
        <w:rPr>
          <w:sz w:val="19"/>
          <w:szCs w:val="19"/>
        </w:rPr>
        <w:t xml:space="preserve">Retained earnings may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law or by loan covenants.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disclosed in the notes. </w:t>
      </w:r>
      <w:r>
        <w:rPr>
          <w:sz w:val="19"/>
          <w:szCs w:val="19"/>
        </w:rPr>
        <w:t xml:space="preserve">They 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statements   ·   restricted   ·   contributed capital   ·   prior-period   ·   appropriated   ·   Restrictions   ·   change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 احتياطيات, réserves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IFRS and in MENA company law, reserves (احتياطيات, réserves) can mean a legal reserve,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not) and AOCI. </w:t>
      </w:r>
      <w:r>
        <w:rPr>
          <w:sz w:val="19"/>
          <w:szCs w:val="19"/>
        </w:rPr>
        <w:t xml:space="preserve">French report à nouveau is only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part of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carried-forward   ·   simply   ·   appropriated   ·   revaluation   ·   prior-period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prior-period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carried-forward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(احتياطيات, réserves) can mean a legal reserve, a revaluation surplus, a translation reserve or share premium. None of these is simply retained earnings. On a U.S. exam, separate APIC, retained earnings (appropriated or not) and AOCI. French report à nouveau is only the carried-forward part of retained earnings.</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comprehensive income, and dividends and share issues from the company's owner transactions.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today's   ·   distribute   ·   liabilities   ·   Treasury   ·   accounting   ·   know-how   ·   capital   ·   historical   ·   stock split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Current liability</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Deduction from equity   ·   Earned capital</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Deduction from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payments for a period. </w:t>
      </w:r>
      <w:r>
        <w:rPr>
          <w:sz w:val="19"/>
          <w:szCs w:val="19"/>
        </w:rPr>
        <w:t xml:space="preserve">Users need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whether the company can produce cash, pay its debts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explains the change in cash, cash equivalents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short-term, highly liquid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Moving money between these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a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investments   ·   company's   ·   restricted   ·   cash equivalents   ·   dividends   ·   categories   ·   because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tcMar>
              <w:top w:type="dxa" w:w="50"/>
              <w:left w:type="dxa" w:w="110"/>
              <w:bottom w:type="dxa" w:w="50"/>
              <w:right w:type="dxa" w:w="110"/>
            </w:tcMar>
          </w:tcPr>
          <w:p>
            <w:pPr>
              <w:spacing w:before="26" w:after="26"/>
            </w:pPr>
            <w:r>
              <w:rPr>
                <w:b/>
                <w:bCs/>
                <w:color w:val="353A7C"/>
                <w:sz w:val="15"/>
                <w:szCs w:val="15"/>
              </w:rPr>
              <w:t xml:space="preserve">Orontes Foods Inc., year ended December 31, 2025</w:t>
            </w:r>
          </w:p>
        </w:tc>
        <w:tc>
          <w:tcPr>
            <w:tcW w:type="pct" w:w="2400"/>
            <w:tcMar>
              <w:top w:type="dxa" w:w="50"/>
              <w:left w:type="dxa" w:w="110"/>
              <w:bottom w:type="dxa" w:w="50"/>
              <w:right w:type="dxa" w:w="110"/>
            </w:tcMar>
          </w:tcPr>
          <w:p>
            <w:pPr>
              <w:spacing w:before="26" w:after="26"/>
            </w:pPr>
            <w:r>
              <w:rPr>
                <w:b/>
                <w:bCs/>
                <w:color w:val="353A7C"/>
                <w:sz w:val="15"/>
                <w:szCs w:val="15"/>
              </w:rPr>
              <w:t xml:space="preserve">2025</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2,969,100</w:t>
            </w:r>
          </w:p>
        </w:tc>
      </w:tr>
      <w:tr>
        <w:tc>
          <w:tcPr>
            <w:tcW w:type="pct" w:w="2600"/>
            <w:tcMar>
              <w:top w:type="dxa" w:w="50"/>
              <w:left w:type="dxa" w:w="110"/>
              <w:bottom w:type="dxa" w:w="50"/>
              <w:right w:type="dxa" w:w="110"/>
            </w:tcMar>
          </w:tcPr>
          <w:p>
            <w:pPr>
              <w:spacing w:before="26" w:after="26"/>
            </w:pPr>
            <w:r>
              <w:rPr>
                <w:color w:val="232733"/>
                <w:sz w:val="16"/>
                <w:szCs w:val="16"/>
              </w:rPr>
              <w:t xml:space="preserve">Adjustments to reconcile net income to net cash from operating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tcMar>
              <w:top w:type="dxa" w:w="50"/>
              <w:left w:type="dxa" w:w="110"/>
              <w:bottom w:type="dxa" w:w="50"/>
              <w:right w:type="dxa" w:w="110"/>
            </w:tcMar>
          </w:tcPr>
          <w:p>
            <w:pPr>
              <w:spacing w:before="26" w:after="26"/>
            </w:pPr>
            <w:r>
              <w:rPr>
                <w:color w:val="232733"/>
                <w:sz w:val="16"/>
                <w:szCs w:val="16"/>
              </w:rPr>
              <w:t xml:space="preserve">Impairment losses</w:t>
            </w:r>
          </w:p>
        </w:tc>
        <w:tc>
          <w:tcPr>
            <w:tcW w:type="pct" w:w="2400"/>
            <w:tcMar>
              <w:top w:type="dxa" w:w="50"/>
              <w:left w:type="dxa" w:w="110"/>
              <w:bottom w:type="dxa" w:w="50"/>
              <w:right w:type="dxa" w:w="110"/>
            </w:tcMar>
          </w:tcPr>
          <w:p>
            <w:pPr>
              <w:spacing w:before="26" w:after="26"/>
            </w:pPr>
            <w:r>
              <w:rPr>
                <w:color w:val="232733"/>
                <w:sz w:val="16"/>
                <w:szCs w:val="16"/>
              </w:rPr>
              <w:t xml:space="preserve">2,724,000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Equity-method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(177,000)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from equity-method investees</w:t>
            </w:r>
          </w:p>
        </w:tc>
        <w:tc>
          <w:tcPr>
            <w:tcW w:type="pct" w:w="2400"/>
            <w:tcMar>
              <w:top w:type="dxa" w:w="50"/>
              <w:left w:type="dxa" w:w="110"/>
              <w:bottom w:type="dxa" w:w="50"/>
              <w:right w:type="dxa" w:w="110"/>
            </w:tcMar>
          </w:tcPr>
          <w:p>
            <w:pPr>
              <w:spacing w:before="26" w:after="26"/>
            </w:pPr>
            <w:r>
              <w:rPr>
                <w:color w:val="232733"/>
                <w:sz w:val="16"/>
                <w:szCs w:val="16"/>
              </w:rPr>
              <w:t xml:space="preserve">70,000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w:t>
            </w:r>
          </w:p>
        </w:tc>
      </w:tr>
      <w:tr>
        <w:tc>
          <w:tcPr>
            <w:tcW w:type="pct" w:w="2600"/>
            <w:tcMar>
              <w:top w:type="dxa" w:w="50"/>
              <w:left w:type="dxa" w:w="110"/>
              <w:bottom w:type="dxa" w:w="50"/>
              <w:right w:type="dxa" w:w="110"/>
            </w:tcMar>
          </w:tcPr>
          <w:p>
            <w:pPr>
              <w:spacing w:before="26" w:after="26"/>
            </w:pPr>
            <w:r>
              <w:rPr>
                <w:color w:val="232733"/>
                <w:sz w:val="16"/>
                <w:szCs w:val="16"/>
              </w:rPr>
              <w:t xml:space="preserve">Unrealized gains on securities</w:t>
            </w:r>
          </w:p>
        </w:tc>
        <w:tc>
          <w:tcPr>
            <w:tcW w:type="pct" w:w="2400"/>
            <w:tcMar>
              <w:top w:type="dxa" w:w="50"/>
              <w:left w:type="dxa" w:w="110"/>
              <w:bottom w:type="dxa" w:w="50"/>
              <w:right w:type="dxa" w:w="110"/>
            </w:tcMar>
          </w:tcPr>
          <w:p>
            <w:pPr>
              <w:spacing w:before="26" w:after="26"/>
            </w:pPr>
            <w:r>
              <w:rPr>
                <w:color w:val="232733"/>
                <w:sz w:val="16"/>
                <w:szCs w:val="16"/>
              </w:rPr>
              <w:t xml:space="preserve">(4,000)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income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100,000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accounts receivable, net</w:t>
            </w:r>
          </w:p>
        </w:tc>
        <w:tc>
          <w:tcPr>
            <w:tcW w:type="pct" w:w="2400"/>
            <w:tcMar>
              <w:top w:type="dxa" w:w="50"/>
              <w:left w:type="dxa" w:w="110"/>
              <w:bottom w:type="dxa" w:w="50"/>
              <w:right w:type="dxa" w:w="110"/>
            </w:tcMar>
          </w:tcPr>
          <w:p>
            <w:pPr>
              <w:spacing w:before="26" w:after="26"/>
            </w:pPr>
            <w:r>
              <w:rPr>
                <w:color w:val="232733"/>
                <w:sz w:val="16"/>
                <w:szCs w:val="16"/>
              </w:rPr>
              <w:t xml:space="preserve">(384,000)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inventory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prepaid expenses</w:t>
            </w:r>
          </w:p>
        </w:tc>
        <w:tc>
          <w:tcPr>
            <w:tcW w:type="pct" w:w="2400"/>
            <w:tcMar>
              <w:top w:type="dxa" w:w="50"/>
              <w:left w:type="dxa" w:w="110"/>
              <w:bottom w:type="dxa" w:w="50"/>
              <w:right w:type="dxa" w:w="110"/>
            </w:tcMar>
          </w:tcPr>
          <w:p>
            <w:pPr>
              <w:spacing w:before="26" w:after="26"/>
            </w:pPr>
            <w:r>
              <w:rPr>
                <w:color w:val="232733"/>
                <w:sz w:val="16"/>
                <w:szCs w:val="16"/>
              </w:rPr>
              <w:t xml:space="preserve">(24,000)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accounts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accrued liabilities</w:t>
            </w:r>
          </w:p>
        </w:tc>
        <w:tc>
          <w:tcPr>
            <w:tcW w:type="pct" w:w="2400"/>
            <w:tcMar>
              <w:top w:type="dxa" w:w="50"/>
              <w:left w:type="dxa" w:w="110"/>
              <w:bottom w:type="dxa" w:w="50"/>
              <w:right w:type="dxa" w:w="110"/>
            </w:tcMar>
          </w:tcPr>
          <w:p>
            <w:pPr>
              <w:spacing w:before="26" w:after="26"/>
            </w:pPr>
            <w:r>
              <w:rPr>
                <w:color w:val="232733"/>
                <w:sz w:val="16"/>
                <w:szCs w:val="16"/>
              </w:rPr>
              <w:t xml:space="preserve">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Increase in income taxes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Increase in contract liabilities</w:t>
            </w:r>
          </w:p>
        </w:tc>
        <w:tc>
          <w:tcPr>
            <w:tcW w:type="pct" w:w="2400"/>
            <w:tcMar>
              <w:top w:type="dxa" w:w="50"/>
              <w:left w:type="dxa" w:w="110"/>
              <w:bottom w:type="dxa" w:w="50"/>
              <w:right w:type="dxa" w:w="110"/>
            </w:tcMar>
          </w:tcPr>
          <w:p>
            <w:pPr>
              <w:spacing w:before="26" w:after="26"/>
            </w:pPr>
            <w:r>
              <w:rPr>
                <w:color w:val="232733"/>
                <w:sz w:val="16"/>
                <w:szCs w:val="16"/>
              </w:rPr>
              <w:t xml:space="preserve">60,000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cash provided by operating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7,531,100</w:t>
            </w:r>
          </w:p>
        </w:tc>
      </w:tr>
      <w:tr>
        <w:tc>
          <w:tcPr>
            <w:tcW w:type="pct" w:w="2600"/>
            <w:tcMar>
              <w:top w:type="dxa" w:w="50"/>
              <w:left w:type="dxa" w:w="110"/>
              <w:bottom w:type="dxa" w:w="50"/>
              <w:right w:type="dxa" w:w="110"/>
            </w:tcMar>
          </w:tcPr>
          <w:p>
            <w:pPr>
              <w:spacing w:before="26" w:after="26"/>
            </w:pPr>
            <w:r>
              <w:rPr>
                <w:color w:val="232733"/>
                <w:sz w:val="16"/>
                <w:szCs w:val="16"/>
              </w:rPr>
              <w:t xml:space="preserve">Cash flows from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property, plant and equipment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2400"/>
            <w:tcMar>
              <w:top w:type="dxa" w:w="50"/>
              <w:left w:type="dxa" w:w="110"/>
              <w:bottom w:type="dxa" w:w="50"/>
              <w:right w:type="dxa" w:w="110"/>
            </w:tcMar>
          </w:tcPr>
          <w:p>
            <w:pPr>
              <w:spacing w:before="26" w:after="26"/>
            </w:pPr>
            <w:r>
              <w:rPr>
                <w:color w:val="232733"/>
                <w:sz w:val="16"/>
                <w:szCs w:val="16"/>
              </w:rPr>
              <w:t xml:space="preserve">21,000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Investment in Jordan Glass Co.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(1,200,000)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used in investing activities</w:t>
            </w:r>
          </w:p>
        </w:tc>
        <w:tc>
          <w:tcPr>
            <w:tcW w:type="pct" w:w="2400"/>
            <w:tcMar>
              <w:top w:type="dxa" w:w="50"/>
              <w:left w:type="dxa" w:w="110"/>
              <w:bottom w:type="dxa" w:w="50"/>
              <w:right w:type="dxa" w:w="110"/>
            </w:tcMar>
          </w:tcPr>
          <w:p>
            <w:pPr>
              <w:spacing w:before="26" w:after="26"/>
            </w:pPr>
            <w:r>
              <w:rPr>
                <w:color w:val="232733"/>
                <w:sz w:val="16"/>
                <w:szCs w:val="16"/>
              </w:rPr>
              <w:t xml:space="preserve">(4,179,000)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flows from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Issuance of common stock</w:t>
            </w:r>
          </w:p>
        </w:tc>
        <w:tc>
          <w:tcPr>
            <w:tcW w:type="pct" w:w="2400"/>
            <w:tcMar>
              <w:top w:type="dxa" w:w="50"/>
              <w:left w:type="dxa" w:w="110"/>
              <w:bottom w:type="dxa" w:w="50"/>
              <w:right w:type="dxa" w:w="110"/>
            </w:tcMar>
          </w:tcPr>
          <w:p>
            <w:pPr>
              <w:spacing w:before="26" w:after="26"/>
            </w:pPr>
            <w:r>
              <w:rPr>
                <w:color w:val="232733"/>
                <w:sz w:val="16"/>
                <w:szCs w:val="16"/>
              </w:rPr>
              <w:t xml:space="preserve">1,500,000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bank note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600"/>
            <w:tcMar>
              <w:top w:type="dxa" w:w="50"/>
              <w:left w:type="dxa" w:w="110"/>
              <w:bottom w:type="dxa" w:w="50"/>
              <w:right w:type="dxa" w:w="110"/>
            </w:tcMar>
          </w:tcPr>
          <w:p>
            <w:pPr>
              <w:spacing w:before="26" w:after="26"/>
            </w:pPr>
            <w:r>
              <w:rPr>
                <w:color w:val="232733"/>
                <w:sz w:val="16"/>
                <w:szCs w:val="16"/>
              </w:rPr>
              <w:t xml:space="preserve">Repayment of long-term debt</w:t>
            </w:r>
          </w:p>
        </w:tc>
        <w:tc>
          <w:tcPr>
            <w:tcW w:type="pct" w:w="2400"/>
            <w:tcMar>
              <w:top w:type="dxa" w:w="50"/>
              <w:left w:type="dxa" w:w="110"/>
              <w:bottom w:type="dxa" w:w="50"/>
              <w:right w:type="dxa" w:w="110"/>
            </w:tcMar>
          </w:tcPr>
          <w:p>
            <w:pPr>
              <w:spacing w:before="26" w:after="26"/>
            </w:pPr>
            <w:r>
              <w:rPr>
                <w:color w:val="232733"/>
                <w:sz w:val="16"/>
                <w:szCs w:val="16"/>
              </w:rPr>
              <w:t xml:space="preserve">(400,000)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(50,000)</w:t>
            </w:r>
          </w:p>
        </w:tc>
      </w:tr>
      <w:tr>
        <w:tc>
          <w:tcPr>
            <w:tcW w:type="pct" w:w="2600"/>
            <w:tcMar>
              <w:top w:type="dxa" w:w="50"/>
              <w:left w:type="dxa" w:w="110"/>
              <w:bottom w:type="dxa" w:w="50"/>
              <w:right w:type="dxa" w:w="110"/>
            </w:tcMar>
          </w:tcPr>
          <w:p>
            <w:pPr>
              <w:spacing w:before="26" w:after="26"/>
            </w:pPr>
            <w:r>
              <w:rPr>
                <w:color w:val="232733"/>
                <w:sz w:val="16"/>
                <w:szCs w:val="16"/>
              </w:rPr>
              <w:t xml:space="preserve">Net cash provided by financing activities</w:t>
            </w:r>
          </w:p>
        </w:tc>
        <w:tc>
          <w:tcPr>
            <w:tcW w:type="pct" w:w="2400"/>
            <w:tcMar>
              <w:top w:type="dxa" w:w="50"/>
              <w:left w:type="dxa" w:w="110"/>
              <w:bottom w:type="dxa" w:w="50"/>
              <w:right w:type="dxa" w:w="110"/>
            </w:tcMar>
          </w:tcPr>
          <w:p>
            <w:pPr>
              <w:spacing w:before="26" w:after="26"/>
            </w:pPr>
            <w:r>
              <w:rPr>
                <w:color w:val="232733"/>
                <w:sz w:val="16"/>
                <w:szCs w:val="16"/>
              </w:rPr>
              <w:t xml:space="preserve">1,850,000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increase in cash</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5,202,100</w:t>
            </w:r>
          </w:p>
        </w:tc>
      </w:tr>
      <w:tr>
        <w:tc>
          <w:tcPr>
            <w:tcW w:type="pct" w:w="2600"/>
            <w:tcMar>
              <w:top w:type="dxa" w:w="50"/>
              <w:left w:type="dxa" w:w="110"/>
              <w:bottom w:type="dxa" w:w="50"/>
              <w:right w:type="dxa" w:w="110"/>
            </w:tcMar>
          </w:tcPr>
          <w:p>
            <w:pPr>
              <w:spacing w:before="26" w:after="26"/>
            </w:pPr>
            <w:r>
              <w:rPr>
                <w:color w:val="232733"/>
                <w:sz w:val="16"/>
                <w:szCs w:val="16"/>
              </w:rPr>
              <w:t xml:space="preserve">Cash, January 1, 2025</w:t>
            </w:r>
          </w:p>
        </w:tc>
        <w:tc>
          <w:tcPr>
            <w:tcW w:type="pct" w:w="2400"/>
            <w:tcMar>
              <w:top w:type="dxa" w:w="50"/>
              <w:left w:type="dxa" w:w="110"/>
              <w:bottom w:type="dxa" w:w="50"/>
              <w:right w:type="dxa" w:w="110"/>
            </w:tcMar>
          </w:tcPr>
          <w:p>
            <w:pPr>
              <w:spacing w:before="26" w:after="26"/>
            </w:pPr>
            <w:r>
              <w:rPr>
                <w:color w:val="232733"/>
                <w:sz w:val="16"/>
                <w:szCs w:val="16"/>
              </w:rPr>
              <w:t xml:space="preserve">2,100,000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 December 31, 2025</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7,302,100</w:t>
            </w:r>
          </w:p>
        </w:tc>
      </w:tr>
      <w:tr>
        <w:tc>
          <w:tcPr>
            <w:tcW w:type="pct" w:w="2600"/>
            <w:tcMar>
              <w:top w:type="dxa" w:w="50"/>
              <w:left w:type="dxa" w:w="110"/>
              <w:bottom w:type="dxa" w:w="50"/>
              <w:right w:type="dxa" w:w="110"/>
            </w:tcMar>
          </w:tcPr>
          <w:p>
            <w:pPr>
              <w:spacing w:before="26" w:after="26"/>
            </w:pPr>
            <w:r>
              <w:rPr>
                <w:color w:val="232733"/>
                <w:sz w:val="16"/>
                <w:szCs w:val="16"/>
              </w:rPr>
              <w:t xml:space="preserve">Supplemental disclosures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paid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390,000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paid</w:t>
            </w:r>
          </w:p>
        </w:tc>
        <w:tc>
          <w:tcPr>
            <w:tcW w:type="pct" w:w="2400"/>
            <w:tcMar>
              <w:top w:type="dxa" w:w="50"/>
              <w:left w:type="dxa" w:w="110"/>
              <w:bottom w:type="dxa" w:w="50"/>
              <w:right w:type="dxa" w:w="110"/>
            </w:tcMar>
          </w:tcPr>
          <w:p>
            <w:pPr>
              <w:spacing w:before="26" w:after="26"/>
            </w:pPr>
            <w:r>
              <w:rPr>
                <w:color w:val="232733"/>
                <w:sz w:val="16"/>
                <w:szCs w:val="16"/>
              </w:rPr>
              <w:t xml:space="preserve">839,700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none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categories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principal, and paying dividends. </w:t>
      </w:r>
      <w:r>
        <w:rPr>
          <w:sz w:val="19"/>
          <w:szCs w:val="19"/>
        </w:rPr>
        <w:t xml:space="preserve">Orontes received $1,500,000 from its share issue and $800,000 from the bank note, repaid $400,000 of debt and paid $50,000 of dividends.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borrowing   ·   securities   ·   long-term   ·   suppliers   ·   lenders   ·   customers   ·   financing activities</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financing activities   ·   Interest received</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Some investing and financing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IAS 7 today, interest paid can be operating or financing, and interest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statement   ·   transactions   ·   direct method   ·   activities   ·   issuing   ·   separately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equivalents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investing activities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noncash investing and financing activities   ·   financing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noncash investing and 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issuing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r>
        <w:rPr>
          <w:sz w:val="19"/>
          <w:szCs w:val="19"/>
        </w:rPr>
        <w:t xml:space="preserve">First, add back noncash expenses and losses, such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impairments and an increase in deferred tax liabilities. </w:t>
      </w:r>
      <w:r>
        <w:rPr>
          <w:sz w:val="19"/>
          <w:szCs w:val="19"/>
        </w:rPr>
        <w:t xml:space="preserve">Second, remove gains and losses on investing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items; the cash from those sales belongs in investing. </w:t>
      </w:r>
      <w:r>
        <w:rPr>
          <w:sz w:val="19"/>
          <w:szCs w:val="19"/>
        </w:rPr>
        <w:t xml:space="preserve">Also subtract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which is not cash, and add the dividends received from the investee.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equity-method   ·   indirect method   ·   depreciation   ·   activities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 Second, remove gains and losses on investing and financing items; the cash from those sales belongs in investing. Also subtract equity-method income, which is not cash, and add the dividends received from the investee.</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suppliers. </w:t>
      </w:r>
      <w:r>
        <w:rPr>
          <w:sz w:val="19"/>
          <w:szCs w:val="19"/>
        </w:rPr>
        <w:t xml:space="preserve">The FASB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customers   ·   reconciliation   ·   encourages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Net cash provided by operating activities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A company using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method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Interest and dividends received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Finally,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Finally   ·   manage   ·   Important   ·   suppliers   ·   impossible   ·   classifications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August 2026 the FASB proposed new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about the parts of cash equivalents and about some digital assets. </w:t>
      </w:r>
      <w:r>
        <w:rPr>
          <w:sz w:val="19"/>
          <w:szCs w:val="19"/>
        </w:rPr>
        <w:t xml:space="preserve">It is only a proposal;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cash equivalents does not change. </w:t>
      </w:r>
      <w:r>
        <w:rPr>
          <w:sz w:val="19"/>
          <w:szCs w:val="19"/>
        </w:rPr>
        <w:t xml:space="preserve">ASU 2023-09 already requires income taxes paid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financing activities   ·   jurisdiction   ·   definition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French tableau 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an older funds statement based on working capital, not a statement of cash flows. </w:t>
      </w:r>
      <w:r>
        <w:rPr>
          <w:sz w:val="19"/>
          <w:szCs w:val="19"/>
        </w:rPr>
        <w:t xml:space="preserve">The IFRS term is tableau des flux de trésorerie. </w:t>
      </w:r>
      <w:r>
        <w:rPr>
          <w:sz w:val="19"/>
          <w:szCs w:val="19"/>
        </w:rPr>
        <w:t xml:space="preserve">Arabic قائمة التدفقات النقدية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term for this statement.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financement   ·   correct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598"/>
        <w:gridCol w:w="201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600"/>
            <w:tcMar>
              <w:top w:type="dxa" w:w="50"/>
              <w:left w:type="dxa" w:w="110"/>
              <w:bottom w:type="dxa" w:w="50"/>
              <w:right w:type="dxa" w:w="110"/>
            </w:tcMar>
          </w:tcPr>
          <w:p>
            <w:pPr>
              <w:spacing w:before="26" w:after="26"/>
            </w:pPr>
            <w:r>
              <w:rPr>
                <w:b/>
                <w:bCs/>
                <w:color w:val="353A7C"/>
                <w:sz w:val="15"/>
                <w:szCs w:val="15"/>
              </w:rPr>
              <w:t xml:space="preserve">Barada Wholesale (USD 000)</w:t>
            </w:r>
          </w:p>
        </w:tc>
        <w:tc>
          <w:tcPr>
            <w:tcW w:type="pct" w:w="1353"/>
            <w:tcMar>
              <w:top w:type="dxa" w:w="50"/>
              <w:left w:type="dxa" w:w="110"/>
              <w:bottom w:type="dxa" w:w="50"/>
              <w:right w:type="dxa" w:w="110"/>
            </w:tcMar>
          </w:tcPr>
          <w:p>
            <w:pPr>
              <w:spacing w:before="26" w:after="26"/>
            </w:pPr>
            <w:r>
              <w:rPr>
                <w:b/>
                <w:bCs/>
                <w:color w:val="353A7C"/>
                <w:sz w:val="15"/>
                <w:szCs w:val="15"/>
              </w:rPr>
              <w:t xml:space="preserve">Amount, or balance at Dec 31, 2025</w:t>
            </w:r>
          </w:p>
        </w:tc>
        <w:tc>
          <w:tcPr>
            <w:tcW w:type="pct" w:w="1047"/>
            <w:tcMar>
              <w:top w:type="dxa" w:w="50"/>
              <w:left w:type="dxa" w:w="110"/>
              <w:bottom w:type="dxa" w:w="50"/>
              <w:right w:type="dxa" w:w="110"/>
            </w:tcMar>
          </w:tcPr>
          <w:p>
            <w:pPr>
              <w:spacing w:before="26" w:after="26"/>
            </w:pPr>
            <w:r>
              <w:rPr>
                <w:b/>
                <w:bCs/>
                <w:color w:val="353A7C"/>
                <w:sz w:val="15"/>
                <w:szCs w:val="15"/>
              </w:rPr>
              <w:t xml:space="preserve">Balance at Dec 31, 2026</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 items, 2026</w:t>
            </w:r>
          </w:p>
        </w:tc>
        <w:tc>
          <w:tcPr>
            <w:tcW w:type="pct" w:w="1353"/>
            <w:tcMar>
              <w:top w:type="dxa" w:w="50"/>
              <w:left w:type="dxa" w:w="110"/>
              <w:bottom w:type="dxa" w:w="50"/>
              <w:right w:type="dxa" w:w="110"/>
            </w:tcMar>
          </w:tcPr>
          <w:p>
            <w:pPr>
              <w:spacing w:before="26" w:after="26"/>
            </w:pPr>
            <w:r>
              <w:rPr>
                <w:color w:val="232733"/>
                <w:sz w:val="16"/>
                <w:szCs w:val="16"/>
              </w:rPr>
              <w:t xml:space="preserve"/>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165</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353"/>
            <w:tcMar>
              <w:top w:type="dxa" w:w="50"/>
              <w:left w:type="dxa" w:w="110"/>
              <w:bottom w:type="dxa" w:w="50"/>
              <w:right w:type="dxa" w:w="110"/>
            </w:tcMar>
          </w:tcPr>
          <w:p>
            <w:pPr>
              <w:spacing w:before="26" w:after="26"/>
            </w:pPr>
            <w:r>
              <w:rPr>
                <w:color w:val="232733"/>
                <w:sz w:val="16"/>
                <w:szCs w:val="16"/>
              </w:rPr>
              <w:t xml:space="preserve">300</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 on sale of equipment</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20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Loss on sale of the catering-supply division</w:t>
            </w:r>
          </w:p>
        </w:tc>
        <w:tc>
          <w:tcPr>
            <w:tcW w:type="pct" w:w="1353"/>
            <w:tcMar>
              <w:top w:type="dxa" w:w="50"/>
              <w:left w:type="dxa" w:w="110"/>
              <w:bottom w:type="dxa" w:w="50"/>
              <w:right w:type="dxa" w:w="110"/>
            </w:tcMar>
          </w:tcPr>
          <w:p>
            <w:pPr>
              <w:spacing w:before="26" w:after="26"/>
            </w:pPr>
            <w:r>
              <w:rPr>
                <w:color w:val="232733"/>
                <w:sz w:val="16"/>
                <w:szCs w:val="16"/>
              </w:rPr>
              <w:t xml:space="preserve">40</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Balances</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 net</w:t>
            </w:r>
          </w:p>
        </w:tc>
        <w:tc>
          <w:tcPr>
            <w:tcW w:type="pct" w:w="1353"/>
            <w:tcMar>
              <w:top w:type="dxa" w:w="50"/>
              <w:left w:type="dxa" w:w="110"/>
              <w:bottom w:type="dxa" w:w="50"/>
              <w:right w:type="dxa" w:w="110"/>
            </w:tcMar>
          </w:tcPr>
          <w:p>
            <w:pPr>
              <w:spacing w:before="26" w:after="26"/>
            </w:pPr>
            <w:r>
              <w:rPr>
                <w:color w:val="232733"/>
                <w:sz w:val="16"/>
                <w:szCs w:val="16"/>
              </w:rPr>
              <w:t xml:space="preserve">280</w:t>
            </w:r>
          </w:p>
        </w:tc>
        <w:tc>
          <w:tcPr>
            <w:tcW w:type="pct" w:w="1047"/>
            <w:tcMar>
              <w:top w:type="dxa" w:w="50"/>
              <w:left w:type="dxa" w:w="110"/>
              <w:bottom w:type="dxa" w:w="50"/>
              <w:right w:type="dxa" w:w="110"/>
            </w:tcMar>
          </w:tcPr>
          <w:p>
            <w:pPr>
              <w:spacing w:before="26" w:after="26"/>
            </w:pPr>
            <w:r>
              <w:rPr>
                <w:color w:val="232733"/>
                <w:sz w:val="16"/>
                <w:szCs w:val="16"/>
              </w:rPr>
              <w:t xml:space="preserve">310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390</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353"/>
            <w:tcMar>
              <w:top w:type="dxa" w:w="50"/>
              <w:left w:type="dxa" w:w="110"/>
              <w:bottom w:type="dxa" w:w="50"/>
              <w:right w:type="dxa" w:w="110"/>
            </w:tcMar>
          </w:tcPr>
          <w:p>
            <w:pPr>
              <w:spacing w:before="26" w:after="26"/>
            </w:pPr>
            <w:r>
              <w:rPr>
                <w:color w:val="232733"/>
                <w:sz w:val="16"/>
                <w:szCs w:val="16"/>
              </w:rPr>
              <w:t xml:space="preserve">24</w:t>
            </w:r>
          </w:p>
        </w:tc>
        <w:tc>
          <w:tcPr>
            <w:tcW w:type="pct" w:w="1047"/>
            <w:tcMar>
              <w:top w:type="dxa" w:w="50"/>
              <w:left w:type="dxa" w:w="110"/>
              <w:bottom w:type="dxa" w:w="50"/>
              <w:right w:type="dxa" w:w="110"/>
            </w:tcMar>
          </w:tcPr>
          <w:p>
            <w:pPr>
              <w:spacing w:before="26" w:after="26"/>
            </w:pPr>
            <w:r>
              <w:rPr>
                <w:color w:val="232733"/>
                <w:sz w:val="16"/>
                <w:szCs w:val="16"/>
              </w:rPr>
              <w:t xml:space="preserve">26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380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410</w:t>
            </w:r>
          </w:p>
        </w:tc>
      </w:tr>
      <w:tr>
        <w:tc>
          <w:tcPr>
            <w:tcW w:type="pct" w:w="2600"/>
            <w:tcMar>
              <w:top w:type="dxa" w:w="50"/>
              <w:left w:type="dxa" w:w="110"/>
              <w:bottom w:type="dxa" w:w="50"/>
              <w:right w:type="dxa" w:w="110"/>
            </w:tcMar>
          </w:tcPr>
          <w:p>
            <w:pPr>
              <w:spacing w:before="26" w:after="26"/>
            </w:pPr>
            <w:r>
              <w:rPr>
                <w:color w:val="232733"/>
                <w:sz w:val="16"/>
                <w:szCs w:val="16"/>
              </w:rPr>
              <w:t xml:space="preserve">Income taxes payable</w:t>
            </w:r>
          </w:p>
        </w:tc>
        <w:tc>
          <w:tcPr>
            <w:tcW w:type="pct" w:w="1353"/>
            <w:tcMar>
              <w:top w:type="dxa" w:w="50"/>
              <w:left w:type="dxa" w:w="110"/>
              <w:bottom w:type="dxa" w:w="50"/>
              <w:right w:type="dxa" w:w="110"/>
            </w:tcMar>
          </w:tcPr>
          <w:p>
            <w:pPr>
              <w:spacing w:before="26" w:after="26"/>
            </w:pPr>
            <w:r>
              <w:rPr>
                <w:color w:val="232733"/>
                <w:sz w:val="16"/>
                <w:szCs w:val="16"/>
              </w:rPr>
              <w:t xml:space="preserve">0</w:t>
            </w:r>
          </w:p>
        </w:tc>
        <w:tc>
          <w:tcPr>
            <w:tcW w:type="pct" w:w="1047"/>
            <w:tcMar>
              <w:top w:type="dxa" w:w="50"/>
              <w:left w:type="dxa" w:w="110"/>
              <w:bottom w:type="dxa" w:w="50"/>
              <w:right w:type="dxa" w:w="110"/>
            </w:tcMar>
          </w:tcPr>
          <w:p>
            <w:pPr>
              <w:spacing w:before="26" w:after="26"/>
            </w:pPr>
            <w:r>
              <w:rPr>
                <w:color w:val="232733"/>
                <w:sz w:val="16"/>
                <w:szCs w:val="16"/>
              </w:rPr>
              <w:t xml:space="preserve">30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1,050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w:t>
            </w:r>
          </w:p>
        </w:tc>
      </w:tr>
      <w:tr>
        <w:tc>
          <w:tcPr>
            <w:tcW w:type="pct" w:w="2600"/>
            <w:tcMar>
              <w:top w:type="dxa" w:w="50"/>
              <w:left w:type="dxa" w:w="110"/>
              <w:bottom w:type="dxa" w:w="50"/>
              <w:right w:type="dxa" w:w="110"/>
            </w:tcMar>
          </w:tcPr>
          <w:p>
            <w:pPr>
              <w:spacing w:before="26" w:after="26"/>
            </w:pPr>
            <w:r>
              <w:rPr>
                <w:color w:val="232733"/>
                <w:sz w:val="16"/>
                <w:szCs w:val="16"/>
              </w:rPr>
              <w:t xml:space="preserve">Other 2026 cash information</w:t>
            </w:r>
          </w:p>
        </w:tc>
        <w:tc>
          <w:tcPr>
            <w:tcW w:type="pct" w:w="1353"/>
            <w:tcMar>
              <w:top w:type="dxa" w:w="50"/>
              <w:left w:type="dxa" w:w="110"/>
              <w:bottom w:type="dxa" w:w="50"/>
              <w:right w:type="dxa" w:w="110"/>
            </w:tcMar>
          </w:tcPr>
          <w:p>
            <w:pPr>
              <w:spacing w:before="26" w:after="26"/>
            </w:pPr>
            <w:r>
              <w:rPr>
                <w:color w:val="232733"/>
                <w:sz w:val="16"/>
                <w:szCs w:val="16"/>
              </w:rPr>
              <w:t xml:space="preserve"/>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Proceeds from sale of equipment</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70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Proceeds from sale of the division</w:t>
            </w:r>
          </w:p>
        </w:tc>
        <w:tc>
          <w:tcPr>
            <w:tcW w:type="pct" w:w="1353"/>
            <w:tcMar>
              <w:top w:type="dxa" w:w="50"/>
              <w:left w:type="dxa" w:w="110"/>
              <w:bottom w:type="dxa" w:w="50"/>
              <w:right w:type="dxa" w:w="110"/>
            </w:tcMar>
          </w:tcPr>
          <w:p>
            <w:pPr>
              <w:spacing w:before="26" w:after="26"/>
            </w:pPr>
            <w:r>
              <w:rPr>
                <w:color w:val="232733"/>
                <w:sz w:val="16"/>
                <w:szCs w:val="16"/>
              </w:rPr>
              <w:t xml:space="preserve">150</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Purchases of equipment</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 installment repaid (Chapter 2, M1)</w:t>
            </w:r>
          </w:p>
        </w:tc>
        <w:tc>
          <w:tcPr>
            <w:tcW w:type="pct" w:w="1353"/>
            <w:tcMar>
              <w:top w:type="dxa" w:w="50"/>
              <w:left w:type="dxa" w:w="110"/>
              <w:bottom w:type="dxa" w:w="50"/>
              <w:right w:type="dxa" w:w="110"/>
            </w:tcMar>
          </w:tcPr>
          <w:p>
            <w:pPr>
              <w:spacing w:before="26" w:after="26"/>
            </w:pPr>
            <w:r>
              <w:rPr>
                <w:color w:val="232733"/>
                <w:sz w:val="16"/>
                <w:szCs w:val="16"/>
              </w:rPr>
              <w:t xml:space="preserve">300</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paid (declared in 2025)</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50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Treasury stock bought (Chapter 4, E1)</w:t>
            </w:r>
          </w:p>
        </w:tc>
        <w:tc>
          <w:tcPr>
            <w:tcW w:type="pct" w:w="1353"/>
            <w:tcMar>
              <w:top w:type="dxa" w:w="50"/>
              <w:left w:type="dxa" w:w="110"/>
              <w:bottom w:type="dxa" w:w="50"/>
              <w:right w:type="dxa" w:w="110"/>
            </w:tcMar>
          </w:tcPr>
          <w:p>
            <w:pPr>
              <w:spacing w:before="26" w:after="26"/>
            </w:pPr>
            <w:r>
              <w:rPr>
                <w:color w:val="232733"/>
                <w:sz w:val="16"/>
                <w:szCs w:val="16"/>
              </w:rPr>
              <w:t xml:space="preserve">480</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Treasury stock reissued (E2 and E3)</w:t>
            </w:r>
          </w:p>
        </w:tc>
        <w:tc>
          <w:tcPr>
            <w:tcW w:type="pct" w:w="1353"/>
            <w:shd w:fill="FBFAF6" w:val="clear"/>
            <w:tcMar>
              <w:top w:type="dxa" w:w="50"/>
              <w:left w:type="dxa" w:w="110"/>
              <w:bottom w:type="dxa" w:w="50"/>
              <w:right w:type="dxa" w:w="110"/>
            </w:tcMar>
          </w:tcPr>
          <w:p>
            <w:pPr>
              <w:spacing w:before="26" w:after="26"/>
            </w:pPr>
            <w:r>
              <w:rPr>
                <w:color w:val="232733"/>
                <w:sz w:val="16"/>
                <w:szCs w:val="16"/>
              </w:rPr>
              <w:t xml:space="preserve">200</w:t>
            </w:r>
          </w:p>
        </w:tc>
        <w:tc>
          <w:tcPr>
            <w:tcW w:type="pct" w:w="1047"/>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dividend declared December 15, 2026, payable January 2027</w:t>
            </w:r>
          </w:p>
        </w:tc>
        <w:tc>
          <w:tcPr>
            <w:tcW w:type="pct" w:w="1353"/>
            <w:tcMar>
              <w:top w:type="dxa" w:w="50"/>
              <w:left w:type="dxa" w:w="110"/>
              <w:bottom w:type="dxa" w:w="50"/>
              <w:right w:type="dxa" w:w="110"/>
            </w:tcMar>
          </w:tcPr>
          <w:p>
            <w:pPr>
              <w:spacing w:before="26" w:after="26"/>
            </w:pPr>
            <w:r>
              <w:rPr>
                <w:color w:val="232733"/>
                <w:sz w:val="16"/>
                <w:szCs w:val="16"/>
              </w:rPr>
              <w:t xml:space="preserve">121</w:t>
            </w:r>
          </w:p>
        </w:tc>
        <w:tc>
          <w:tcPr>
            <w:tcW w:type="pct" w:w="1047"/>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tcMar>
              <w:top w:type="dxa" w:w="50"/>
              <w:left w:type="dxa" w:w="110"/>
              <w:bottom w:type="dxa" w:w="50"/>
              <w:right w:type="dxa" w:w="110"/>
            </w:tcMar>
          </w:tcPr>
          <w:p>
            <w:pPr>
              <w:spacing w:before="28" w:after="28"/>
            </w:pPr>
            <w:r>
              <w:rPr>
                <w:sz w:val="15"/>
                <w:szCs w:val="15"/>
              </w:rPr>
              <w:t xml:space="preserve">Operating (U.S. GAAP gives no choice).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 transaction with owners.   ·   Operating (U.S. GAAP gives no choice).   ·   Investing: another company's securities.</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bought   ·   Interest paid   ·   operating activities</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Investing: another company's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 a transaction with 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Treasury stock 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pacing w:before="20" w:after="20"/>
        <w:ind w:left="240" w:hanging="240"/>
      </w:pPr>
      <w:r>
        <w:rPr>
          <w:b/>
          <w:bCs/>
          <w:color w:val="353A7C"/>
          <w:sz w:val="15"/>
          <w:szCs w:val="15"/>
        </w:rPr>
        <w:t xml:space="preserve">Summary 3   </w:t>
      </w:r>
      <w:r>
        <w:rPr>
          <w:color w:val="6B7280"/>
          <w:sz w:val="15"/>
          <w:szCs w:val="15"/>
        </w:rPr>
        <w:t xml:space="preserve">French tableau de financement is an older funds statement based on working capital, not a statement of cash flows. The IFRS term is tableau des flux de trésorerie. Arabic قائمة التدفقات النقدية is the correct term for this statement.</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Transferring receivables: sale or secured borr   ·   recourse liability</w:t>
            </w:r>
          </w:p>
        </w:tc>
      </w:tr>
    </w:tbl>
    <w:p/>
    <w:p>
      <w:pPr>
        <w:spacing w:before="44" w:after="14"/>
      </w:pPr>
      <w:r>
        <w:rPr>
          <w:b/>
          <w:bCs/>
          <w:color w:val="353A7C"/>
          <w:sz w:val="18"/>
          <w:szCs w:val="18"/>
        </w:rPr>
        <w:t xml:space="preserve">Summary 1</w:t>
      </w:r>
      <w:r>
        <w:rPr>
          <w:color w:val="6B7280"/>
          <w:sz w:val="16"/>
          <w:szCs w:val="16"/>
        </w:rPr>
        <w:t xml:space="preserve">      gaps 2–12</w:t>
      </w:r>
    </w:p>
    <w:p>
      <w:pPr>
        <w:spacing w:before="20" w:after="20" w:line="360" w:lineRule="auto"/>
        <w:ind w:left="200"/>
      </w:pPr>
      <w:r>
        <w:rPr>
          <w:sz w:val="19"/>
          <w:szCs w:val="19"/>
        </w:rPr>
        <w:t xml:space="preserve">A company records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control (Chapter 11). </w:t>
      </w:r>
      <w:r>
        <w:rPr>
          <w:sz w:val="19"/>
          <w:szCs w:val="19"/>
        </w:rPr>
        <w:t xml:space="preserve">If the company still has to do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still use the gross and net methods.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unconditional   ·   transaction   ·   transfers   ·   delivers   ·   something   ·   expects   ·   returns   ·   delivery   ·   questions   ·   account   ·   notes receivable   ·   consideration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Trade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amortized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cost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Receivable: only time must pass before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amortized cost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recovery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notes receivable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covers all the credit losses it expects over their life.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experience, current conditions and reasonable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amortized cost, and the allowance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amount the company expects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common method is the aging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 expected loss rate to each group. </w:t>
      </w:r>
      <w:r>
        <w:rPr>
          <w:sz w:val="19"/>
          <w:szCs w:val="19"/>
        </w:rPr>
        <w:t xml:space="preserve">The rates start from history and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collect   ·   contra-asset   ·   adjusted   ·   direct write-off method   ·   records   ·   presents   ·   schedule   ·   supportable   ·   applies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   61–90 days past due   ·   notes receivable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entry is: debit Credit loss expense $28,000, credit Allowance for credit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collection.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uncollectible   ·   changes   ·   losses   ·   recovery   ·   recorded   ·   journal   ·   write-off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When is the expense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Acceptable under U.S. GAAP?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Older questions sometimes estimate the expense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income-statement   ·   percentage   ·   recovery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amortized cost   ·   Total</w:t>
            </w:r>
          </w:p>
        </w:tc>
      </w:tr>
    </w:tbl>
    <w:p/>
    <w:p>
      <w:pPr>
        <w:spacing w:before="44" w:after="14"/>
      </w:pPr>
      <w:r>
        <w:rPr>
          <w:b/>
          <w:bCs/>
          <w:color w:val="353A7C"/>
          <w:sz w:val="18"/>
          <w:szCs w:val="18"/>
        </w:rPr>
        <w:t xml:space="preserve">Summary 4</w:t>
      </w:r>
      <w:r>
        <w:rPr>
          <w:color w:val="6B7280"/>
          <w:sz w:val="16"/>
          <w:szCs w:val="16"/>
        </w:rPr>
        <w:t xml:space="preserve">      gaps 23–31</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financial assets, IFRS 9 starts with 12-month expected losses and moves to lifetime losses only after credit risk increases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amortized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provision   ·   conditions   ·   credit loss expense   ·   forecasting   ·   collected   ·   one-year   ·   significantly   ·   simplified   ·   beginning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32–34</w:t>
      </w:r>
    </w:p>
    <w:p>
      <w:pPr>
        <w:spacing w:before="20" w:after="20" w:line="360" w:lineRule="auto"/>
        <w:ind w:left="200"/>
      </w:pPr>
      <w:r>
        <w:rPr>
          <w:sz w:val="19"/>
          <w:szCs w:val="19"/>
        </w:rPr>
        <w:t xml:space="preserve">Arabic مخصص covers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things. </w:t>
      </w:r>
      <w:r>
        <w:rPr>
          <w:sz w:val="19"/>
          <w:szCs w:val="19"/>
        </w:rPr>
        <w:t xml:space="preserve">An allowance (مخصص الخسائر الائتمانية)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doubtful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different   ·   liability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35–36</w:t>
      </w:r>
    </w:p>
    <w:p>
      <w:pPr>
        <w:spacing w:before="20" w:after="20" w:line="360" w:lineRule="auto"/>
        <w:ind w:left="200"/>
      </w:pPr>
      <w:r>
        <w:rPr>
          <w:sz w:val="19"/>
          <w:szCs w:val="19"/>
        </w:rPr>
        <w:t xml:space="preserve">The aging gives the required ENDING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write-off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aging schedule   ·   credit   ·   allowance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write-off   ·   direct write-off method   ·   credit loss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direct write-off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before="20" w:after="20"/>
        <w:ind w:left="240" w:hanging="240"/>
      </w:pPr>
      <w:r>
        <w:rPr>
          <w:b/>
          <w:bCs/>
          <w:color w:val="353A7C"/>
          <w:sz w:val="15"/>
          <w:szCs w:val="15"/>
        </w:rPr>
        <w:t xml:space="preserve">Summary 3   </w:t>
      </w:r>
      <w:r>
        <w:rPr>
          <w:color w:val="6B7280"/>
          <w:sz w:val="15"/>
          <w:szCs w:val="15"/>
        </w:rPr>
        <w:t xml:space="preserve">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Arabic مخصص covers two different things. An allowance (مخصص الخسائر الائتمانية)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Recourse is the factor's right to collect from the seller if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itself make the transfer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If the three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met, a transfer with recourse is still a sale. </w:t>
      </w:r>
      <w:r>
        <w:rPr>
          <w:sz w:val="19"/>
          <w:szCs w:val="19"/>
        </w:rPr>
        <w:t xml:space="preserve">The seller then records a recourse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liability   ·   customers   ·   borrowing   ·   factor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4"/>
      </w:pPr>
      <w:r>
        <w:rPr>
          <w:b/>
          <w:bCs/>
          <w:color w:val="353A7C"/>
          <w:sz w:val="18"/>
          <w:szCs w:val="18"/>
        </w:rPr>
        <w:t xml:space="preserve">Summary 2</w:t>
      </w:r>
      <w:r>
        <w:rPr>
          <w:color w:val="6B7280"/>
          <w:sz w:val="16"/>
          <w:szCs w:val="16"/>
        </w:rPr>
        <w:t xml:space="preserve">      gaps 5–14</w:t>
      </w:r>
    </w:p>
    <w:p>
      <w:pPr>
        <w:spacing w:before="20" w:after="20" w:line="360" w:lineRule="auto"/>
        <w:ind w:left="200"/>
      </w:pPr>
      <w:r>
        <w:rPr>
          <w:sz w:val="19"/>
          <w:szCs w:val="19"/>
        </w:rPr>
        <w:t xml:space="preserve">Orontes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main reason companies care. </w:t>
      </w:r>
      <w:r>
        <w:rPr>
          <w:sz w:val="19"/>
          <w:szCs w:val="19"/>
        </w:rPr>
        <w:t xml:space="preserve">A sale removes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credits   ·   borrowing   ·   receives   ·   pledged   ·   legal isolation   ·   receivable   ·   effect   ·   transfers   ·   discounts   ·   without</w:t>
            </w:r>
          </w:p>
        </w:tc>
      </w:tr>
    </w:tbl>
    <w:p/>
    <w:p>
      <w:pPr>
        <w:spacing w:before="44" w:after="14"/>
      </w:pPr>
      <w:r>
        <w:rPr>
          <w:b/>
          <w:bCs/>
          <w:color w:val="353A7C"/>
          <w:sz w:val="18"/>
          <w:szCs w:val="18"/>
        </w:rPr>
        <w:t xml:space="preserve">Summary 3</w:t>
      </w:r>
      <w:r>
        <w:rPr>
          <w:color w:val="6B7280"/>
          <w:sz w:val="16"/>
          <w:szCs w:val="16"/>
        </w:rPr>
        <w:t xml:space="preserve">      gaps 15–20</w:t>
      </w:r>
    </w:p>
    <w:p>
      <w:pPr>
        <w:spacing w:before="20" w:after="20" w:line="360" w:lineRule="auto"/>
        <w:ind w:left="200"/>
      </w:pP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Factoring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factor   ·   analysts   ·   liability   ·   substantially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Do not assume that every transfer with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The holdback is an asset (due from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recourse   ·   pledging   ·   factor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Details (whole USD)</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Current: 250,000 at an expected loss rate of 2%</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1–60 days past due: 90,000 at an expected loss rate of 10%</w:t>
            </w:r>
          </w:p>
        </w:tc>
      </w:tr>
      <w:tr>
        <w:tc>
          <w:tcPr>
            <w:tcW w:type="pct" w:w="2400"/>
            <w:tcMar>
              <w:top w:type="dxa" w:w="50"/>
              <w:left w:type="dxa" w:w="110"/>
              <w:bottom w:type="dxa" w:w="50"/>
              <w:right w:type="dxa" w:w="110"/>
            </w:tcMar>
          </w:tcPr>
          <w:p>
            <w:pPr>
              <w:spacing w:before="26" w:after="26"/>
            </w:pPr>
            <w:r>
              <w:rPr>
                <w:color w:val="232733"/>
                <w:sz w:val="16"/>
                <w:szCs w:val="16"/>
              </w:rPr>
              <w:t xml:space="preserve">Aging</w:t>
            </w:r>
          </w:p>
        </w:tc>
        <w:tc>
          <w:tcPr>
            <w:tcW w:type="pct" w:w="2600"/>
            <w:tcMar>
              <w:top w:type="dxa" w:w="50"/>
              <w:left w:type="dxa" w:w="110"/>
              <w:bottom w:type="dxa" w:w="50"/>
              <w:right w:type="dxa" w:w="110"/>
            </w:tcMar>
          </w:tcPr>
          <w:p>
            <w:pPr>
              <w:spacing w:before="26" w:after="26"/>
            </w:pPr>
            <w:r>
              <w:rPr>
                <w:color w:val="232733"/>
                <w:sz w:val="16"/>
                <w:szCs w:val="16"/>
              </w:rPr>
              <w:t xml:space="preserve">Over 60 days past due: 40,000 at an expected loss rate of 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Beginning balance 18,000 (credit). Write-offs during 2025: 24,000. Recoveries: 1,000.</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T1</w:t>
            </w:r>
          </w:p>
        </w:tc>
        <w:tc>
          <w:tcPr>
            <w:tcW w:type="pct" w:w="2600"/>
            <w:tcMar>
              <w:top w:type="dxa" w:w="50"/>
              <w:left w:type="dxa" w:w="110"/>
              <w:bottom w:type="dxa" w:w="50"/>
              <w:right w:type="dxa" w:w="110"/>
            </w:tcMar>
          </w:tcPr>
          <w:p>
            <w:pPr>
              <w:spacing w:before="26" w:after="26"/>
            </w:pPr>
            <w:r>
              <w:rPr>
                <w:color w:val="232733"/>
                <w:sz w:val="16"/>
                <w:szCs w:val="16"/>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T3</w:t>
            </w:r>
          </w:p>
        </w:tc>
        <w:tc>
          <w:tcPr>
            <w:tcW w:type="pct" w:w="2600"/>
            <w:tcMar>
              <w:top w:type="dxa" w:w="50"/>
              <w:left w:type="dxa" w:w="110"/>
              <w:bottom w:type="dxa" w:w="50"/>
              <w:right w:type="dxa" w:w="110"/>
            </w:tcMar>
          </w:tcPr>
          <w:p>
            <w:pPr>
              <w:spacing w:before="26" w:after="26"/>
            </w:pPr>
            <w:r>
              <w:rPr>
                <w:color w:val="232733"/>
                <w:sz w:val="16"/>
                <w:szCs w:val="16"/>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Transfer T4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6" w:after="26"/>
            </w:pPr>
            <w:r>
              <w:rPr>
                <w:color w:val="232733"/>
                <w:sz w:val="16"/>
                <w:szCs w:val="16"/>
              </w:rPr>
              <w:t xml:space="preserve">Transfer T2 details</w:t>
            </w:r>
          </w:p>
        </w:tc>
        <w:tc>
          <w:tcPr>
            <w:tcW w:type="pct" w:w="2600"/>
            <w:tcMar>
              <w:top w:type="dxa" w:w="50"/>
              <w:left w:type="dxa" w:w="110"/>
              <w:bottom w:type="dxa" w:w="50"/>
              <w:right w:type="dxa" w:w="110"/>
            </w:tcMar>
          </w:tcPr>
          <w:p>
            <w:pPr>
              <w:spacing w:before="26" w:after="26"/>
            </w:pPr>
            <w:r>
              <w:rPr>
                <w:color w:val="232733"/>
                <w:sz w:val="16"/>
                <w:szCs w:val="16"/>
              </w:rPr>
              <w:t xml:space="preserve">Carrying amount 200,000; factor's fee 2%; holdback 4%; fair value of the recourse obligation 3,000.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80,000 × 8% = 6,400</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recovery   ·   T4</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recourse liability   ·   legal isolation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perpetual inventory system</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The shipping 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finished   ·   wherever   ·   retailer   ·   Wholesale   ·   ordinary   ·   usually   ·   year-end   ·   passes   ·   manufacturer   ·   FOB destination   ·   decides</w:t>
            </w:r>
          </w:p>
        </w:tc>
      </w:tr>
    </w:tbl>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goods stay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(Chapter 11).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special   ·   FOB destination   ·   chapters   ·   warehouse   ·   somewhere   ·   physical   ·   though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FOB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candidates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count   ·   shipping   ·   destination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24–28</w:t>
      </w:r>
    </w:p>
    <w:p>
      <w:pPr>
        <w:spacing w:before="20" w:after="20" w:line="360" w:lineRule="auto"/>
        <w:ind w:left="200"/>
      </w:pPr>
      <w:r>
        <w:rPr>
          <w:sz w:val="19"/>
          <w:szCs w:val="19"/>
        </w:rPr>
        <w:t xml:space="preserve">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r>
        <w:rPr>
          <w:sz w:val="19"/>
          <w:szCs w:val="19"/>
        </w:rPr>
        <w:t xml:space="preserve">Arabic: البضاعة بالأمانة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the owner is the consignor (المُرسِل) and the seller in the shop is the consignee (المُرسَل إليه).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loading   ·   controls   ·   physical count   ·   consignment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consignor   ·   consignment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consignor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(Chapter 11).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 Arabic: البضاعة بالأمانة is consignment; the owner is the consignor (المُرسِل) and the seller in the shop is the consignee (المُرسَل إليه).</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In the same way, abnormal waste (unusual spoilage, idle time or extra freight) is an expense, not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   ·   freight-in   ·   inventoriable   ·   non-refundable   ·   needed   ·   capacity   ·   period cost   ·   unusually   ·   expenses   ·   condition   ·   expects   ·   direct   ·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r>
        <w:rPr>
          <w:sz w:val="19"/>
          <w:szCs w:val="19"/>
        </w:rPr>
        <w:t xml:space="preserve">Other costs are shown below (whole dollars).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invoice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679"/>
        <w:gridCol w:w="292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526"/>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600"/>
            <w:tcMar>
              <w:top w:type="dxa" w:w="50"/>
              <w:left w:type="dxa" w:w="110"/>
              <w:bottom w:type="dxa" w:w="50"/>
              <w:right w:type="dxa" w:w="110"/>
            </w:tcMar>
          </w:tcPr>
          <w:p>
            <w:pPr>
              <w:spacing w:before="28" w:after="28"/>
            </w:pPr>
            <w:r>
              <w:rPr>
                <w:sz w:val="15"/>
                <w:szCs w:val="15"/>
              </w:rPr>
              <w:t xml:space="preserve">Invoice price</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874"/>
            <w:shd w:fill="FBFAF6" w:val="clear"/>
            <w:tcMar>
              <w:top w:type="dxa" w:w="50"/>
              <w:left w:type="dxa" w:w="110"/>
              <w:bottom w:type="dxa" w:w="50"/>
              <w:right w:type="dxa" w:w="110"/>
            </w:tcMar>
          </w:tcPr>
          <w:p>
            <w:pPr>
              <w:spacing w:before="28" w:after="28"/>
            </w:pPr>
            <w:r>
              <w:rPr>
                <w:sz w:val="15"/>
                <w:szCs w:val="15"/>
              </w:rPr>
              <w:t xml:space="preserve">(400)</w:t>
            </w:r>
          </w:p>
        </w:tc>
        <w:tc>
          <w:tcPr>
            <w:tcW w:type="pct" w:w="1526"/>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Freight-in from the port to Amman</w:t>
            </w:r>
          </w:p>
        </w:tc>
        <w:tc>
          <w:tcPr>
            <w:tcW w:type="pct" w:w="874"/>
            <w:tcMar>
              <w:top w:type="dxa" w:w="50"/>
              <w:left w:type="dxa" w:w="110"/>
              <w:bottom w:type="dxa" w:w="50"/>
              <w:right w:type="dxa" w:w="110"/>
            </w:tcMar>
          </w:tcPr>
          <w:p>
            <w:pPr>
              <w:spacing w:before="28" w:after="28"/>
            </w:pPr>
            <w:r>
              <w:rPr>
                <w:sz w:val="15"/>
                <w:szCs w:val="15"/>
              </w:rPr>
              <w:t xml:space="preserve">1,200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874"/>
            <w:shd w:fill="FBFAF6" w:val="clear"/>
            <w:tcMar>
              <w:top w:type="dxa" w:w="50"/>
              <w:left w:type="dxa" w:w="110"/>
              <w:bottom w:type="dxa" w:w="50"/>
              <w:right w:type="dxa" w:w="110"/>
            </w:tcMar>
          </w:tcPr>
          <w:p>
            <w:pPr>
              <w:spacing w:before="28" w:after="28"/>
            </w:pPr>
            <w:r>
              <w:rPr>
                <w:sz w:val="15"/>
                <w:szCs w:val="15"/>
              </w:rPr>
              <w:t xml:space="preserve">900</w:t>
            </w:r>
          </w:p>
        </w:tc>
        <w:tc>
          <w:tcPr>
            <w:tcW w:type="pct" w:w="1526"/>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6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874"/>
            <w:tcMar>
              <w:top w:type="dxa" w:w="50"/>
              <w:left w:type="dxa" w:w="110"/>
              <w:bottom w:type="dxa" w:w="50"/>
              <w:right w:type="dxa" w:w="110"/>
            </w:tcMar>
          </w:tcPr>
          <w:p>
            <w:pPr>
              <w:spacing w:before="28" w:after="28"/>
            </w:pPr>
            <w:r>
              <w:rPr>
                <w:sz w:val="15"/>
                <w:szCs w:val="15"/>
              </w:rPr>
              <w:t xml:space="preserve">300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874"/>
            <w:shd w:fill="FBFAF6" w:val="clear"/>
            <w:tcMar>
              <w:top w:type="dxa" w:w="50"/>
              <w:left w:type="dxa" w:w="110"/>
              <w:bottom w:type="dxa" w:w="50"/>
              <w:right w:type="dxa" w:w="110"/>
            </w:tcMar>
          </w:tcPr>
          <w:p>
            <w:pPr>
              <w:spacing w:before="28" w:after="28"/>
            </w:pPr>
            <w:r>
              <w:rPr>
                <w:sz w:val="15"/>
                <w:szCs w:val="15"/>
              </w:rPr>
              <w:t xml:space="preserve">700</w:t>
            </w:r>
          </w:p>
        </w:tc>
        <w:tc>
          <w:tcPr>
            <w:tcW w:type="pct" w:w="1526"/>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600"/>
            <w:tcMar>
              <w:top w:type="dxa" w:w="50"/>
              <w:left w:type="dxa" w:w="110"/>
              <w:bottom w:type="dxa" w:w="50"/>
              <w:right w:type="dxa" w:w="110"/>
            </w:tcMar>
          </w:tcPr>
          <w:p>
            <w:pPr>
              <w:spacing w:before="28" w:after="28"/>
            </w:pPr>
            <w:r>
              <w:rPr>
                <w:sz w:val="15"/>
                <w:szCs w:val="15"/>
              </w:rPr>
              <w:t xml:space="preserve">Storage of finished olive oil</w:t>
            </w:r>
          </w:p>
        </w:tc>
        <w:tc>
          <w:tcPr>
            <w:tcW w:type="pct" w:w="874"/>
            <w:tcMar>
              <w:top w:type="dxa" w:w="50"/>
              <w:left w:type="dxa" w:w="110"/>
              <w:bottom w:type="dxa" w:w="50"/>
              <w:right w:type="dxa" w:w="110"/>
            </w:tcMar>
          </w:tcPr>
          <w:p>
            <w:pPr>
              <w:spacing w:before="28" w:after="28"/>
            </w:pPr>
            <w:r>
              <w:rPr>
                <w:sz w:val="15"/>
                <w:szCs w:val="15"/>
              </w:rPr>
              <w:t xml:space="preserve">250</w:t>
            </w:r>
          </w:p>
        </w:tc>
        <w:tc>
          <w:tcPr>
            <w:tcW w:type="pct" w:w="1526"/>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874"/>
            <w:shd w:fill="FBFAF6" w:val="clear"/>
            <w:tcMar>
              <w:top w:type="dxa" w:w="50"/>
              <w:left w:type="dxa" w:w="110"/>
              <w:bottom w:type="dxa" w:w="50"/>
              <w:right w:type="dxa" w:w="110"/>
            </w:tcMar>
          </w:tcPr>
          <w:p>
            <w:pPr>
              <w:spacing w:before="28" w:after="28"/>
            </w:pPr>
            <w:r>
              <w:rPr>
                <w:sz w:val="15"/>
                <w:szCs w:val="15"/>
              </w:rPr>
              <w:t xml:space="preserve">22,000</w:t>
            </w:r>
          </w:p>
        </w:tc>
        <w:tc>
          <w:tcPr>
            <w:tcW w:type="pct" w:w="1526"/>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   ·   Yes (reduces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17–21</w:t>
      </w:r>
    </w:p>
    <w:p>
      <w:pPr>
        <w:spacing w:before="20" w:after="20" w:line="360" w:lineRule="auto"/>
        <w:ind w:left="200"/>
      </w:pPr>
      <w:r>
        <w:rPr>
          <w:sz w:val="19"/>
          <w:szCs w:val="19"/>
        </w:rPr>
        <w:t xml:space="preserve">The two costs 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exclusions: abnormal waste, storage,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   ·   expenses   ·   inventoriable cost   ·   administrative   ·   condition   ·   bottom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available for sale   ·   purchase discount   ·   abnormal waste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Yes (reduces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In the same way, abnormal waste (unusual spoilage, idle time or extra freight) is an expense, not inventory cost.</w:t>
      </w:r>
    </w:p>
    <w:p>
      <w:pPr>
        <w:spacing w:before="20" w:after="20"/>
        <w:ind w:left="240" w:hanging="240"/>
      </w:pPr>
      <w:r>
        <w:rPr>
          <w:b/>
          <w:bCs/>
          <w:color w:val="353A7C"/>
          <w:sz w:val="15"/>
          <w:szCs w:val="15"/>
        </w:rPr>
        <w:t xml:space="preserve">Summary 2   </w:t>
      </w:r>
      <w:r>
        <w:rPr>
          <w:color w:val="6B7280"/>
          <w:sz w:val="15"/>
          <w:szCs w:val="15"/>
        </w:rPr>
        <w:t xml:space="preserve">Orontes imports glass bottles for its Amman plant. The invoice is $20,000, and Orontes pays within the discount period, so it takes a 2% discount. Other costs are shown below (whole dollars).</w:t>
      </w:r>
    </w:p>
    <w:p>
      <w:pPr>
        <w:spacing w:before="20" w:after="20"/>
        <w:ind w:left="240" w:hanging="240"/>
      </w:pPr>
      <w:r>
        <w:rPr>
          <w:b/>
          <w:bCs/>
          <w:color w:val="353A7C"/>
          <w:sz w:val="15"/>
          <w:szCs w:val="15"/>
        </w:rPr>
        <w:t xml:space="preserve">Summary 3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decision is a cost flow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tracks the actual cost of each item. </w:t>
      </w:r>
      <w:r>
        <w:rPr>
          <w:sz w:val="19"/>
          <w:szCs w:val="19"/>
        </w:rPr>
        <w:t xml:space="preserve">It suits unique,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such as cars or jewelry. </w:t>
      </w:r>
      <w:r>
        <w:rPr>
          <w:sz w:val="19"/>
          <w:szCs w:val="19"/>
        </w:rPr>
        <w:t xml:space="preserve">FIFO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identification   ·   change   ·   first-in   ·   periodic inventory system   ·   Weighted-average   ·   assumption   ·   last-in   ·   others   ·   expensive   ·   physical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Orontes sells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Orontes began the year with 1,000 cases at $40.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average   ·   bought   ·   premium   ·   periodic   ·   available</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consignor</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FIFO   ·   LIFO reserve</w:t>
            </w:r>
          </w:p>
        </w:tc>
      </w:tr>
    </w:tbl>
    <w:p/>
    <w:p>
      <w:pPr>
        <w:spacing w:before="44" w:after="14"/>
      </w:pPr>
      <w:r>
        <w:rPr>
          <w:b/>
          <w:bCs/>
          <w:color w:val="353A7C"/>
          <w:sz w:val="18"/>
          <w:szCs w:val="18"/>
        </w:rPr>
        <w:t xml:space="preserve">Summary 3</w:t>
      </w:r>
      <w:r>
        <w:rPr>
          <w:color w:val="6B7280"/>
          <w:sz w:val="16"/>
          <w:szCs w:val="16"/>
        </w:rPr>
        <w:t xml:space="preserve">      gaps 16–19</w:t>
      </w:r>
    </w:p>
    <w:p>
      <w:pPr>
        <w:spacing w:before="20" w:after="20" w:line="360" w:lineRule="auto"/>
        <w:ind w:left="200"/>
      </w:pPr>
      <w:r>
        <w:rPr>
          <w:sz w:val="19"/>
          <w:szCs w:val="19"/>
        </w:rPr>
        <w:t xml:space="preserve">In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 a perpetual system is the moving average: the company calculates a new average after each purchase.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year-end   ·   method   ·   updates   ·   cost flow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4</w:t>
      </w:r>
      <w:r>
        <w:rPr>
          <w:color w:val="6B7280"/>
          <w:sz w:val="16"/>
          <w:szCs w:val="16"/>
        </w:rPr>
        <w:t xml:space="preserve">      gaps 20–21</w:t>
      </w:r>
    </w:p>
    <w:p>
      <w:pPr>
        <w:spacing w:before="20" w:after="20" w:line="360" w:lineRule="auto"/>
        <w:ind w:left="200"/>
      </w:pPr>
      <w:r>
        <w:rPr>
          <w:sz w:val="19"/>
          <w:szCs w:val="19"/>
        </w:rPr>
        <w:t xml:space="preserve">IAS 2 allows FIFO and the weighted average, and it requires specific identification for items that are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You will compare the two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again in Chapter 17.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inventory system   ·   frameworks   ·   interchangeable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cost   ·   moving average   ·   specific identification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LIFO</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FIFO</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w:t>
      </w:r>
    </w:p>
    <w:p>
      <w:pPr>
        <w:spacing w:before="20" w:after="20"/>
        <w:ind w:left="240" w:hanging="240"/>
      </w:pPr>
      <w:r>
        <w:rPr>
          <w:b/>
          <w:bCs/>
          <w:color w:val="353A7C"/>
          <w:sz w:val="15"/>
          <w:szCs w:val="15"/>
        </w:rPr>
        <w:t xml:space="preserve">Summary 4   </w:t>
      </w:r>
      <w:r>
        <w:rPr>
          <w:color w:val="6B7280"/>
          <w:sz w:val="15"/>
          <w:szCs w:val="15"/>
        </w:rPr>
        <w:t xml:space="preserve">IAS 2 allows FIFO and the weighted average, and it requires specific identification for items that are not interchangeable. You will compare the two frameworks again in Chapter 17.</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LIFO matches current costs with current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inventory while prices rise. </w:t>
      </w:r>
      <w:r>
        <w:rPr>
          <w:sz w:val="19"/>
          <w:szCs w:val="19"/>
        </w:rPr>
        <w:t xml:space="preserve">Companies that use LIFO must help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compare them with FIFO companies. </w:t>
      </w:r>
      <w:r>
        <w:rPr>
          <w:sz w:val="19"/>
          <w:szCs w:val="19"/>
        </w:rPr>
        <w:t xml:space="preserve">The LIFO reserve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between FIFO (or current cost) inventory and LIFO inventory. </w:t>
      </w: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includes   ·   started   ·   holding   ·   during   ·   relationships   ·   readers   ·   revenues   ·   analyst   ·   LIFO liquidation   ·   economic</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This is not a lasting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if it is material. </w:t>
      </w:r>
      <w:r>
        <w:rPr>
          <w:sz w:val="19"/>
          <w:szCs w:val="19"/>
        </w:rPr>
        <w:t xml:space="preserve">A company that uses LIFO for its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investors.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   low-cost   ·   statements   ·   gross profit   ·   improvement   ·   disclose   ·   illustrative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To get FIFO cost of goods sold,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rising   ·   SUBTRACT   ·   LIFO conformity rule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The LIFO reserve is not an equity reserve (احتياطي in the equity section, or réserve in French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It is only the difference between 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accounts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in transit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holding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illustrative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low-cost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 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w:t>
      </w:r>
    </w:p>
    <w:p>
      <w:pPr>
        <w:spacing w:before="20" w:after="20"/>
        <w:ind w:left="240" w:hanging="240"/>
      </w:pPr>
      <w:r>
        <w:rPr>
          <w:b/>
          <w:bCs/>
          <w:color w:val="353A7C"/>
          <w:sz w:val="15"/>
          <w:szCs w:val="15"/>
        </w:rPr>
        <w:t xml:space="preserve">Summary 2   </w:t>
      </w:r>
      <w:r>
        <w:rPr>
          <w:color w:val="6B7280"/>
          <w:sz w:val="15"/>
          <w:szCs w:val="15"/>
        </w:rPr>
        <w:t xml:space="preserve">At an illustrative tax rate of 25%, LIFO saved $4,000 of tax this year. If a LIFO company sells more units than it buys, old low-cost layers flow into cost of goods sold. This is not a lasting improvement, and the company should disclose it if it is material. 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3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4   </w:t>
      </w:r>
      <w:r>
        <w:rPr>
          <w:color w:val="6B7280"/>
          <w:sz w:val="15"/>
          <w:szCs w:val="15"/>
        </w:rPr>
        <w:t xml:space="preserve">The LIFO reserve is not an equity reserve (احتياطي in the equity section, or réserve in French accounts).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Over the two years, the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cancel. </w:t>
      </w:r>
      <w:r>
        <w:rPr>
          <w:sz w:val="19"/>
          <w:szCs w:val="19"/>
        </w:rPr>
        <w:t xml:space="preserve">Retained earnings are overstated at the end of 2025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If a company finds an error from a prior year, it corrects the error by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counterbalanced, retained earnings need no adjustment, but the prior-year income figures shown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already   ·   purchases   ·   FOB destination   ·   correct   ·   errors   ·   because   ·   Remember   ·   comparison   ·   statements   ·   restating   ·   counterbalancing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Net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counterbalancing error   ·   income   ·   direction</w:t>
            </w:r>
          </w:p>
        </w:tc>
      </w:tr>
    </w:tbl>
    <w:p/>
    <w:p>
      <w:pPr>
        <w:pageBreakBefore w:val="true"/>
        <w:spacing w:after="0"/>
      </w:pPr>
      <w:r>
        <w:rPr>
          <w:sz w:val="2"/>
        </w:rPr>
        <w:t xml:space="preserve"> </w:t>
      </w:r>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M3   ·   Jan 1   ·   Feb 14   ·   inventory   ·   Jun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cost   ·   M4 (at a Doha consignee)   ·   M2 (FOB destination,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errors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 14</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Jun 3</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already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Over the two years, the two errors cancel. Retained earnings are overstated at the end of 2025 but correct at the end of 2026. This is a counterbalancing error. Remember the tax effect: at a 25% tax rate, net income was overstated by only 30 in the first year. 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2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retail inventory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Inventory measured by FIFO,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separate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   transport   ·   write-down   ·   market   ·   identification   ·   average   ·   net realizable value (NRV)   ·   estimated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644"/>
        <w:gridCol w:w="395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939"/>
            <w:tcMar>
              <w:top w:type="dxa" w:w="50"/>
              <w:left w:type="dxa" w:w="110"/>
              <w:bottom w:type="dxa" w:w="50"/>
              <w:right w:type="dxa" w:w="110"/>
            </w:tcMar>
          </w:tcPr>
          <w:p>
            <w:pPr>
              <w:spacing w:before="28" w:after="28"/>
            </w:pPr>
            <w:r>
              <w:rPr>
                <w:sz w:val="15"/>
                <w:szCs w:val="15"/>
              </w:rPr>
              <w:t xml:space="preserve">Olive oil cases on hand (FIFO layer from Chapter 7)</w:t>
            </w:r>
          </w:p>
        </w:tc>
        <w:tc>
          <w:tcPr>
            <w:tcW w:type="pct" w:w="2061"/>
            <w:tcMar>
              <w:top w:type="dxa" w:w="50"/>
              <w:left w:type="dxa" w:w="110"/>
              <w:bottom w:type="dxa" w:w="50"/>
              <w:right w:type="dxa" w:w="110"/>
            </w:tcMar>
          </w:tcPr>
          <w:p>
            <w:pPr>
              <w:spacing w:before="28" w:after="28"/>
            </w:pPr>
            <w:r>
              <w:rPr>
                <w:sz w:val="15"/>
                <w:szCs w:val="15"/>
              </w:rPr>
              <w:t xml:space="preserve">2,000</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06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939"/>
            <w:tcMar>
              <w:top w:type="dxa" w:w="50"/>
              <w:left w:type="dxa" w:w="110"/>
              <w:bottom w:type="dxa" w:w="50"/>
              <w:right w:type="dxa" w:w="110"/>
            </w:tcMar>
          </w:tcPr>
          <w:p>
            <w:pPr>
              <w:spacing w:before="28" w:after="28"/>
            </w:pPr>
            <w:r>
              <w:rPr>
                <w:sz w:val="15"/>
                <w:szCs w:val="15"/>
              </w:rPr>
              <w:t xml:space="preserve">New estimated selling price per case</w:t>
            </w:r>
          </w:p>
        </w:tc>
        <w:tc>
          <w:tcPr>
            <w:tcW w:type="pct" w:w="2061"/>
            <w:tcMar>
              <w:top w:type="dxa" w:w="50"/>
              <w:left w:type="dxa" w:w="110"/>
              <w:bottom w:type="dxa" w:w="50"/>
              <w:right w:type="dxa" w:w="110"/>
            </w:tcMar>
          </w:tcPr>
          <w:p>
            <w:pPr>
              <w:spacing w:before="28" w:after="28"/>
            </w:pPr>
            <w:r>
              <w:rPr>
                <w:sz w:val="15"/>
                <w:szCs w:val="15"/>
              </w:rPr>
              <w:t xml:space="preserve">$54</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939"/>
            <w:tcMar>
              <w:top w:type="dxa" w:w="50"/>
              <w:left w:type="dxa" w:w="110"/>
              <w:bottom w:type="dxa" w:w="50"/>
              <w:right w:type="dxa" w:w="110"/>
            </w:tcMar>
          </w:tcPr>
          <w:p>
            <w:pPr>
              <w:spacing w:before="28" w:after="28"/>
            </w:pPr>
            <w:r>
              <w:rPr>
                <w:sz w:val="15"/>
                <w:szCs w:val="15"/>
              </w:rPr>
              <w:t xml:space="preserve">NRV per case</w:t>
            </w:r>
          </w:p>
        </w:tc>
        <w:tc>
          <w:tcPr>
            <w:tcW w:type="pct" w:w="2061"/>
            <w:tcMar>
              <w:top w:type="dxa" w:w="50"/>
              <w:left w:type="dxa" w:w="110"/>
              <w:bottom w:type="dxa" w:w="50"/>
              <w:right w:type="dxa" w:w="110"/>
            </w:tcMar>
          </w:tcPr>
          <w:p>
            <w:pPr>
              <w:spacing w:before="28" w:after="28"/>
            </w:pPr>
            <w:r>
              <w:rPr>
                <w:sz w:val="15"/>
                <w:szCs w:val="15"/>
              </w:rPr>
              <w:t xml:space="preserve">$48</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Inventory at cost</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939"/>
            <w:tcMar>
              <w:top w:type="dxa" w:w="50"/>
              <w:left w:type="dxa" w:w="110"/>
              <w:bottom w:type="dxa" w:w="50"/>
              <w:right w:type="dxa" w:w="110"/>
            </w:tcMar>
          </w:tcPr>
          <w:p>
            <w:pPr>
              <w:spacing w:before="28" w:after="28"/>
            </w:pPr>
            <w:r>
              <w:rPr>
                <w:sz w:val="15"/>
                <w:szCs w:val="15"/>
              </w:rPr>
              <w:t xml:space="preserve">Inventory at LCNRV</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939"/>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061"/>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   $96,000   ·   $50   ·   $100,000   ·   $4,000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14–19</w:t>
      </w:r>
    </w:p>
    <w:p>
      <w:pPr>
        <w:spacing w:before="20" w:after="20" w:line="360" w:lineRule="auto"/>
        <w:ind w:left="200"/>
      </w:pPr>
      <w:r>
        <w:rPr>
          <w:sz w:val="19"/>
          <w:szCs w:val="19"/>
        </w:rPr>
        <w:t xml:space="preserve">The write-down of $4,000 is a loss of 2025. </w:t>
      </w:r>
      <w:r>
        <w:rPr>
          <w:sz w:val="19"/>
          <w:szCs w:val="19"/>
        </w:rPr>
        <w:t xml:space="preserve">The new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$48 a case, is now the cost basis of these cases. </w:t>
      </w:r>
      <w:r>
        <w:rPr>
          <w:sz w:val="19"/>
          <w:szCs w:val="19"/>
        </w:rPr>
        <w:t xml:space="preserve">If prices recover in 2026,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does not reverse the write-down under U.S. GAAP. </w:t>
      </w:r>
      <w:r>
        <w:rPr>
          <w:sz w:val="19"/>
          <w:szCs w:val="19"/>
        </w:rPr>
        <w:t xml:space="preserve">A write-down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 an interim quarter is the only exception: it may be recovered in a later quarter of the same fiscal year. </w:t>
      </w:r>
      <w:r>
        <w:rPr>
          <w:sz w:val="19"/>
          <w:szCs w:val="19"/>
        </w:rPr>
        <w:t xml:space="preserve">IAS 2 uses LCNRV for all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including retail, and it has no LCM test. </w:t>
      </w:r>
      <w:r>
        <w:rPr>
          <w:sz w:val="19"/>
          <w:szCs w:val="19"/>
        </w:rPr>
        <w:t xml:space="preserve">When prices recover, IAS 2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reversal, limited to the original write-down. </w:t>
      </w:r>
      <w:r>
        <w:rPr>
          <w:sz w:val="19"/>
          <w:szCs w:val="19"/>
        </w:rPr>
        <w:t xml:space="preserve">If NRV rises to $53 in 2026, an IFRS company in Orontes's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would reverse $4,000. </w:t>
      </w:r>
      <w:r>
        <w:rPr>
          <w:sz w:val="19"/>
          <w:szCs w:val="19"/>
        </w:rPr>
        <w:t xml:space="preserve">Under U.S. GAAP the reversal is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recognized   ·   amount   ·   write-down   ·   inventories   ·   requires   ·   Orontes   ·   position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NRV = selling price − costs to complete, sell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 LCNRV; LIFO or retail → LCM. </w:t>
      </w:r>
      <w:r>
        <w:rPr>
          <w:sz w:val="19"/>
          <w:szCs w:val="19"/>
        </w:rPr>
        <w:t xml:space="preserve">U.S. GAAP never reverses an annual write-down.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floor   ·   transport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shrinkage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$100,000</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$96,000</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The write-down of $4,000 is a loss of 2025. The new amount, $48 a case, is now the cost basis of these cases. If prices recover in 2026, Orontes does not reverse the write-down under U.S. GAAP. A write-down recognized in an interim quarter is the only exception: it may be recovered in a later quarter of the same fiscal year. IAS 2 uses LCNRV for all inventories, including retail, and it has no LCM test. When prices recover, IAS 2 requires a reversal, limited to the original write-down. If NRV rises to $53 in 2026, an IFRS company in Orontes's position would reverse $4,000. Under U.S. GAAP the reversal is zero.</w:t>
      </w:r>
    </w:p>
    <w:p>
      <w:pPr>
        <w:spacing w:before="20" w:after="20"/>
        <w:ind w:left="240" w:hanging="240"/>
      </w:pPr>
      <w:r>
        <w:rPr>
          <w:b/>
          <w:bCs/>
          <w:color w:val="353A7C"/>
          <w:sz w:val="15"/>
          <w:szCs w:val="15"/>
        </w:rPr>
        <w:t xml:space="preserve">Summary 3   </w:t>
      </w:r>
      <w:r>
        <w:rPr>
          <w:color w:val="6B7280"/>
          <w:sz w:val="15"/>
          <w:szCs w:val="15"/>
        </w:rPr>
        <w:t xml:space="preserve">NRV = selling price − costs to complete, sell and transport. Do NOT deduct a normal profit; that only defines the LCM floor. Check the method first: FIFO or average → LCNRV; LIFO or retail → LCM. U.S. GAAP never reverses an annual write-down.</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Under LCM,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starts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the current cost to buy or make the item again.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Why the limits? The ceiling stops the company from carrying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write-down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   higher   ·   recover   ·   floor   ·   inventory   ·   replacement   ·   market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4"/>
      </w:pPr>
      <w:r>
        <w:rPr>
          <w:b/>
          <w:bCs/>
          <w:color w:val="353A7C"/>
          <w:sz w:val="18"/>
          <w:szCs w:val="18"/>
        </w:rPr>
        <w:t xml:space="preserve">Summary 2</w:t>
      </w:r>
      <w:r>
        <w:rPr>
          <w:color w:val="6B7280"/>
          <w:sz w:val="16"/>
          <w:szCs w:val="16"/>
        </w:rPr>
        <w:t xml:space="preserve">      gaps 7–13</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non-cancellable   ·   because   ·   consistently   ·   inventory   ·   floor   ·   conservative   ·   compared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Do not compare replacement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ceiling   ·   directly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Dépréciation is a write-down</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In French, dépréciation des stocks is an inventory write-down, not depreciation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تخفيض قيمة المخزون is the write-down; do not use استهلاك, which is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Arabic   ·   replacement cost   ·   amortissement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lower of cost or market (LCM)   ·   floor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replacement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amortissement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Arabic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consistently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It cannot be higher than a ceiling equal to NRV, and it cannot be lower than a floor equal to NRV minus a normal profit margin.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pacing w:before="20" w:after="20"/>
        <w:ind w:left="240" w:hanging="240"/>
      </w:pPr>
      <w:r>
        <w:rPr>
          <w:b/>
          <w:bCs/>
          <w:color w:val="353A7C"/>
          <w:sz w:val="15"/>
          <w:szCs w:val="15"/>
        </w:rPr>
        <w:t xml:space="preserve">Summary 4   </w:t>
      </w:r>
      <w:r>
        <w:rPr>
          <w:color w:val="6B7280"/>
          <w:sz w:val="15"/>
          <w:szCs w:val="15"/>
        </w:rPr>
        <w:t xml:space="preserve">In French, dépréciation des stocks is an inventory write-down, not depreciation (amortissement). In Arabic, تخفيض قيمة المخزون is the write-down; do not use استهلاك, which is depreciation.</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approximates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thousands   ·   change   ·   conventional   ·   markup   ·   estimates   ·   cost-to-retail   ·   expensive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floor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11–18</w:t>
      </w:r>
    </w:p>
    <w:p>
      <w:pPr>
        <w:spacing w:before="20" w:after="20" w:line="360" w:lineRule="auto"/>
        <w:ind w:left="200"/>
      </w:pPr>
      <w:r>
        <w:rPr>
          <w:sz w:val="19"/>
          <w:szCs w:val="19"/>
        </w:rPr>
        <w:t xml:space="preserve">A 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also exists. </w:t>
      </w:r>
      <w:r>
        <w:rPr>
          <w:sz w:val="19"/>
          <w:szCs w:val="19"/>
        </w:rPr>
        <w:t xml:space="preserve">It leaves beginning inventory out of the ratio, includes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gross profit method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   estimates   ·   physical   ·   purchases   ·   costing   ·   destroyed   ·   acceptable   ·   markup   ·   markdowns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If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gives a markup on cost, convert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retail: markups IN the ratio, markdowns OUT. </w:t>
      </w:r>
      <w:r>
        <w:rPr>
          <w:sz w:val="19"/>
          <w:szCs w:val="19"/>
        </w:rPr>
        <w:t xml:space="preserve">Freight-in goes in the cost column only; normal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Conventional   ·   cost-to-retail ratio   ·   question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normal profit margin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markdowns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A LIFO retail method also exists. It leaves beginning inventory out of the ratio, includes markdowns, and adds a new layer each year at that year's ratio.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3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smooths price changes and is hard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identical items it is costly and lets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trade-off is between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prices change, but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statements   ·   includes   ·   out-of-date   ·   replacement cost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Always check the facts that can rule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 </w:t>
      </w:r>
      <w:r>
        <w:rPr>
          <w:sz w:val="19"/>
          <w:szCs w:val="19"/>
        </w:rPr>
        <w:t xml:space="preserve">If the company, or its parent,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reports   ·   identification   ·   shrinkage   ·   manipulation   ·   method   ·   possible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physical flow and gives lenders a current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Recommendation: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reports   ·   conformity   ·   oldest-first   ·   gross profit method   ·   perishable   ·   director   ·   inventory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a case-based question,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net realizable value (NRV)   ·   physical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Recommendations need reasons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tcMar>
              <w:top w:type="dxa" w:w="50"/>
              <w:left w:type="dxa" w:w="110"/>
              <w:bottom w:type="dxa" w:w="50"/>
              <w:right w:type="dxa" w:w="110"/>
            </w:tcMar>
          </w:tcPr>
          <w:p>
            <w:pPr>
              <w:spacing w:before="28" w:after="28"/>
            </w:pPr>
            <w:r>
              <w:rPr>
                <w:sz w:val="15"/>
                <w:szCs w:val="15"/>
              </w:rPr>
              <w:t xml:space="preserve">90,000 ÷ 150,000 = 0.60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144,000 − 120,000 = 24,000   ·   150,000 − 6,000 = 144,000   ·   90,000 ÷ 150,000 = 0.60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Product line</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Pomegranate molasses</w:t>
            </w:r>
          </w:p>
        </w:tc>
        <w:tc>
          <w:tcPr>
            <w:tcW w:type="pct" w:w="2600"/>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Rose water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LCM (market with ceiling and floor)</w:t>
            </w:r>
          </w:p>
        </w:tc>
      </w:tr>
      <w:tr>
        <w:tc>
          <w:tcPr>
            <w:tcW w:type="pct" w:w="2400"/>
            <w:tcMar>
              <w:top w:type="dxa" w:w="50"/>
              <w:left w:type="dxa" w:w="110"/>
              <w:bottom w:type="dxa" w:w="50"/>
              <w:right w:type="dxa" w:w="110"/>
            </w:tcMar>
          </w:tcPr>
          <w:p>
            <w:pPr>
              <w:spacing w:before="26" w:after="26"/>
            </w:pPr>
            <w:r>
              <w:rPr>
                <w:color w:val="232733"/>
                <w:sz w:val="16"/>
                <w:szCs w:val="16"/>
              </w:rPr>
              <w:t xml:space="preserve">Za'atar mix</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Frozen kibbeh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LCNRV</w:t>
            </w:r>
          </w:p>
        </w:tc>
      </w:tr>
      <w:tr>
        <w:tc>
          <w:tcPr>
            <w:tcW w:type="pct" w:w="2400"/>
            <w:tcMar>
              <w:top w:type="dxa" w:w="50"/>
              <w:left w:type="dxa" w:w="110"/>
              <w:bottom w:type="dxa" w:w="50"/>
              <w:right w:type="dxa" w:w="110"/>
            </w:tcMar>
          </w:tcPr>
          <w:p>
            <w:pPr>
              <w:spacing w:before="26" w:after="26"/>
            </w:pPr>
            <w:r>
              <w:rPr>
                <w:color w:val="232733"/>
                <w:sz w:val="16"/>
                <w:szCs w:val="16"/>
              </w:rPr>
              <w:t xml:space="preserve">Olive-oil soap</w:t>
            </w:r>
          </w:p>
        </w:tc>
        <w:tc>
          <w:tcPr>
            <w:tcW w:type="pct" w:w="2600"/>
            <w:tcMar>
              <w:top w:type="dxa" w:w="50"/>
              <w:left w:type="dxa" w:w="110"/>
              <w:bottom w:type="dxa" w:w="50"/>
              <w:right w:type="dxa" w:w="110"/>
            </w:tcMar>
          </w:tcPr>
          <w:p>
            <w:pPr>
              <w:spacing w:before="26" w:after="26"/>
            </w:pPr>
            <w:r>
              <w:rPr>
                <w:color w:val="232733"/>
                <w:sz w:val="16"/>
                <w:szCs w:val="16"/>
              </w:rPr>
              <w:t xml:space="preserve">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oldest-first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conformity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150,000 − 6,000 = 144,000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perishable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held-to-maturity (HTM) securities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(AFS) securities are all other debt securities. </w:t>
      </w:r>
      <w:r>
        <w:rPr>
          <w:sz w:val="19"/>
          <w:szCs w:val="19"/>
        </w:rPr>
        <w:t xml:space="preserve">If the company would sell the bond when interest rates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when it needs cash, it does not have the intent to hold it. </w:t>
      </w:r>
      <w:r>
        <w:rPr>
          <w:sz w:val="19"/>
          <w:szCs w:val="19"/>
        </w:rPr>
        <w:t xml:space="preserve">And if it sells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HTM securities for other reasons, it taints the whole HTM portfolio, which raises doubt about its intent for all its other HTM securities. </w:t>
      </w:r>
      <w:r>
        <w:rPr>
          <w:sz w:val="19"/>
          <w:szCs w:val="19"/>
        </w:rPr>
        <w:t xml:space="preserve">The standard allows a few exceptions, such as a sale after the issuer's credit quality falls sharply, or a sale very close to maturity. </w:t>
      </w:r>
      <w:r>
        <w:rPr>
          <w:sz w:val="19"/>
          <w:szCs w:val="19"/>
        </w:rPr>
        <w:t xml:space="preserve">A company may also elect the fair value option for a security when it first recognizes it. </w:t>
      </w:r>
      <w:r>
        <w:rPr>
          <w:sz w:val="19"/>
          <w:szCs w:val="19"/>
        </w:rPr>
        <w:t xml:space="preserve">The election is irrevocable,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   positive   ·   repayment   ·   holder   ·   Available-for-sale   ·   debt security   ·   covers   ·   transfers   ·   bought   ·   shares   ·   change   ·   Trading   ·   ownership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fair value option   ·   change   ·   ability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option   ·   trading securities   ·   held-to-maturity (HTM)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fair value 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Held-to-maturity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Trading securities are bought and held mainly to sell in the near term. Held-to-maturity (HTM) securities are securities the company has the positive intent and the ability to hold until they mature. Available-for-sale (AFS) securities are all other debt securities.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 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2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basis difference   ·   Equity method</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toward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fair value   ·   received   ·   higher   ·   difference   ·   purchase   ·   bought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On January 1, 2025, Orontes buys a 3-year bond with a face amount of $100,000 and a stated rate of 6%, paid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December   ·   fair value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Balance sheet amount at Dec 31, 2025</w:t>
            </w:r>
          </w:p>
        </w:tc>
      </w:tr>
    </w:tbl>
    <w:p/>
    <w:p>
      <w:pPr>
        <w:spacing w:before="44" w:after="14"/>
      </w:pPr>
      <w:r>
        <w:rPr>
          <w:b/>
          <w:bCs/>
          <w:color w:val="353A7C"/>
          <w:sz w:val="18"/>
          <w:szCs w:val="18"/>
        </w:rPr>
        <w:t xml:space="preserve">Summary 3</w:t>
      </w:r>
      <w:r>
        <w:rPr>
          <w:color w:val="6B7280"/>
          <w:sz w:val="16"/>
          <w:szCs w:val="16"/>
        </w:rPr>
        <w:t xml:space="preserve">      gaps 13–20</w:t>
      </w:r>
    </w:p>
    <w:p>
      <w:pPr>
        <w:spacing w:before="20" w:after="20" w:line="360" w:lineRule="auto"/>
        <w:ind w:left="200"/>
      </w:pPr>
      <w:r>
        <w:rPr>
          <w:sz w:val="19"/>
          <w:szCs w:val="19"/>
        </w:rPr>
        <w:t xml:space="preserve">Interest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amount and the place of the unrealized loss differ. </w:t>
      </w:r>
      <w:r>
        <w:rPr>
          <w:sz w:val="19"/>
          <w:szCs w:val="19"/>
        </w:rPr>
        <w:t xml:space="preserve">On the sale,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gain is the price minus the amortized cost: $101,500 − $100,952 = $548. </w:t>
      </w:r>
      <w:r>
        <w:rPr>
          <w:sz w:val="19"/>
          <w:szCs w:val="19"/>
        </w:rPr>
        <w:t xml:space="preserve">Accumulated OCI for the bond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zero, so the gain is never counted twice. </w:t>
      </w:r>
      <w:r>
        <w:rPr>
          <w:sz w:val="19"/>
          <w:szCs w:val="19"/>
        </w:rPr>
        <w:t xml:space="preserve">Transfers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method   ·   between   ·   realized   ·   revenue   ·   balance   ·   immediately   ·   remaining   ·   returns   ·   should</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Trading: fair value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accumulated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beginning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method   ·   bond premium   ·   reclassification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Balance sheet amount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Interest revenue is the same in all three categories. Only the balance sheet amount and the place of the unrealized loss differ.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4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For very safe bonds, such as 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follow a different model. </w:t>
      </w:r>
      <w:r>
        <w:rPr>
          <w:sz w:val="19"/>
          <w:szCs w:val="19"/>
        </w:rPr>
        <w:t xml:space="preserve">A security is impaired when its fair value is below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w:t>
      </w:r>
      <w:r>
        <w:rPr>
          <w:sz w:val="19"/>
          <w:szCs w:val="19"/>
        </w:rPr>
        <w:t xml:space="preserve">If the company intends to sell it, or will more likely than not have to sell it before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writes the security down to fair value through net income.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separates the decline into two parts. </w:t>
      </w:r>
      <w:r>
        <w:rPr>
          <w:sz w:val="19"/>
          <w:szCs w:val="19"/>
        </w:rPr>
        <w:t xml:space="preserve">The credit part is recorded in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through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fair value   ·   allowance   ·   amortized   ·   Otherwise   ·   recovers   ·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$6,000. </w:t>
      </w:r>
      <w:r>
        <w:rPr>
          <w:sz w:val="19"/>
          <w:szCs w:val="19"/>
        </w:rPr>
        <w:t xml:space="preserve">If credit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reclassification adjustment   ·   decline   ·   limited   ·   improves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AFS allowance ≤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If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measurement alternative</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very safe bonds, such as U.S. Treasury bonds, the expected loss can be zero. AFS securities follow a different model. A security is impaired when its fair value is below its amortized cost. If the company intends to sell it, or will more likely than not have to sell it before it recovers, it writes the security down to fair value through net income. Otherwise it separates the decline into two parts.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Shares with a readily determinable fair value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influence can take part in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financial and operating decisions. </w:t>
      </w:r>
      <w:r>
        <w:rPr>
          <w:sz w:val="19"/>
          <w:szCs w:val="19"/>
        </w:rPr>
        <w:t xml:space="preserve">Influence is presumed when the investor holds 20% to 50% of the voting stock, but the evidence decides: a board seat, participation in policy decisions or large transactions between the companies can show influence even below 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   year-end   ·   significant   ·   category   ·   measurement   ·   bought   ·   unrealized   ·   changes   ·   investee's   ·   equity method   ·   option   ·   measured   ·   transaction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share of the investee's net income and decreases by the dividends the investor receives. </w:t>
      </w:r>
      <w:r>
        <w:rPr>
          <w:sz w:val="19"/>
          <w:szCs w:val="19"/>
        </w:rPr>
        <w:t xml:space="preserve">The dividends are not income, because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   measurement alternative   ·   investor's   ·   starts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16–22</w:t>
      </w:r>
    </w:p>
    <w:p>
      <w:pPr>
        <w:spacing w:before="20" w:after="20" w:line="360" w:lineRule="auto"/>
        <w:ind w:left="200"/>
      </w:pPr>
      <w:r>
        <w:rPr>
          <w:sz w:val="19"/>
          <w:szCs w:val="19"/>
        </w:rPr>
        <w:t xml:space="preserve">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Orontes reports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of $60,000 are cash in and investment out; they do not change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dividends   ·   depreciated   ·   Glass's   ·   significant influence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23–34</w:t>
      </w:r>
    </w:p>
    <w:p>
      <w:pPr>
        <w:spacing w:before="20" w:after="20" w:line="360" w:lineRule="auto"/>
        <w:ind w:left="200"/>
      </w:pPr>
      <w:r>
        <w:rPr>
          <w:sz w:val="19"/>
          <w:szCs w:val="19"/>
        </w:rPr>
        <w:t xml:space="preserve">Three more equity-method rules appear in exam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reduce the investment only to zero, unless the investor has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until the goods are sold to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And when an investor first gains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influence, it starts the equity method from that date; it does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are measured at fair value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net income. </w:t>
      </w:r>
      <w:r>
        <w:rPr>
          <w:sz w:val="19"/>
          <w:szCs w:val="19"/>
        </w:rPr>
        <w:t xml:space="preserve">This rule became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for fiscal years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December 15, 2024, so it is now testable. </w:t>
      </w:r>
      <w:r>
        <w:rPr>
          <w:sz w:val="19"/>
          <w:szCs w:val="19"/>
        </w:rPr>
        <w:t xml:space="preserve">IFRS 9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irrevocable election to put fair value changes in OCI, with no recycling on sale; U.S. GAAP has no such option. </w:t>
      </w:r>
      <w:r>
        <w:rPr>
          <w:sz w:val="19"/>
          <w:szCs w:val="19"/>
        </w:rPr>
        <w:t xml:space="preserve">Under IAS 28, an equity-method investment that is impaired can later be written back up; under U.S. GAAP the impairment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eliminated   ·   basis difference   ·   questions   ·   outsiders   ·   beginning   ·   restate   ·   definition   ·   classifies   ·   through   ·   guaranteed   ·   significant   ·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35–36</w:t>
      </w:r>
    </w:p>
    <w:p>
      <w:pPr>
        <w:spacing w:before="20" w:after="20" w:line="360" w:lineRule="auto"/>
        <w:ind w:left="200"/>
      </w:pPr>
      <w:r>
        <w:rPr>
          <w:sz w:val="19"/>
          <w:szCs w:val="19"/>
        </w:rPr>
        <w:t xml:space="preserve">Equity method: dividends reduce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w:t>
      </w:r>
      <w:r>
        <w:rPr>
          <w:sz w:val="19"/>
          <w:szCs w:val="19"/>
        </w:rPr>
        <w:t xml:space="preserve">Take only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Depreciate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investment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2123"/>
        <w:gridCol w:w="4992"/>
        <w:gridCol w:w="16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6"/>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844"/>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450"/>
            <w:tcMar>
              <w:top w:type="dxa" w:w="50"/>
              <w:left w:type="dxa" w:w="110"/>
              <w:bottom w:type="dxa" w:w="50"/>
              <w:right w:type="dxa" w:w="110"/>
            </w:tcMar>
          </w:tcPr>
          <w:p>
            <w:pPr>
              <w:spacing w:before="28" w:after="28"/>
            </w:pPr>
            <w:r>
              <w:rPr>
                <w:sz w:val="15"/>
                <w:szCs w:val="15"/>
              </w:rPr>
              <w:t xml:space="preserve">A</w:t>
            </w:r>
          </w:p>
        </w:tc>
        <w:tc>
          <w:tcPr>
            <w:tcW w:type="pct" w:w="1106"/>
            <w:tcMar>
              <w:top w:type="dxa" w:w="50"/>
              <w:left w:type="dxa" w:w="110"/>
              <w:bottom w:type="dxa" w:w="50"/>
              <w:right w:type="dxa" w:w="110"/>
            </w:tcMar>
          </w:tcPr>
          <w:p>
            <w:pPr>
              <w:spacing w:before="28" w:after="28"/>
            </w:pPr>
            <w:r>
              <w:rPr>
                <w:sz w:val="15"/>
                <w:szCs w:val="15"/>
              </w:rPr>
              <w:t xml:space="preserve">Corporate bond</w:t>
            </w:r>
          </w:p>
        </w:tc>
        <w:tc>
          <w:tcPr>
            <w:tcW w:type="pct" w:w="2600"/>
            <w:tcMar>
              <w:top w:type="dxa" w:w="50"/>
              <w:left w:type="dxa" w:w="110"/>
              <w:bottom w:type="dxa" w:w="50"/>
              <w:right w:type="dxa" w:w="110"/>
            </w:tcMar>
          </w:tcPr>
          <w:p>
            <w:pPr>
              <w:spacing w:before="28" w:after="28"/>
            </w:pPr>
            <w:r>
              <w:rPr>
                <w:sz w:val="15"/>
                <w:szCs w:val="15"/>
              </w:rPr>
              <w:t xml:space="preserve">Bought to sell in the near term; the treasury team trades it actively.</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450"/>
            <w:shd w:fill="FBFAF6" w:val="clear"/>
            <w:tcMar>
              <w:top w:type="dxa" w:w="50"/>
              <w:left w:type="dxa" w:w="110"/>
              <w:bottom w:type="dxa" w:w="50"/>
              <w:right w:type="dxa" w:w="110"/>
            </w:tcMar>
          </w:tcPr>
          <w:p>
            <w:pPr>
              <w:spacing w:before="28" w:after="28"/>
            </w:pPr>
            <w:r>
              <w:rPr>
                <w:sz w:val="15"/>
                <w:szCs w:val="15"/>
              </w:rPr>
              <w:t xml:space="preserve">B</w:t>
            </w:r>
          </w:p>
        </w:tc>
        <w:tc>
          <w:tcPr>
            <w:tcW w:type="pct" w:w="1106"/>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intends and is able to hold it until it matures in 2029.</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(38)</w:t>
            </w:r>
          </w:p>
        </w:tc>
      </w:tr>
      <w:tr>
        <w:tc>
          <w:tcPr>
            <w:tcW w:type="pct" w:w="450"/>
            <w:tcMar>
              <w:top w:type="dxa" w:w="50"/>
              <w:left w:type="dxa" w:w="110"/>
              <w:bottom w:type="dxa" w:w="50"/>
              <w:right w:type="dxa" w:w="110"/>
            </w:tcMar>
          </w:tcPr>
          <w:p>
            <w:pPr>
              <w:spacing w:before="28" w:after="28"/>
            </w:pPr>
            <w:r>
              <w:rPr>
                <w:sz w:val="15"/>
                <w:szCs w:val="15"/>
              </w:rPr>
              <w:t xml:space="preserve">C</w:t>
            </w:r>
          </w:p>
        </w:tc>
        <w:tc>
          <w:tcPr>
            <w:tcW w:type="pct" w:w="1106"/>
            <w:tcMar>
              <w:top w:type="dxa" w:w="50"/>
              <w:left w:type="dxa" w:w="110"/>
              <w:bottom w:type="dxa" w:w="50"/>
              <w:right w:type="dxa" w:w="110"/>
            </w:tcMar>
          </w:tcPr>
          <w:p>
            <w:pPr>
              <w:spacing w:before="28" w:after="28"/>
            </w:pPr>
            <w:r>
              <w:rPr>
                <w:sz w:val="15"/>
                <w:szCs w:val="15"/>
              </w:rPr>
              <w:t xml:space="preserve">Corporate bond</w:t>
            </w:r>
          </w:p>
        </w:tc>
        <w:tc>
          <w:tcPr>
            <w:tcW w:type="pct" w:w="26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844"/>
            <w:shd w:fill="FFFFFF" w:val="clear"/>
            <w:tcMar>
              <w:top w:type="dxa" w:w="50"/>
              <w:left w:type="dxa" w:w="110"/>
              <w:bottom w:type="dxa" w:w="50"/>
              <w:right w:type="dxa" w:w="110"/>
            </w:tcMar>
          </w:tcPr>
          <w:p>
            <w:pPr>
              <w:spacing w:before="46" w:after="46"/>
            </w:pPr>
            <w:r>
              <w:rPr>
                <w:b/>
                <w:bCs/>
                <w:color w:val="8186EF"/>
                <w:sz w:val="14"/>
                <w:szCs w:val="14"/>
              </w:rPr>
              <w:t xml:space="preserve">(39)</w:t>
            </w:r>
          </w:p>
        </w:tc>
      </w:tr>
      <w:tr>
        <w:tc>
          <w:tcPr>
            <w:tcW w:type="pct" w:w="450"/>
            <w:shd w:fill="FBFAF6" w:val="clear"/>
            <w:tcMar>
              <w:top w:type="dxa" w:w="50"/>
              <w:left w:type="dxa" w:w="110"/>
              <w:bottom w:type="dxa" w:w="50"/>
              <w:right w:type="dxa" w:w="110"/>
            </w:tcMar>
          </w:tcPr>
          <w:p>
            <w:pPr>
              <w:spacing w:before="28" w:after="28"/>
            </w:pPr>
            <w:r>
              <w:rPr>
                <w:sz w:val="15"/>
                <w:szCs w:val="15"/>
              </w:rPr>
              <w:t xml:space="preserve">D</w:t>
            </w:r>
          </w:p>
        </w:tc>
        <w:tc>
          <w:tcPr>
            <w:tcW w:type="pct" w:w="1106"/>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6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844"/>
            <w:shd w:fill="FBFAF6" w:val="clear"/>
            <w:tcMar>
              <w:top w:type="dxa" w:w="50"/>
              <w:left w:type="dxa" w:w="110"/>
              <w:bottom w:type="dxa" w:w="50"/>
              <w:right w:type="dxa" w:w="110"/>
            </w:tcMar>
          </w:tcPr>
          <w:p>
            <w:pPr>
              <w:spacing w:before="28" w:after="28"/>
            </w:pPr>
            <w:r>
              <w:rPr>
                <w:sz w:val="15"/>
                <w:szCs w:val="15"/>
              </w:rPr>
              <w:t xml:space="preserve">cost 25,000; fair value 27,000</w:t>
            </w:r>
          </w:p>
        </w:tc>
      </w:tr>
      <w:tr>
        <w:tc>
          <w:tcPr>
            <w:tcW w:type="pct" w:w="450"/>
            <w:tcMar>
              <w:top w:type="dxa" w:w="50"/>
              <w:left w:type="dxa" w:w="110"/>
              <w:bottom w:type="dxa" w:w="50"/>
              <w:right w:type="dxa" w:w="110"/>
            </w:tcMar>
          </w:tcPr>
          <w:p>
            <w:pPr>
              <w:spacing w:before="28" w:after="28"/>
            </w:pPr>
            <w:r>
              <w:rPr>
                <w:sz w:val="15"/>
                <w:szCs w:val="15"/>
              </w:rPr>
              <w:t xml:space="preserve">E</w:t>
            </w:r>
          </w:p>
        </w:tc>
        <w:tc>
          <w:tcPr>
            <w:tcW w:type="pct" w:w="1106"/>
            <w:tcMar>
              <w:top w:type="dxa" w:w="50"/>
              <w:left w:type="dxa" w:w="110"/>
              <w:bottom w:type="dxa" w:w="50"/>
              <w:right w:type="dxa" w:w="110"/>
            </w:tcMar>
          </w:tcPr>
          <w:p>
            <w:pPr>
              <w:spacing w:before="28" w:after="28"/>
            </w:pPr>
            <w:r>
              <w:rPr>
                <w:sz w:val="15"/>
                <w:szCs w:val="15"/>
              </w:rPr>
              <w:t xml:space="preserve">Shares of Amman Cold Storage Co. (25%)</w:t>
            </w:r>
          </w:p>
        </w:tc>
        <w:tc>
          <w:tcPr>
            <w:tcW w:type="pct" w:w="26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844"/>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Listed shares (5% of the company)   ·   cost 30,000; fair value 28,500   ·   cost 40,000; fair value 42,000   ·   Shares of Amman Cold Storage Co. (25%)   ·   cost 60,000; fair value 57,000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 × 100,000 = 30,000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Held-to-maturity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investee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outsiders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cost 40,000; fair value 42,000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cost 60,000; fair value 57,000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cost 30,000; fair value 28,500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Listed shares (5% of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measurement 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Losses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 Influence is presumed when the investor holds 20% to 50% of the voting stock, but the evidence decides: a board seat, participation in policy decisions or large transactions between the companies can show influence even below 20%.</w:t>
      </w:r>
    </w:p>
    <w:p>
      <w:pPr>
        <w:spacing w:before="20" w:after="20"/>
        <w:ind w:left="240" w:hanging="240"/>
      </w:pPr>
      <w:r>
        <w:rPr>
          <w:b/>
          <w:bCs/>
          <w:color w:val="353A7C"/>
          <w:sz w:val="15"/>
          <w:szCs w:val="15"/>
        </w:rPr>
        <w:t xml:space="preserve">Summary 2   </w:t>
      </w:r>
      <w:r>
        <w:rPr>
          <w:color w:val="6B7280"/>
          <w:sz w:val="15"/>
          <w:szCs w:val="15"/>
        </w:rPr>
        <w:t xml:space="preserve">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units-of-production method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capitalized.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qualifying   ·   Capitalization   ·   revenue expenditure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Depreciation spreads the depreciable base, cost minus salvage value, over the useful life in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twice the straight-line rate, applied to the beginning book value. </w:t>
      </w:r>
      <w:r>
        <w:rPr>
          <w:sz w:val="19"/>
          <w:szCs w:val="19"/>
        </w:rPr>
        <w:t xml:space="preserve">Salvage is ignored 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Units-of-production   ·   Sum-of-the-years'-digits   ·   calculation   ·   Double-declining-balance   ·   amount   ·   methods   ·   useful life   ·   systematic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salvage value of $150,000 after 5 years, or after 21,000 machine hours.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21,000 hours = $50 an hour; year 1 = 5,000 hours × $50 = $250,000.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useful life   ·   Straight-line   ·   depreciable   ·   Double-declining   ·   Sum-of-the-years'-digits   ·   production</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in early years   ·   commercial substance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15–25</w:t>
      </w:r>
    </w:p>
    <w:p>
      <w:pPr>
        <w:spacing w:before="20" w:after="20" w:line="360" w:lineRule="auto"/>
        <w:ind w:left="200"/>
      </w:pPr>
      <w:r>
        <w:rPr>
          <w:sz w:val="19"/>
          <w:szCs w:val="19"/>
        </w:rPr>
        <w:t xml:space="preserve">A new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expensing   ·   Suppose   ·   salvage value   ·   restate   ·   accounting   ·   preferable   ·   useful   ·   composite   ·   straight-line   ·   capitalized   ·   remaining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26–31</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IAS 16 requires component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each significant part of an asset is depreciated separately. </w:t>
      </w:r>
      <w:r>
        <w:rPr>
          <w:sz w:val="19"/>
          <w:szCs w:val="19"/>
        </w:rPr>
        <w:t xml:space="preserve">U.S. GAAP allows this but does not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w:t>
      </w:r>
      <w:r>
        <w:rPr>
          <w:sz w:val="19"/>
          <w:szCs w:val="19"/>
        </w:rPr>
        <w:t xml:space="preserve">IAS 16 also allows the revaluation model, with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going to a revaluation surplus in OCI. </w:t>
      </w:r>
      <w:r>
        <w:rPr>
          <w:sz w:val="19"/>
          <w:szCs w:val="19"/>
        </w:rPr>
        <w:t xml:space="preserve">U.S. GAAP does not allow upward revaluation.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require   ·   prospective   ·   depreciable   ·   increases   ·   carrying amount   ·   subtract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units-of-production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Units-of-production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restate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w:t>
      </w:r>
    </w:p>
    <w:p>
      <w:pPr>
        <w:spacing w:before="20" w:after="20"/>
        <w:ind w:left="240" w:hanging="240"/>
      </w:pPr>
      <w:r>
        <w:rPr>
          <w:b/>
          <w:bCs/>
          <w:color w:val="353A7C"/>
          <w:sz w:val="15"/>
          <w:szCs w:val="15"/>
        </w:rPr>
        <w:t xml:space="preserve">Summary 3   </w:t>
      </w:r>
      <w:r>
        <w:rPr>
          <w:color w:val="6B7280"/>
          <w:sz w:val="15"/>
          <w:szCs w:val="15"/>
        </w:rPr>
        <w:t xml:space="preserve">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 IAS 16 requires component depreciation: each significant part of an asset is depreciated separately. U.S. GAAP allows this but does not require it. IAS 16 also allows the revaluation model, with increases going to a revaluation surplus in OCI. U.S. GAAP does not allow upward revaluation.</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truck wears out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driven, so units of production fits. </w:t>
      </w:r>
      <w:r>
        <w:rPr>
          <w:sz w:val="19"/>
          <w:szCs w:val="19"/>
        </w:rPr>
        <w:t xml:space="preserve">A computer server loses value quickly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changes, so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fits. </w:t>
      </w:r>
      <w:r>
        <w:rPr>
          <w:sz w:val="19"/>
          <w:szCs w:val="19"/>
        </w:rPr>
        <w:t xml:space="preserve">An office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similar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year, so straight-line fits. </w:t>
      </w:r>
      <w:r>
        <w:rPr>
          <w:sz w:val="19"/>
          <w:szCs w:val="19"/>
        </w:rPr>
        <w:t xml:space="preserve">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machine hours drive the wear, so units of production gives the best matching; straight-line is simpler and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comparability with other companies in the industry, the cost of tracking usage, and management's view of income smoothing. </w:t>
      </w:r>
      <w:r>
        <w:rPr>
          <w:sz w:val="19"/>
          <w:szCs w:val="19"/>
        </w:rPr>
        <w:t xml:space="preserve">The tax method is a separate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technology   ·   delivery   ·   bottling   ·   kilometres   ·   acceptable   ·   accelerated   ·   service   ·   building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In a Level C question,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asset group</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kilometres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technology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delivery truck wears out with kilometres driven, so units of production fits. A computer server loses value quickly as technology changes, so an accelerated method fits. An office building gives similar service each year, so straight-line 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records depreciation up to the date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depreciation and compares the proceeds with the carrying amount. </w:t>
      </w:r>
      <w:r>
        <w:rPr>
          <w:sz w:val="19"/>
          <w:szCs w:val="19"/>
        </w:rPr>
        <w:t xml:space="preserve">If the proceeds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records a gain; if lower, a loss. </w:t>
      </w:r>
      <w:r>
        <w:rPr>
          <w:sz w:val="19"/>
          <w:szCs w:val="19"/>
        </w:rPr>
        <w:t xml:space="preserve">The gain or loss is part of income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higher   ·   disposal   ·   continuing   ·   involuntary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4"/>
      </w:pPr>
      <w:r>
        <w:rPr>
          <w:b/>
          <w:bCs/>
          <w:color w:val="353A7C"/>
          <w:sz w:val="18"/>
          <w:szCs w:val="18"/>
        </w:rPr>
        <w:t xml:space="preserve">Summary 2</w:t>
      </w:r>
      <w:r>
        <w:rPr>
          <w:color w:val="6B7280"/>
          <w:sz w:val="16"/>
          <w:szCs w:val="16"/>
        </w:rPr>
        <w:t xml:space="preserve">      gaps 5–9</w:t>
      </w:r>
    </w:p>
    <w:p>
      <w:pPr>
        <w:spacing w:before="20" w:after="20" w:line="360" w:lineRule="auto"/>
        <w:ind w:left="200"/>
      </w:pPr>
      <w:r>
        <w:rPr>
          <w:sz w:val="19"/>
          <w:szCs w:val="19"/>
        </w:rPr>
        <w:t xml:space="preserve">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commercial substance, the new asset is recorded at fair value and the gain or loss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commercial substance   ·   expropriation   ·   recognized   ·   special   ·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Record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proceeds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involuntary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If the proceeds are higher, it records a gain; if lower, a loss.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occurs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has committed to a plan to sell it, it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immediate sale, and the sale is expected within one year. </w:t>
      </w:r>
      <w:r>
        <w:rPr>
          <w:sz w:val="19"/>
          <w:szCs w:val="19"/>
        </w:rPr>
        <w:t xml:space="preserve">It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the lower of its carrying amount and fair value less cost to sell, and it is no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depreciated. </w:t>
      </w:r>
      <w:r>
        <w:rPr>
          <w:sz w:val="19"/>
          <w:szCs w:val="19"/>
        </w:rPr>
        <w:t xml:space="preserve">If fair value less cost to sell rises later, the company records a gain, but only up to the losses it recognized before. </w:t>
      </w:r>
      <w:r>
        <w:rPr>
          <w:sz w:val="19"/>
          <w:szCs w:val="19"/>
        </w:rPr>
        <w:t xml:space="preserve">Finite-lived intangibles, such as patents, are subject to amortization over their useful lives and follow the PP&amp;E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   ·   reduced   ·   measured   ·   available   ·   impairment   ·   longer   ·   goodwill   ·   management   ·   remaining   ·   reversed   ·   assets</w:t>
            </w:r>
          </w:p>
        </w:tc>
      </w:tr>
    </w:tbl>
    <w:p/>
    <w:p>
      <w:pPr>
        <w:spacing w:before="44" w:after="14"/>
      </w:pPr>
      <w:r>
        <w:rPr>
          <w:b/>
          <w:bCs/>
          <w:color w:val="353A7C"/>
          <w:sz w:val="18"/>
          <w:szCs w:val="18"/>
        </w:rPr>
        <w:t xml:space="preserve">Summary 2</w:t>
      </w:r>
      <w:r>
        <w:rPr>
          <w:color w:val="6B7280"/>
          <w:sz w:val="16"/>
          <w:szCs w:val="16"/>
        </w:rPr>
        <w:t xml:space="preserve">      gaps 11–20</w:t>
      </w:r>
    </w:p>
    <w:p>
      <w:pPr>
        <w:spacing w:before="20" w:after="20" w:line="360" w:lineRule="auto"/>
        <w:ind w:left="200"/>
      </w:pPr>
      <w:r>
        <w:rPr>
          <w:sz w:val="19"/>
          <w:szCs w:val="19"/>
        </w:rPr>
        <w:t xml:space="preserve">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intangible asset, such as a brand with no expected end, is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It is tested at least every year in one step: carrying amount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fair value. </w:t>
      </w:r>
      <w:r>
        <w:rPr>
          <w:sz w:val="19"/>
          <w:szCs w:val="19"/>
        </w:rPr>
        <w:t xml:space="preserve">ASU 2025-06 changes when companies start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rule, neither is tested yet. </w:t>
      </w:r>
      <w:r>
        <w:rPr>
          <w:sz w:val="19"/>
          <w:szCs w:val="19"/>
        </w:rPr>
        <w:t xml:space="preserve">IAS 36 uses one step: compare the carrying amount with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amount). </w:t>
      </w:r>
      <w:r>
        <w:rPr>
          <w:sz w:val="19"/>
          <w:szCs w:val="19"/>
        </w:rPr>
        <w:t xml:space="preserve">IFRS allows the reversal of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recoverable   ·   effective   ·   amortized   ·   government   ·   against   ·   capitalizing   ·   one-year   ·   asset group   ·   discounted   ·   indefinite-lived   ·   impairment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3</w:t>
      </w:r>
      <w:r>
        <w:rPr>
          <w:color w:val="6B7280"/>
          <w:sz w:val="16"/>
          <w:szCs w:val="16"/>
        </w:rPr>
        <w:t xml:space="preserve">      gaps 21–24</w:t>
      </w:r>
    </w:p>
    <w:p>
      <w:pPr>
        <w:spacing w:before="20" w:after="20" w:line="360" w:lineRule="auto"/>
        <w:ind w:left="200"/>
      </w:pPr>
      <w:r>
        <w:rPr>
          <w:sz w:val="19"/>
          <w:szCs w:val="19"/>
        </w:rPr>
        <w:t xml:space="preserve">Step 1 uses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earlier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indefinite-lived   ·   balance   ·   recoverability test   ·   measures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25–26</w:t>
      </w:r>
    </w:p>
    <w:p>
      <w:pPr>
        <w:spacing w:before="20" w:after="20" w:line="360" w:lineRule="auto"/>
        <w:ind w:left="200"/>
      </w:pPr>
      <w:r>
        <w:rPr>
          <w:sz w:val="19"/>
          <w:szCs w:val="19"/>
        </w:rPr>
        <w:t xml:space="preserve">Arabic texts use three words for impairment: الهبوط في القيمة (SOCPA), انخفاض القيمة (Gulf and Levant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الاضمحلال (Egypt). </w:t>
      </w:r>
      <w:r>
        <w:rPr>
          <w:sz w:val="19"/>
          <w:szCs w:val="19"/>
        </w:rPr>
        <w:t xml:space="preserve">In French, dépréciation means impairment; depreciation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   ·   amortissement   ·   impairment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2095"/>
        <w:gridCol w:w="2772"/>
        <w:gridCol w:w="386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444"/>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2015"/>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450"/>
            <w:tcMar>
              <w:top w:type="dxa" w:w="50"/>
              <w:left w:type="dxa" w:w="110"/>
              <w:bottom w:type="dxa" w:w="50"/>
              <w:right w:type="dxa" w:w="110"/>
            </w:tcMar>
          </w:tcPr>
          <w:p>
            <w:pPr>
              <w:spacing w:before="28" w:after="28"/>
            </w:pPr>
            <w:r>
              <w:rPr>
                <w:sz w:val="15"/>
                <w:szCs w:val="15"/>
              </w:rPr>
              <w:t xml:space="preserve">P</w:t>
            </w:r>
          </w:p>
        </w:tc>
        <w:tc>
          <w:tcPr>
            <w:tcW w:type="pct" w:w="1091"/>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444"/>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2015"/>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450"/>
            <w:shd w:fill="FBFAF6" w:val="clear"/>
            <w:tcMar>
              <w:top w:type="dxa" w:w="50"/>
              <w:left w:type="dxa" w:w="110"/>
              <w:bottom w:type="dxa" w:w="50"/>
              <w:right w:type="dxa" w:w="110"/>
            </w:tcMar>
          </w:tcPr>
          <w:p>
            <w:pPr>
              <w:spacing w:before="28" w:after="28"/>
            </w:pPr>
            <w:r>
              <w:rPr>
                <w:sz w:val="15"/>
                <w:szCs w:val="15"/>
              </w:rPr>
              <w:t xml:space="preserve">W</w:t>
            </w:r>
          </w:p>
        </w:tc>
        <w:tc>
          <w:tcPr>
            <w:tcW w:type="pct" w:w="1091"/>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444"/>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015"/>
            <w:shd w:fill="FBFAF6" w:val="clear"/>
            <w:tcMar>
              <w:top w:type="dxa" w:w="50"/>
              <w:left w:type="dxa" w:w="110"/>
              <w:bottom w:type="dxa" w:w="50"/>
              <w:right w:type="dxa" w:w="110"/>
            </w:tcMar>
          </w:tcPr>
          <w:p>
            <w:pPr>
              <w:spacing w:before="28" w:after="28"/>
            </w:pPr>
            <w:r>
              <w:rPr>
                <w:sz w:val="15"/>
                <w:szCs w:val="15"/>
              </w:rPr>
              <w:t xml:space="preserve">carrying 1,000; undiscounted cash flows 1,300; fair value 900</w:t>
            </w:r>
          </w:p>
        </w:tc>
      </w:tr>
      <w:tr>
        <w:tc>
          <w:tcPr>
            <w:tcW w:type="pct" w:w="450"/>
            <w:tcMar>
              <w:top w:type="dxa" w:w="50"/>
              <w:left w:type="dxa" w:w="110"/>
              <w:bottom w:type="dxa" w:w="50"/>
              <w:right w:type="dxa" w:w="110"/>
            </w:tcMar>
          </w:tcPr>
          <w:p>
            <w:pPr>
              <w:spacing w:before="28" w:after="28"/>
            </w:pPr>
            <w:r>
              <w:rPr>
                <w:sz w:val="15"/>
                <w:szCs w:val="15"/>
              </w:rPr>
              <w:t xml:space="preserve">B</w:t>
            </w:r>
          </w:p>
        </w:tc>
        <w:tc>
          <w:tcPr>
            <w:tcW w:type="pct" w:w="1091"/>
            <w:tcMar>
              <w:top w:type="dxa" w:w="50"/>
              <w:left w:type="dxa" w:w="110"/>
              <w:bottom w:type="dxa" w:w="50"/>
              <w:right w:type="dxa" w:w="110"/>
            </w:tcMar>
          </w:tcPr>
          <w:p>
            <w:pPr>
              <w:spacing w:before="28" w:after="28"/>
            </w:pPr>
            <w:r>
              <w:rPr>
                <w:sz w:val="15"/>
                <w:szCs w:val="15"/>
              </w:rPr>
              <w:t xml:space="preserve">Brand 'Orontes Gold' (indefinite life)</w:t>
            </w:r>
          </w:p>
        </w:tc>
        <w:tc>
          <w:tcPr>
            <w:tcW w:type="pct" w:w="1444"/>
            <w:tcMar>
              <w:top w:type="dxa" w:w="50"/>
              <w:left w:type="dxa" w:w="110"/>
              <w:bottom w:type="dxa" w:w="50"/>
              <w:right w:type="dxa" w:w="110"/>
            </w:tcMar>
          </w:tcPr>
          <w:p>
            <w:pPr>
              <w:spacing w:before="28" w:after="28"/>
            </w:pPr>
            <w:r>
              <w:rPr>
                <w:sz w:val="15"/>
                <w:szCs w:val="15"/>
              </w:rPr>
              <w:t xml:space="preserve">Annual test.</w:t>
            </w:r>
          </w:p>
        </w:tc>
        <w:tc>
          <w:tcPr>
            <w:tcW w:type="pct" w:w="2015"/>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450"/>
            <w:shd w:fill="FBFAF6" w:val="clear"/>
            <w:tcMar>
              <w:top w:type="dxa" w:w="50"/>
              <w:left w:type="dxa" w:w="110"/>
              <w:bottom w:type="dxa" w:w="50"/>
              <w:right w:type="dxa" w:w="110"/>
            </w:tcMar>
          </w:tcPr>
          <w:p>
            <w:pPr>
              <w:spacing w:before="28" w:after="28"/>
            </w:pPr>
            <w:r>
              <w:rPr>
                <w:sz w:val="15"/>
                <w:szCs w:val="15"/>
              </w:rPr>
              <w:t xml:space="preserve">G</w:t>
            </w:r>
          </w:p>
        </w:tc>
        <w:tc>
          <w:tcPr>
            <w:tcW w:type="pct" w:w="1091"/>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444"/>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015"/>
            <w:shd w:fill="FBFAF6" w:val="clear"/>
            <w:tcMar>
              <w:top w:type="dxa" w:w="50"/>
              <w:left w:type="dxa" w:w="110"/>
              <w:bottom w:type="dxa" w:w="50"/>
              <w:right w:type="dxa" w:w="110"/>
            </w:tcMar>
          </w:tcPr>
          <w:p>
            <w:pPr>
              <w:spacing w:before="28" w:after="28"/>
            </w:pPr>
            <w:r>
              <w:rPr>
                <w:sz w:val="15"/>
                <w:szCs w:val="15"/>
              </w:rPr>
              <w:t xml:space="preserve">carrying 2,000; goodwill included 150; fair value 1,700</w:t>
            </w:r>
          </w:p>
        </w:tc>
      </w:tr>
      <w:tr>
        <w:tc>
          <w:tcPr>
            <w:tcW w:type="pct" w:w="450"/>
            <w:tcMar>
              <w:top w:type="dxa" w:w="50"/>
              <w:left w:type="dxa" w:w="110"/>
              <w:bottom w:type="dxa" w:w="50"/>
              <w:right w:type="dxa" w:w="110"/>
            </w:tcMar>
          </w:tcPr>
          <w:p>
            <w:pPr>
              <w:spacing w:before="28" w:after="28"/>
            </w:pPr>
            <w:r>
              <w:rPr>
                <w:sz w:val="15"/>
                <w:szCs w:val="15"/>
              </w:rPr>
              <w:t xml:space="preserve">V</w:t>
            </w:r>
          </w:p>
        </w:tc>
        <w:tc>
          <w:tcPr>
            <w:tcW w:type="pct" w:w="1091"/>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1444"/>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2015"/>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Local property prices fell.   ·   Unit carrying amount includes the goodwill.   ·   Annual test.   ·   Pastry line, Dubai   ·   carrying 300; fair value 260   ·   Delivery van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061"/>
            <w:tcMar>
              <w:top w:type="dxa" w:w="50"/>
              <w:left w:type="dxa" w:w="110"/>
              <w:bottom w:type="dxa" w:w="50"/>
              <w:right w:type="dxa" w:w="110"/>
            </w:tcMar>
          </w:tcPr>
          <w:p>
            <w:pPr>
              <w:spacing w:before="26" w:after="26"/>
            </w:pPr>
            <w:r>
              <w:rPr>
                <w:color w:val="232733"/>
                <w:sz w:val="16"/>
                <w:szCs w:val="16"/>
              </w:rPr>
              <w:t xml:space="preserve">Year 2</w:t>
            </w:r>
          </w:p>
        </w:tc>
        <w:tc>
          <w:tcPr>
            <w:tcW w:type="pct" w:w="2939"/>
            <w:tcMar>
              <w:top w:type="dxa" w:w="50"/>
              <w:left w:type="dxa" w:w="110"/>
              <w:bottom w:type="dxa" w:w="50"/>
              <w:right w:type="dxa" w:w="110"/>
            </w:tcMar>
          </w:tcPr>
          <w:p>
            <w:pPr>
              <w:spacing w:before="26" w:after="26"/>
            </w:pPr>
            <w:r>
              <w:rPr>
                <w:color w:val="232733"/>
                <w:sz w:val="16"/>
                <w:szCs w:val="16"/>
              </w:rPr>
              <w:t xml:space="preserve">50% × 45,000 = 22,500; ending book value 22,500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Year 3</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50% × 22,500 = 11,250; ending book value 11,250</w:t>
            </w:r>
          </w:p>
        </w:tc>
      </w:tr>
      <w:tr>
        <w:tc>
          <w:tcPr>
            <w:tcW w:type="pct" w:w="2061"/>
            <w:tcMar>
              <w:top w:type="dxa" w:w="50"/>
              <w:left w:type="dxa" w:w="110"/>
              <w:bottom w:type="dxa" w:w="50"/>
              <w:right w:type="dxa" w:w="110"/>
            </w:tcMar>
          </w:tcPr>
          <w:p>
            <w:pPr>
              <w:spacing w:before="26" w:after="26"/>
            </w:pPr>
            <w:r>
              <w:rPr>
                <w:color w:val="232733"/>
                <w:sz w:val="16"/>
                <w:szCs w:val="16"/>
              </w:rPr>
              <w:t xml:space="preserve">Year 4</w:t>
            </w:r>
          </w:p>
        </w:tc>
        <w:tc>
          <w:tcPr>
            <w:tcW w:type="pct" w:w="2939"/>
            <w:tcMar>
              <w:top w:type="dxa" w:w="50"/>
              <w:left w:type="dxa" w:w="110"/>
              <w:bottom w:type="dxa" w:w="50"/>
              <w:right w:type="dxa" w:w="110"/>
            </w:tcMar>
          </w:tcPr>
          <w:p>
            <w:pPr>
              <w:spacing w:before="26" w:after="26"/>
            </w:pPr>
            <w:r>
              <w:rPr>
                <w:color w:val="232733"/>
                <w:sz w:val="16"/>
                <w:szCs w:val="16"/>
              </w:rPr>
              <w:t xml:space="preserve">The rate would give more than is left above salvage, so depreciation is 11,250 − 10,000 = 1,250; ending book value 10,000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tcMar>
              <w:top w:type="dxa" w:w="50"/>
              <w:left w:type="dxa" w:w="110"/>
              <w:bottom w:type="dxa" w:w="50"/>
              <w:right w:type="dxa" w:w="110"/>
            </w:tcMar>
          </w:tcPr>
          <w:p>
            <w:pPr>
              <w:spacing w:before="26" w:after="26"/>
            </w:pPr>
            <w:r>
              <w:rPr>
                <w:b/>
                <w:bCs/>
                <w:color w:val="353A7C"/>
                <w:sz w:val="15"/>
                <w:szCs w:val="15"/>
              </w:rPr>
              <w:t xml:space="preserve">Asset</w:t>
            </w:r>
          </w:p>
        </w:tc>
        <w:tc>
          <w:tcPr>
            <w:tcW w:type="pct" w:w="2939"/>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061"/>
            <w:tcMar>
              <w:top w:type="dxa" w:w="50"/>
              <w:left w:type="dxa" w:w="110"/>
              <w:bottom w:type="dxa" w:w="50"/>
              <w:right w:type="dxa" w:w="110"/>
            </w:tcMar>
          </w:tcPr>
          <w:p>
            <w:pPr>
              <w:spacing w:before="26" w:after="26"/>
            </w:pPr>
            <w:r>
              <w:rPr>
                <w:color w:val="232733"/>
                <w:sz w:val="16"/>
                <w:szCs w:val="16"/>
              </w:rPr>
              <w:t xml:space="preserve">P</w:t>
            </w:r>
          </w:p>
        </w:tc>
        <w:tc>
          <w:tcPr>
            <w:tcW w:type="pct" w:w="2939"/>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tcMar>
              <w:top w:type="dxa" w:w="50"/>
              <w:left w:type="dxa" w:w="110"/>
              <w:bottom w:type="dxa" w:w="50"/>
              <w:right w:type="dxa" w:w="110"/>
            </w:tcMar>
          </w:tcPr>
          <w:p>
            <w:pPr>
              <w:spacing w:before="26" w:after="26"/>
            </w:pPr>
            <w:r>
              <w:rPr>
                <w:color w:val="232733"/>
                <w:sz w:val="16"/>
                <w:szCs w:val="16"/>
              </w:rPr>
              <w:t xml:space="preserve">B</w:t>
            </w:r>
          </w:p>
        </w:tc>
        <w:tc>
          <w:tcPr>
            <w:tcW w:type="pct" w:w="2939"/>
            <w:tcMar>
              <w:top w:type="dxa" w:w="50"/>
              <w:left w:type="dxa" w:w="110"/>
              <w:bottom w:type="dxa" w:w="50"/>
              <w:right w:type="dxa" w:w="110"/>
            </w:tcMar>
          </w:tcPr>
          <w:p>
            <w:pPr>
              <w:spacing w:before="26" w:after="26"/>
            </w:pPr>
            <w:r>
              <w:rPr>
                <w:color w:val="232733"/>
                <w:sz w:val="16"/>
                <w:szCs w:val="16"/>
              </w:rPr>
              <w:t xml:space="preserve">One step: carrying amount vs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Single-step goodwill test</w:t>
            </w:r>
          </w:p>
        </w:tc>
      </w:tr>
      <w:tr>
        <w:tc>
          <w:tcPr>
            <w:tcW w:type="pct" w:w="2061"/>
            <w:tcMar>
              <w:top w:type="dxa" w:w="50"/>
              <w:left w:type="dxa" w:w="110"/>
              <w:bottom w:type="dxa" w:w="50"/>
              <w:right w:type="dxa" w:w="110"/>
            </w:tcMar>
          </w:tcPr>
          <w:p>
            <w:pPr>
              <w:spacing w:before="26" w:after="26"/>
            </w:pPr>
            <w:r>
              <w:rPr>
                <w:color w:val="232733"/>
                <w:sz w:val="16"/>
                <w:szCs w:val="16"/>
              </w:rPr>
              <w:t xml:space="preserve">V</w:t>
            </w:r>
          </w:p>
        </w:tc>
        <w:tc>
          <w:tcPr>
            <w:tcW w:type="pct" w:w="2939"/>
            <w:tcMar>
              <w:top w:type="dxa" w:w="50"/>
              <w:left w:type="dxa" w:w="110"/>
              <w:bottom w:type="dxa" w:w="50"/>
              <w:right w:type="dxa" w:w="110"/>
            </w:tcMar>
          </w:tcPr>
          <w:p>
            <w:pPr>
              <w:spacing w:before="26" w:after="26"/>
            </w:pPr>
            <w:r>
              <w:rPr>
                <w:color w:val="232733"/>
                <w:sz w:val="16"/>
                <w:szCs w:val="16"/>
              </w:rPr>
              <w:t xml:space="preserve">Lower of carrying amount and fair value less cost to sell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impairment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amortissement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longer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Local property prices fell.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carrying 300; fair value 260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Unit carrying amount includes the 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one-year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 If fair value less cost to sell rises later, the company records a gain, but only up to the losses it recognized before. Finite-lived intangibles, such as patents, are subject to amortization over their useful lives and follow the PP&amp;E test.</w:t>
      </w:r>
    </w:p>
    <w:p>
      <w:pPr>
        <w:spacing w:before="20" w:after="20"/>
        <w:ind w:left="240" w:hanging="240"/>
      </w:pPr>
      <w:r>
        <w:rPr>
          <w:b/>
          <w:bCs/>
          <w:color w:val="353A7C"/>
          <w:sz w:val="15"/>
          <w:szCs w:val="15"/>
        </w:rPr>
        <w:t xml:space="preserve">Summary 2   </w:t>
      </w:r>
      <w:r>
        <w:rPr>
          <w:color w:val="6B7280"/>
          <w:sz w:val="15"/>
          <w:szCs w:val="15"/>
        </w:rPr>
        <w:t xml:space="preserve">An indefinite-lived intangible asset, such as a brand with no expected end, is not amortized. It is tested at least every year in one step: carrying amount against fair value.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3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pacing w:before="20" w:after="20"/>
        <w:ind w:left="240" w:hanging="240"/>
      </w:pPr>
      <w:r>
        <w:rPr>
          <w:b/>
          <w:bCs/>
          <w:color w:val="353A7C"/>
          <w:sz w:val="15"/>
          <w:szCs w:val="15"/>
        </w:rPr>
        <w:t xml:space="preserve">Summary 4   </w:t>
      </w:r>
      <w:r>
        <w:rPr>
          <w:color w:val="6B7280"/>
          <w:sz w:val="15"/>
          <w:szCs w:val="15"/>
        </w:rPr>
        <w:t xml:space="preserve">Arabic texts use three words for impairment: الهبوط في القيمة (SOCPA), انخفاض القيمة (Gulf and Levant practice) and الاضمحلال (Egypt). In French, dépréciation means impairment; depreciation is amortissement.</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Revenue is the inflow from a company's main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arrive before, at or after that moment. </w:t>
      </w:r>
      <w:r>
        <w:rPr>
          <w:sz w:val="19"/>
          <w:szCs w:val="19"/>
        </w:rPr>
        <w:t xml:space="preserve">ASC 606 applies one model to all contracts with customers: goods, services, construction and software.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therefore   ·   revenue   ·   entitled   ·   activities   ·   recognizes   ·   direct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transfer a distinct good or service is a separate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identifiable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performance   ·   criteria   ·   material right   ·   higher   ·   substantially   ·   meaning   ·   consideration   ·   commercial   ·   revenue   ·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45"/>
        <w:gridCol w:w="4992"/>
        <w:gridCol w:w="186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1430"/>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970"/>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1430"/>
            <w:tcMar>
              <w:top w:type="dxa" w:w="50"/>
              <w:left w:type="dxa" w:w="110"/>
              <w:bottom w:type="dxa" w:w="50"/>
              <w:right w:type="dxa" w:w="110"/>
            </w:tcMar>
          </w:tcPr>
          <w:p>
            <w:pPr>
              <w:spacing w:before="28" w:after="28"/>
            </w:pPr>
            <w:r>
              <w:rPr>
                <w:sz w:val="15"/>
                <w:szCs w:val="15"/>
              </w:rPr>
              <w:t xml:space="preserve">1. Identify the contract</w:t>
            </w:r>
          </w:p>
        </w:tc>
        <w:tc>
          <w:tcPr>
            <w:tcW w:type="pct" w:w="2600"/>
            <w:tcMar>
              <w:top w:type="dxa" w:w="50"/>
              <w:left w:type="dxa" w:w="110"/>
              <w:bottom w:type="dxa" w:w="50"/>
              <w:right w:type="dxa" w:w="110"/>
            </w:tcMar>
          </w:tcPr>
          <w:p>
            <w:pPr>
              <w:spacing w:before="28" w:after="28"/>
            </w:pPr>
            <w:r>
              <w:rPr>
                <w:sz w:val="15"/>
                <w:szCs w:val="15"/>
              </w:rPr>
              <w:t xml:space="preserve">A signed agreement for olive oil, a dispenser and maintenance; payment terms clear; collection probable.</w:t>
            </w:r>
          </w:p>
        </w:tc>
        <w:tc>
          <w:tcPr>
            <w:tcW w:type="pct" w:w="970"/>
            <w:tcMar>
              <w:top w:type="dxa" w:w="50"/>
              <w:left w:type="dxa" w:w="110"/>
              <w:bottom w:type="dxa" w:w="50"/>
              <w:right w:type="dxa" w:w="110"/>
            </w:tcMar>
          </w:tcPr>
          <w:p>
            <w:pPr>
              <w:spacing w:before="28" w:after="28"/>
            </w:pPr>
            <w:r>
              <w:rPr>
                <w:sz w:val="15"/>
                <w:szCs w:val="15"/>
              </w:rPr>
              <w:t xml:space="preserve">Contract exists</w:t>
            </w:r>
          </w:p>
        </w:tc>
      </w:tr>
      <w:tr>
        <w:tc>
          <w:tcPr>
            <w:tcW w:type="pct" w:w="1430"/>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6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97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30"/>
            <w:tcMar>
              <w:top w:type="dxa" w:w="50"/>
              <w:left w:type="dxa" w:w="110"/>
              <w:bottom w:type="dxa" w:w="50"/>
              <w:right w:type="dxa" w:w="110"/>
            </w:tcMar>
          </w:tcPr>
          <w:p>
            <w:pPr>
              <w:spacing w:before="28" w:after="28"/>
            </w:pPr>
            <w:r>
              <w:rPr>
                <w:sz w:val="15"/>
                <w:szCs w:val="15"/>
              </w:rPr>
              <w:t xml:space="preserve">3. Determine the transaction price</w:t>
            </w:r>
          </w:p>
        </w:tc>
        <w:tc>
          <w:tcPr>
            <w:tcW w:type="pct" w:w="26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970"/>
            <w:tcMar>
              <w:top w:type="dxa" w:w="50"/>
              <w:left w:type="dxa" w:w="110"/>
              <w:bottom w:type="dxa" w:w="50"/>
              <w:right w:type="dxa" w:w="110"/>
            </w:tcMar>
          </w:tcPr>
          <w:p>
            <w:pPr>
              <w:spacing w:before="28" w:after="28"/>
            </w:pPr>
            <w:r>
              <w:rPr>
                <w:sz w:val="15"/>
                <w:szCs w:val="15"/>
              </w:rPr>
              <w:t xml:space="preserve">1,080,000</w:t>
            </w:r>
          </w:p>
        </w:tc>
      </w:tr>
      <w:tr>
        <w:tc>
          <w:tcPr>
            <w:tcW w:type="pct" w:w="1430"/>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600"/>
            <w:shd w:fill="FBFAF6" w:val="clear"/>
            <w:tcMar>
              <w:top w:type="dxa" w:w="50"/>
              <w:left w:type="dxa" w:w="110"/>
              <w:bottom w:type="dxa" w:w="50"/>
              <w:right w:type="dxa" w:w="110"/>
            </w:tcMar>
          </w:tcPr>
          <w:p>
            <w:pPr>
              <w:spacing w:before="28" w:after="28"/>
            </w:pPr>
            <w:r>
              <w:rPr>
                <w:sz w:val="15"/>
                <w:szCs w:val="15"/>
              </w:rPr>
              <w:t xml:space="preserve">Relative standalone selling prices totalling 1,200,000; each obligation gets 90%.</w:t>
            </w:r>
          </w:p>
        </w:tc>
        <w:tc>
          <w:tcPr>
            <w:tcW w:type="pct" w:w="970"/>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1430"/>
            <w:tcMar>
              <w:top w:type="dxa" w:w="50"/>
              <w:left w:type="dxa" w:w="110"/>
              <w:bottom w:type="dxa" w:w="50"/>
              <w:right w:type="dxa" w:w="110"/>
            </w:tcMar>
          </w:tcPr>
          <w:p>
            <w:pPr>
              <w:spacing w:before="28" w:after="28"/>
            </w:pPr>
            <w:r>
              <w:rPr>
                <w:sz w:val="15"/>
                <w:szCs w:val="15"/>
              </w:rPr>
              <w:t xml:space="preserve">5. Recognize revenue</w:t>
            </w:r>
          </w:p>
        </w:tc>
        <w:tc>
          <w:tcPr>
            <w:tcW w:type="pct" w:w="2600"/>
            <w:tcMar>
              <w:top w:type="dxa" w:w="50"/>
              <w:left w:type="dxa" w:w="110"/>
              <w:bottom w:type="dxa" w:w="50"/>
              <w:right w:type="dxa" w:w="110"/>
            </w:tcMar>
          </w:tcPr>
          <w:p>
            <w:pPr>
              <w:spacing w:before="28" w:after="28"/>
            </w:pPr>
            <w:r>
              <w:rPr>
                <w:sz w:val="15"/>
                <w:szCs w:val="15"/>
              </w:rPr>
              <w:t xml:space="preserve">Oil and dispenser: at delivery (point in time). Maintenance: over 24 months (over time).</w:t>
            </w:r>
          </w:p>
        </w:tc>
        <w:tc>
          <w:tcPr>
            <w:tcW w:type="pct" w:w="97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exists   ·   Three obligations   ·   2026: 515,250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In U.S. GAAP, probable means likely to occur: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performance obligation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right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2026: 515,250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estimates it using the expected value, for many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Three other items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financing component is removed when payment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such as a slotting fee paid to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shelf space, reduces revenue. </w:t>
      </w:r>
      <w:r>
        <w:rPr>
          <w:sz w:val="19"/>
          <w:szCs w:val="19"/>
        </w:rPr>
        <w:t xml:space="preserve">Sales taxes and VAT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may be excluded from revenue by policy. </w:t>
      </w:r>
      <w:r>
        <w:rPr>
          <w:sz w:val="19"/>
          <w:szCs w:val="19"/>
        </w:rPr>
        <w:t xml:space="preserve">Step 4: allocate the transaction price to the performance obligations in proportion to their standalone selling prices. </w:t>
      </w:r>
      <w:r>
        <w:rPr>
          <w:sz w:val="19"/>
          <w:szCs w:val="19"/>
        </w:rPr>
        <w:t xml:space="preserve">When an observable price is not available, the company estimates it, for example from market prices or expected cost plus a margin. </w:t>
      </w:r>
      <w:r>
        <w:rPr>
          <w:sz w:val="19"/>
          <w:szCs w:val="19"/>
        </w:rPr>
        <w:t xml:space="preserve">The residual approach is allowed only when a price is highly variable or uncertain.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expects   ·   delivery   ·   all-or-nothing   ·   determine   ·   collected   ·   significant   ·   includes   ·   possible   ·   supermarket   ·   rebates   ·   customer   ·   change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Revenue for each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its allocated price, not its standalone selling price. </w:t>
      </w:r>
      <w:r>
        <w:rPr>
          <w:sz w:val="19"/>
          <w:szCs w:val="19"/>
        </w:rPr>
        <w:t xml:space="preserve">A slotting fee paid to a customer reduces revenue; it is not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transaction price   ·   obligation   ·   residual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0"/>
        <w:gridCol w:w="4992"/>
        <w:gridCol w:w="200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354"/>
            <w:tcMar>
              <w:top w:type="dxa" w:w="50"/>
              <w:left w:type="dxa" w:w="110"/>
              <w:bottom w:type="dxa" w:w="50"/>
              <w:right w:type="dxa" w:w="110"/>
            </w:tcMar>
          </w:tcPr>
          <w:p>
            <w:pPr>
              <w:spacing w:before="26" w:after="26"/>
            </w:pPr>
            <w:r>
              <w:rPr>
                <w:b/>
                <w:bCs/>
                <w:color w:val="353A7C"/>
                <w:sz w:val="15"/>
                <w:szCs w:val="15"/>
              </w:rPr>
              <w:t xml:space="preserve">Suppose: sales of 2,400,000 with a 3% volume reb</w:t>
            </w:r>
          </w:p>
        </w:tc>
        <w:tc>
          <w:tcPr>
            <w:tcW w:type="pct" w:w="2600"/>
            <w:tcMar>
              <w:top w:type="dxa" w:w="50"/>
              <w:left w:type="dxa" w:w="110"/>
              <w:bottom w:type="dxa" w:w="50"/>
              <w:right w:type="dxa" w:w="110"/>
            </w:tcMar>
          </w:tcPr>
          <w:p>
            <w:pPr>
              <w:spacing w:before="26" w:after="26"/>
            </w:pPr>
            <w:r>
              <w:rPr>
                <w:b/>
                <w:bCs/>
                <w:color w:val="353A7C"/>
                <w:sz w:val="15"/>
                <w:szCs w:val="15"/>
              </w:rPr>
              <w:t xml:space="preserve">How it works</w:t>
            </w:r>
          </w:p>
        </w:tc>
        <w:tc>
          <w:tcPr>
            <w:tcW w:type="pct" w:w="1046"/>
            <w:tcMar>
              <w:top w:type="dxa" w:w="50"/>
              <w:left w:type="dxa" w:w="110"/>
              <w:bottom w:type="dxa" w:w="50"/>
              <w:right w:type="dxa" w:w="110"/>
            </w:tcMar>
          </w:tcPr>
          <w:p>
            <w:pPr>
              <w:spacing w:before="26" w:after="26"/>
            </w:pPr>
            <w:r>
              <w:rPr>
                <w:b/>
                <w:bCs/>
                <w:color w:val="353A7C"/>
                <w:sz w:val="15"/>
                <w:szCs w:val="15"/>
              </w:rPr>
              <w:t xml:space="preserve">Revenue (whole USD)</w:t>
            </w:r>
          </w:p>
        </w:tc>
      </w:tr>
      <w:tr>
        <w:tc>
          <w:tcPr>
            <w:tcW w:type="pct" w:w="1354"/>
            <w:tcMar>
              <w:top w:type="dxa" w:w="50"/>
              <w:left w:type="dxa" w:w="110"/>
              <w:bottom w:type="dxa" w:w="50"/>
              <w:right w:type="dxa" w:w="110"/>
            </w:tcMar>
          </w:tcPr>
          <w:p>
            <w:pPr>
              <w:spacing w:before="26" w:after="26"/>
            </w:pPr>
            <w:r>
              <w:rPr>
                <w:color w:val="232733"/>
                <w:sz w:val="16"/>
                <w:szCs w:val="16"/>
              </w:rPr>
              <w:t xml:space="preserve">Most likely amount</w:t>
            </w:r>
          </w:p>
        </w:tc>
        <w:tc>
          <w:tcPr>
            <w:tcW w:type="pct" w:w="2600"/>
            <w:tcMar>
              <w:top w:type="dxa" w:w="50"/>
              <w:left w:type="dxa" w:w="110"/>
              <w:bottom w:type="dxa" w:w="50"/>
              <w:right w:type="dxa" w:w="110"/>
            </w:tcMar>
          </w:tcPr>
          <w:p>
            <w:pPr>
              <w:spacing w:before="26" w:after="26"/>
            </w:pPr>
            <w:r>
              <w:rPr>
                <w:color w:val="232733"/>
                <w:sz w:val="16"/>
                <w:szCs w:val="16"/>
              </w:rPr>
              <w:t xml:space="preserve">The rebate is all or nothing, so use the single most likely outcome: the rebate is earned (70% likely).</w:t>
            </w:r>
          </w:p>
        </w:tc>
        <w:tc>
          <w:tcPr>
            <w:tcW w:type="pct" w:w="1046"/>
            <w:tcMar>
              <w:top w:type="dxa" w:w="50"/>
              <w:left w:type="dxa" w:w="110"/>
              <w:bottom w:type="dxa" w:w="50"/>
              <w:right w:type="dxa" w:w="110"/>
            </w:tcMar>
          </w:tcPr>
          <w:p>
            <w:pPr>
              <w:spacing w:before="26" w:after="26"/>
            </w:pPr>
            <w:r>
              <w:rPr>
                <w:color w:val="232733"/>
                <w:sz w:val="16"/>
                <w:szCs w:val="16"/>
              </w:rPr>
              <w:t xml:space="preserve">2,328,000</w:t>
            </w:r>
          </w:p>
        </w:tc>
      </w:tr>
      <w:tr>
        <w:tc>
          <w:tcPr>
            <w:tcW w:type="pct" w:w="1354"/>
            <w:shd w:fill="FBFAF6" w:val="clear"/>
            <w:tcMar>
              <w:top w:type="dxa" w:w="50"/>
              <w:left w:type="dxa" w:w="110"/>
              <w:bottom w:type="dxa" w:w="50"/>
              <w:right w:type="dxa" w:w="110"/>
            </w:tcMar>
          </w:tcPr>
          <w:p>
            <w:pPr>
              <w:spacing w:before="26" w:after="26"/>
            </w:pPr>
            <w:r>
              <w:rPr>
                <w:color w:val="232733"/>
                <w:sz w:val="16"/>
                <w:szCs w:val="16"/>
              </w:rPr>
              <w:t xml:space="preserve">Expected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Probability-weighted: 70% × 72,000 = 50,400 rebate. Best when there are many possible outcomes.</w:t>
            </w:r>
          </w:p>
        </w:tc>
        <w:tc>
          <w:tcPr>
            <w:tcW w:type="pct" w:w="1046"/>
            <w:shd w:fill="FBFAF6" w:val="clear"/>
            <w:tcMar>
              <w:top w:type="dxa" w:w="50"/>
              <w:left w:type="dxa" w:w="110"/>
              <w:bottom w:type="dxa" w:w="50"/>
              <w:right w:type="dxa" w:w="110"/>
            </w:tcMar>
          </w:tcPr>
          <w:p>
            <w:pPr>
              <w:spacing w:before="26" w:after="26"/>
            </w:pPr>
            <w:r>
              <w:rPr>
                <w:color w:val="232733"/>
                <w:sz w:val="16"/>
                <w:szCs w:val="16"/>
              </w:rPr>
              <w:t xml:space="preserve">2,349,600</w:t>
            </w:r>
          </w:p>
        </w:tc>
      </w:tr>
      <w:tr>
        <w:tc>
          <w:tcPr>
            <w:tcW w:type="pct" w:w="1354"/>
            <w:tcMar>
              <w:top w:type="dxa" w:w="50"/>
              <w:left w:type="dxa" w:w="110"/>
              <w:bottom w:type="dxa" w:w="50"/>
              <w:right w:type="dxa" w:w="110"/>
            </w:tcMar>
          </w:tcPr>
          <w:p>
            <w:pPr>
              <w:spacing w:before="26" w:after="26"/>
            </w:pPr>
            <w:r>
              <w:rPr>
                <w:color w:val="232733"/>
                <w:sz w:val="16"/>
                <w:szCs w:val="16"/>
              </w:rPr>
              <w:t xml:space="preserve">Constraint</w:t>
            </w:r>
          </w:p>
        </w:tc>
        <w:tc>
          <w:tcPr>
            <w:tcW w:type="pct" w:w="2600"/>
            <w:tcMar>
              <w:top w:type="dxa" w:w="50"/>
              <w:left w:type="dxa" w:w="110"/>
              <w:bottom w:type="dxa" w:w="50"/>
              <w:right w:type="dxa" w:w="110"/>
            </w:tcMar>
          </w:tcPr>
          <w:p>
            <w:pPr>
              <w:spacing w:before="26" w:after="26"/>
            </w:pPr>
            <w:r>
              <w:rPr>
                <w:color w:val="232733"/>
                <w:sz w:val="16"/>
                <w:szCs w:val="16"/>
              </w:rPr>
              <w:t xml:space="preserve">Include variable amounts only if a significant reversal of revenue is not probable later.</w:t>
            </w:r>
          </w:p>
        </w:tc>
        <w:tc>
          <w:tcPr>
            <w:tcW w:type="pct" w:w="1046"/>
            <w:tcMar>
              <w:top w:type="dxa" w:w="50"/>
              <w:left w:type="dxa" w:w="110"/>
              <w:bottom w:type="dxa" w:w="50"/>
              <w:right w:type="dxa" w:w="110"/>
            </w:tcMar>
          </w:tcPr>
          <w:p>
            <w:pPr>
              <w:spacing w:before="26" w:after="26"/>
            </w:pPr>
            <w:r>
              <w:rPr>
                <w:color w:val="232733"/>
                <w:sz w:val="16"/>
                <w:szCs w:val="16"/>
              </w:rPr>
              <w:t xml:space="preserve">Applies to both</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consideration   ·   constraint on variable consideration   ·   output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supermarket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constraint on 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 When an observable price is not available, the company estimates it, for example from market prices or expected cost plus a margin. The residual approach is allowed only when a price is highly variable or uncertain.</w:t>
      </w:r>
    </w:p>
    <w:p>
      <w:pPr>
        <w:spacing w:before="20" w:after="20"/>
        <w:ind w:left="240" w:hanging="240"/>
      </w:pPr>
      <w:r>
        <w:rPr>
          <w:b/>
          <w:bCs/>
          <w:color w:val="353A7C"/>
          <w:sz w:val="15"/>
          <w:szCs w:val="15"/>
        </w:rPr>
        <w:t xml:space="preserve">Summary 2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Step 5: recognize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point in time   ·   performs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Olive oil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each delivery. </w:t>
      </w:r>
      <w:r>
        <w:rPr>
          <w:sz w:val="19"/>
          <w:szCs w:val="19"/>
        </w:rPr>
        <w:t xml:space="preserve">By December 31, Orontes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Maintenance is over time: 3 months of 24 at $3,750 per month, $11,250.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delivered   ·   recognized   ·   over time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principal   ·   Total   ·   Dispenser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Dispenser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When customers may return goods, the company recognizes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for goods it does not expect to be returned. </w:t>
      </w:r>
      <w:r>
        <w:rPr>
          <w:sz w:val="19"/>
          <w:szCs w:val="19"/>
        </w:rPr>
        <w:t xml:space="preserve">It records a refund liability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refunds and a separate asset for its right to recover the returned goods. </w:t>
      </w:r>
      <w:r>
        <w:rPr>
          <w:sz w:val="19"/>
          <w:szCs w:val="19"/>
        </w:rPr>
        <w:t xml:space="preserve">The asset and the liability are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netted   ·   expected   ·   revenue   ·   refund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4–10</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sold until the consignee sells them. </w:t>
      </w:r>
      <w:r>
        <w:rPr>
          <w:sz w:val="19"/>
          <w:szCs w:val="19"/>
        </w:rPr>
        <w:t xml:space="preserve">In a bill-and-hold arrangement,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material right, such as loyalty points, which is a separate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 customers are not expected to use, in proportion to the cards that are used.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upfront fees are usually deferred. </w:t>
      </w:r>
      <w:r>
        <w:rPr>
          <w:sz w:val="19"/>
          <w:szCs w:val="19"/>
        </w:rPr>
        <w:t xml:space="preserve">Chapter 12 explains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promise   ·   Nonrefundable   ·   consignment   ·   obligation   ·   breakage   ·   agent   ·   warranties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An agent's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agent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breakage   ·   agent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Nonrefundable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warranties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netted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breakage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 Chapter 12 explains warranties.</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transfers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   ·   GreenBasket   ·   related   ·   Incremental   ·   principle   ·   depreciated   ·   salesperson   ·   advertising   ·   capitalizes   ·   variable consideration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transaction price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ASU 2025-07 explains how to account for shares that a customer pays 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practical expedient for credit losses on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contract assets; it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applies   ·   matching principle   ·   receivables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إيرادات مؤجلة and produits constatés d'avance</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Arabic إيرادات مؤجلة and French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constatés d'avance describe cash received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earned. </w:t>
      </w:r>
      <w:r>
        <w:rPr>
          <w:sz w:val="19"/>
          <w:szCs w:val="19"/>
        </w:rPr>
        <w:t xml:space="preserve">Under ASC 606 the correct term is contract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produits   ·   revenue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إيرادات مؤجلة and produits constatés d'avance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date</w:t>
            </w:r>
          </w:p>
        </w:tc>
        <w:tc>
          <w:tcPr>
            <w:tcW w:type="pct" w:w="2600"/>
            <w:tcMar>
              <w:top w:type="dxa" w:w="50"/>
              <w:left w:type="dxa" w:w="110"/>
              <w:bottom w:type="dxa" w:w="50"/>
              <w:right w:type="dxa" w:w="110"/>
            </w:tcMar>
          </w:tcPr>
          <w:p>
            <w:pPr>
              <w:spacing w:before="26" w:after="26"/>
            </w:pPr>
            <w:r>
              <w:rPr>
                <w:color w:val="232733"/>
                <w:sz w:val="16"/>
                <w:szCs w:val="16"/>
              </w:rPr>
              <w:t xml:space="preserve">September 1, 2026</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Qasr Hotels, a hotel chain in Amman</w:t>
            </w:r>
          </w:p>
        </w:tc>
      </w:tr>
      <w:tr>
        <w:tc>
          <w:tcPr>
            <w:tcW w:type="pct" w:w="2400"/>
            <w:tcMar>
              <w:top w:type="dxa" w:w="50"/>
              <w:left w:type="dxa" w:w="110"/>
              <w:bottom w:type="dxa" w:w="50"/>
              <w:right w:type="dxa" w:w="110"/>
            </w:tcMar>
          </w:tcPr>
          <w:p>
            <w:pPr>
              <w:spacing w:before="26" w:after="26"/>
            </w:pPr>
            <w:r>
              <w:rPr>
                <w:color w:val="232733"/>
                <w:sz w:val="16"/>
                <w:szCs w:val="16"/>
              </w:rPr>
              <w:t xml:space="preserve">Fixed contract price</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540</w:t>
            </w:r>
          </w:p>
        </w:tc>
      </w:tr>
      <w:tr>
        <w:tc>
          <w:tcPr>
            <w:tcW w:type="pct" w:w="2400"/>
            <w:tcMar>
              <w:top w:type="dxa" w:w="50"/>
              <w:left w:type="dxa" w:w="110"/>
              <w:bottom w:type="dxa" w:w="50"/>
              <w:right w:type="dxa" w:w="110"/>
            </w:tcMar>
          </w:tcPr>
          <w:p>
            <w:pPr>
              <w:spacing w:before="26" w:after="26"/>
            </w:pPr>
            <w:r>
              <w:rPr>
                <w:color w:val="232733"/>
                <w:sz w:val="16"/>
                <w:szCs w:val="16"/>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6" w:after="26"/>
            </w:pPr>
            <w:r>
              <w:rPr>
                <w:color w:val="232733"/>
                <w:sz w:val="16"/>
                <w:szCs w:val="16"/>
              </w:rPr>
              <w:t xml:space="preserve">60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Orontes pays Qasr 10 to list Orontes juices on hotel menus. Orontes receives no distinct service.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delivers by its own trucks; control passes when the juices arrive. Orontes treats shipping as a fulfillment cost.</w:t>
            </w:r>
          </w:p>
        </w:tc>
      </w:tr>
      <w:tr>
        <w:tc>
          <w:tcPr>
            <w:tcW w:type="pct" w:w="2400"/>
            <w:tcMar>
              <w:top w:type="dxa" w:w="50"/>
              <w:left w:type="dxa" w:w="110"/>
              <w:bottom w:type="dxa" w:w="50"/>
              <w:right w:type="dxa" w:w="110"/>
            </w:tcMar>
          </w:tcPr>
          <w:p>
            <w:pPr>
              <w:spacing w:before="26" w:after="26"/>
            </w:pPr>
            <w:r>
              <w:rPr>
                <w:color w:val="232733"/>
                <w:sz w:val="16"/>
                <w:szCs w:val="16"/>
              </w:rPr>
              <w:t xml:space="preserve">M4</w:t>
            </w:r>
          </w:p>
        </w:tc>
        <w:tc>
          <w:tcPr>
            <w:tcW w:type="pct" w:w="2600"/>
            <w:tcMar>
              <w:top w:type="dxa" w:w="50"/>
              <w:left w:type="dxa" w:w="110"/>
              <w:bottom w:type="dxa" w:w="50"/>
              <w:right w:type="dxa" w:w="110"/>
            </w:tcMar>
          </w:tcPr>
          <w:p>
            <w:pPr>
              <w:spacing w:before="26" w:after="26"/>
            </w:pPr>
            <w:r>
              <w:rPr>
                <w:color w:val="232733"/>
                <w:sz w:val="16"/>
                <w:szCs w:val="16"/>
              </w:rPr>
              <w:t xml:space="preserve">By December 31, 2026, Qasr has paid 250. Four monthly deliveries have been made.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BFAF6" w:val="clear"/>
            <w:tcMar>
              <w:top w:type="dxa" w:w="50"/>
              <w:left w:type="dxa" w:w="110"/>
              <w:bottom w:type="dxa" w:w="50"/>
              <w:right w:type="dxa" w:w="110"/>
            </w:tcMar>
          </w:tcPr>
          <w:p>
            <w:pPr>
              <w:spacing w:before="28" w:after="28"/>
            </w:pPr>
            <w:r>
              <w:rPr>
                <w:sz w:val="15"/>
                <w:szCs w:val="15"/>
              </w:rPr>
              <w:t xml:space="preserve">50 × $20 = 1,000</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(1,000 − 50) × $12 = 11,400   ·   50 × $20 = 1,000   ·   (1,000 − 50) × $20 = 19,000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training   ·   output method   ·   Menu listing fee (M2)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input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 when the renewal period begins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(1,000 − 50) × $12 = 11,400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Staff training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Menu listing fee (M2)</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Never reversed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Arabic إيرادات مؤجلة and French produits constatés d'avance describe cash received before revenue is earned.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warranty liability   ·   What makes a liability current</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creating other current liabilities, normally within one year. </w:t>
      </w:r>
      <w:r>
        <w:rPr>
          <w:sz w:val="19"/>
          <w:szCs w:val="19"/>
        </w:rPr>
        <w:t xml:space="preserve">They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discounted   ·   current liabilities   ·   measured</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payroll taxes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Customer deposits are contract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 Chapter 11 showed: they become revenue when Orontes delivers. </w:t>
      </w:r>
      <w:r>
        <w:rPr>
          <w:sz w:val="19"/>
          <w:szCs w:val="19"/>
        </w:rPr>
        <w:t xml:space="preserve">Cash dividends become a liability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distributable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declaration   ·   sales tax payable</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declaration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as Chapter 11 showed: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amounts belong to the government, so they are liabilities,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own payroll taxes, such as its share of social security, are an additional expense.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sales tax payable, not as revenue.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collected   ·   receive   ·   expenses   ·   creates   ·   payroll taxes   ·   Suppose   ·   recorded   ·   Compensated   ·   employer's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current liabilities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withholding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short-term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normally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may be shown as noncurrent only if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refinance it on a long-term basis and shows that it can. </w:t>
      </w:r>
      <w:r>
        <w:rPr>
          <w:sz w:val="19"/>
          <w:szCs w:val="19"/>
        </w:rPr>
        <w:t xml:space="preserve">The company shows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one of two ways, before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issued. </w:t>
      </w:r>
      <w:r>
        <w:rPr>
          <w:sz w:val="19"/>
          <w:szCs w:val="19"/>
        </w:rPr>
        <w:t xml:space="preserve">It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refinance: issue long-term debt or shares after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date and use the cash for the short-term debt. </w:t>
      </w:r>
      <w:r>
        <w:rPr>
          <w:sz w:val="19"/>
          <w:szCs w:val="19"/>
        </w:rPr>
        <w:t xml:space="preserve">Or it can sign a qualifying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agreement. </w:t>
      </w:r>
      <w:r>
        <w:rPr>
          <w:sz w:val="19"/>
          <w:szCs w:val="19"/>
        </w:rPr>
        <w:t xml:space="preserve">A qualifying agreement does not expire within one year, cannot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'material adverse change' does not qualify, because that clause is subjective.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financing   ·   ability   ·   cancelled   ·   balance   ·   commercial paper   ·   current   ·   intends   ·   obligation   ·   actually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Suppose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Scenario 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short-term obligation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Repaid first, refinanced later: still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short-term obligation   ·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intends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The company shows its ability in one of two ways, before the statements are issued. It can actually refinance: issue long-term debt or shares after the balance sheet date and use the cash for the short-term debt. Or it can sign a qualifying financing agreement. A qualifying agreement does not expire within one year, cannot be cancelled except for an objective violation, has no violation, and the lender can pay. An agreement that the lender may cancel for a 'material adverse change' does not qualify, because that clause is subjective.</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IAS 1 asks only one question: at the reporting date, does the company have a right to defer settlement for at least twelve months?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agreed after the reporting date does not change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Refinancing   ·   scenarios   ·   classification   ·   short-term obligation   ·   commercial</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Can make the debt noncurrent   ·   Consider only violations at the balance sheet date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IAS 1 amendments on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covenants apply from January 1, 2024, and are testable now as IFRS contrasts. </w:t>
      </w:r>
      <w:r>
        <w:rPr>
          <w:sz w:val="19"/>
          <w:szCs w:val="19"/>
        </w:rPr>
        <w:t xml:space="preserve">They confirm that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management's   ·   warranty liability</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promises that a product will work as agreed. </w:t>
      </w:r>
      <w:r>
        <w:rPr>
          <w:sz w:val="19"/>
          <w:szCs w:val="19"/>
        </w:rPr>
        <w:t xml:space="preserve">It is not a separate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records warranty expense and a warranty liability, and reduces the liability as repairs are made.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assurance-type   ·   service-type warranty   ·   performance</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warranty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warranty costs in the year of the sale, not when repairs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service-type warranty   ·   Expense   ·   separately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مخصص, محتمل, provision</w:t>
            </w:r>
          </w:p>
        </w:tc>
      </w:tr>
    </w:tbl>
    <w:p/>
    <w:p>
      <w:pPr>
        <w:spacing w:before="44" w:after="14"/>
      </w:pPr>
      <w:r>
        <w:rPr>
          <w:b/>
          <w:bCs/>
          <w:color w:val="353A7C"/>
          <w:sz w:val="18"/>
          <w:szCs w:val="18"/>
        </w:rPr>
        <w:t xml:space="preserve">Summary 3</w:t>
      </w:r>
      <w:r>
        <w:rPr>
          <w:color w:val="6B7280"/>
          <w:sz w:val="16"/>
          <w:szCs w:val="16"/>
        </w:rPr>
        <w:t xml:space="preserve">      gaps 7–8</w:t>
      </w:r>
    </w:p>
    <w:p>
      <w:pPr>
        <w:spacing w:before="20" w:after="20" w:line="360" w:lineRule="auto"/>
        <w:ind w:left="200"/>
      </w:pPr>
      <w:r>
        <w:rPr>
          <w:sz w:val="19"/>
          <w:szCs w:val="19"/>
        </w:rPr>
        <w:t xml:space="preserve">Arabic مخصص can mean a U.S.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liability or an IFRS provision; use warranty liability here. </w:t>
      </w:r>
      <w:r>
        <w:rPr>
          <w:sz w:val="19"/>
          <w:szCs w:val="19"/>
        </w:rPr>
        <w:t xml:space="preserve">French provision pour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IFRS term; never call a U.S. liability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garantie   ·   warranty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مخصص, محتمل, provision</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selected liabilities, December</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450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Bank loan due April 30, 2028</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Note payable due in 2029 (from the Chapter 2 case)</w:t>
            </w:r>
          </w:p>
        </w:tc>
        <w:tc>
          <w:tcPr>
            <w:tcW w:type="pct" w:w="2600"/>
            <w:tcMar>
              <w:top w:type="dxa" w:w="50"/>
              <w:left w:type="dxa" w:w="110"/>
              <w:bottom w:type="dxa" w:w="50"/>
              <w:right w:type="dxa" w:w="110"/>
            </w:tcMar>
          </w:tcPr>
          <w:p>
            <w:pPr>
              <w:spacing w:before="26" w:after="26"/>
            </w:pPr>
            <w:r>
              <w:rPr>
                <w:color w:val="232733"/>
                <w:sz w:val="16"/>
                <w:szCs w:val="16"/>
              </w:rPr>
              <w:t xml:space="preserve">1,500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 for orders to be delivered in 2028</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 / 5 / 3</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2027 Barada began selling kitchen equipment with a one-year warranty that the product works as agreed. Sales were 1000; expected repairs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balances are not shown here; Chapter 13 covers them.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4,000 + 2,800 + 2,800 = 9,600   ·   21,000 ÷ 1.05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Bank loan</w:t>
            </w:r>
          </w:p>
        </w:tc>
        <w:tc>
          <w:tcPr>
            <w:tcW w:type="pct" w:w="2600"/>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garantie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21,000 ÷ 1.05 = 20,000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pacing w:before="20" w:after="20"/>
        <w:ind w:left="240" w:hanging="240"/>
      </w:pPr>
      <w:r>
        <w:rPr>
          <w:b/>
          <w:bCs/>
          <w:color w:val="353A7C"/>
          <w:sz w:val="15"/>
          <w:szCs w:val="15"/>
        </w:rPr>
        <w:t xml:space="preserve">Summary 3   </w:t>
      </w:r>
      <w:r>
        <w:rPr>
          <w:color w:val="6B7280"/>
          <w:sz w:val="15"/>
          <w:szCs w:val="15"/>
        </w:rPr>
        <w:t xml:space="preserve">Arabic مخصص can mean a U.S. allowance, a liability or an IFRS provision; use warranty liability here. French provision pour garantie is the IFRS term; never call a U.S. liability a reserve.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effective tax rate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investors. </w:t>
      </w:r>
      <w:r>
        <w:rPr>
          <w:sz w:val="19"/>
          <w:szCs w:val="19"/>
        </w:rPr>
        <w:t xml:space="preserve">Tax returns follow tax law and are prepared for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goals, so taxable income is usually not the same as income before income taxes. </w:t>
      </w:r>
      <w:r>
        <w:rPr>
          <w:sz w:val="19"/>
          <w:szCs w:val="19"/>
        </w:rPr>
        <w:t xml:space="preserve">If a company simply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tax allocation solves this. </w:t>
      </w:r>
      <w:r>
        <w:rPr>
          <w:sz w:val="19"/>
          <w:szCs w:val="19"/>
        </w:rPr>
        <w:t xml:space="preserve">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reported   ·   deferred tax expense   ·   statements   ·   Interperiod   ·   government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tcMar>
              <w:top w:type="dxa" w:w="50"/>
              <w:left w:type="dxa" w:w="110"/>
              <w:bottom w:type="dxa" w:w="50"/>
              <w:right w:type="dxa" w:w="110"/>
            </w:tcMar>
          </w:tcPr>
          <w:p>
            <w:pPr>
              <w:spacing w:before="28" w:after="28"/>
            </w:pPr>
            <w:r>
              <w:rPr>
                <w:sz w:val="15"/>
                <w:szCs w:val="15"/>
              </w:rPr>
              <w:t xml:space="preserve">Income taxes paid in cash (Chapter 5)</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liability, January 1, 2025   ·   Income before income taxes   ·   Current tax expense (taxes on 2025 taxable income)   ·   Income tax expense (25% combined federal and state rate)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deductible temporary difference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Deferred tax liability,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item is in book income but never in taxable income, or the reverse.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basis   ·   deductible   ·   differences   ·   reverses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31"/>
        <w:gridCol w:w="22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1214"/>
            <w:tcMar>
              <w:top w:type="dxa" w:w="50"/>
              <w:left w:type="dxa" w:w="110"/>
              <w:bottom w:type="dxa" w:w="50"/>
              <w:right w:type="dxa" w:w="110"/>
            </w:tcMar>
          </w:tcPr>
          <w:p>
            <w:pPr>
              <w:spacing w:before="26" w:after="26"/>
            </w:pPr>
            <w:r>
              <w:rPr>
                <w:b/>
                <w:bCs/>
                <w:color w:val="353A7C"/>
                <w:sz w:val="15"/>
                <w:szCs w:val="15"/>
              </w:rPr>
              <w:t xml:space="preserve">Type of difference</w:t>
            </w:r>
          </w:p>
        </w:tc>
        <w:tc>
          <w:tcPr>
            <w:tcW w:type="pct" w:w="1186"/>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2600"/>
            <w:tcMar>
              <w:top w:type="dxa" w:w="50"/>
              <w:left w:type="dxa" w:w="110"/>
              <w:bottom w:type="dxa" w:w="50"/>
              <w:right w:type="dxa" w:w="110"/>
            </w:tcMar>
          </w:tcPr>
          <w:p>
            <w:pPr>
              <w:spacing w:before="26" w:after="26"/>
            </w:pPr>
            <w:r>
              <w:rPr>
                <w:color w:val="232733"/>
                <w:sz w:val="16"/>
                <w:szCs w:val="16"/>
              </w:rPr>
              <w:t xml:space="preserve">Tax depreciation faster than book (bonus, MACRS)</w:t>
            </w:r>
          </w:p>
        </w:tc>
        <w:tc>
          <w:tcPr>
            <w:tcW w:type="pct" w:w="1214"/>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Installment sale: revenue now, taxed when cash is collected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taxable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liability</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or litigation accrual, deductible when paid</w:t>
            </w:r>
          </w:p>
        </w:tc>
        <w:tc>
          <w:tcPr>
            <w:tcW w:type="pct" w:w="1214"/>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Rent received in advance, taxed when received</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Temporary, deductible</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r>
      <w:tr>
        <w:tc>
          <w:tcPr>
            <w:tcW w:type="pct" w:w="2600"/>
            <w:tcMar>
              <w:top w:type="dxa" w:w="50"/>
              <w:left w:type="dxa" w:w="110"/>
              <w:bottom w:type="dxa" w:w="50"/>
              <w:right w:type="dxa" w:w="110"/>
            </w:tcMar>
          </w:tcPr>
          <w:p>
            <w:pPr>
              <w:spacing w:before="26" w:after="26"/>
            </w:pPr>
            <w:r>
              <w:rPr>
                <w:color w:val="232733"/>
                <w:sz w:val="16"/>
                <w:szCs w:val="16"/>
              </w:rPr>
              <w:t xml:space="preserve">Tax-exempt municipal bond interest</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Fines and penalties</w:t>
            </w:r>
          </w:p>
        </w:tc>
        <w:tc>
          <w:tcPr>
            <w:tcW w:type="pct" w:w="1214"/>
            <w:shd w:fill="FBFAF6" w:val="clear"/>
            <w:tcMar>
              <w:top w:type="dxa" w:w="50"/>
              <w:left w:type="dxa" w:w="110"/>
              <w:bottom w:type="dxa" w:w="50"/>
              <w:right w:type="dxa" w:w="110"/>
            </w:tcMar>
          </w:tcPr>
          <w:p>
            <w:pPr>
              <w:spacing w:before="26" w:after="26"/>
            </w:pPr>
            <w:r>
              <w:rPr>
                <w:color w:val="232733"/>
                <w:sz w:val="16"/>
                <w:szCs w:val="16"/>
              </w:rPr>
              <w:t xml:space="preserve">Permanent</w:t>
            </w:r>
          </w:p>
        </w:tc>
        <w:tc>
          <w:tcPr>
            <w:tcW w:type="pct" w:w="1186"/>
            <w:shd w:fill="FBFAF6" w:val="clear"/>
            <w:tcMar>
              <w:top w:type="dxa" w:w="50"/>
              <w:left w:type="dxa" w:w="110"/>
              <w:bottom w:type="dxa" w:w="50"/>
              <w:right w:type="dxa" w:w="110"/>
            </w:tcMar>
          </w:tcPr>
          <w:p>
            <w:pPr>
              <w:spacing w:before="26" w:after="26"/>
            </w:pPr>
            <w:r>
              <w:rPr>
                <w:color w:val="232733"/>
                <w:sz w:val="16"/>
                <w:szCs w:val="16"/>
              </w:rPr>
              <w:t xml:space="preserve">None</w:t>
            </w:r>
          </w:p>
        </w:tc>
      </w:tr>
      <w:tr>
        <w:tc>
          <w:tcPr>
            <w:tcW w:type="pct" w:w="2600"/>
            <w:tcMar>
              <w:top w:type="dxa" w:w="50"/>
              <w:left w:type="dxa" w:w="110"/>
              <w:bottom w:type="dxa" w:w="50"/>
              <w:right w:type="dxa" w:w="110"/>
            </w:tcMar>
          </w:tcPr>
          <w:p>
            <w:pPr>
              <w:spacing w:before="26" w:after="26"/>
            </w:pPr>
            <w:r>
              <w:rPr>
                <w:color w:val="232733"/>
                <w:sz w:val="16"/>
                <w:szCs w:val="16"/>
              </w:rPr>
              <w:t xml:space="preserve">Life insurance premiums when the company is the beneficiary</w:t>
            </w:r>
          </w:p>
        </w:tc>
        <w:tc>
          <w:tcPr>
            <w:tcW w:type="pct" w:w="1214"/>
            <w:tcMar>
              <w:top w:type="dxa" w:w="50"/>
              <w:left w:type="dxa" w:w="110"/>
              <w:bottom w:type="dxa" w:w="50"/>
              <w:right w:type="dxa" w:w="110"/>
            </w:tcMar>
          </w:tcPr>
          <w:p>
            <w:pPr>
              <w:spacing w:before="26" w:after="26"/>
            </w:pPr>
            <w:r>
              <w:rPr>
                <w:color w:val="232733"/>
                <w:sz w:val="16"/>
                <w:szCs w:val="16"/>
              </w:rPr>
              <w:t xml:space="preserve">Permanent</w:t>
            </w:r>
          </w:p>
        </w:tc>
        <w:tc>
          <w:tcPr>
            <w:tcW w:type="pct" w:w="1186"/>
            <w:tcMar>
              <w:top w:type="dxa" w:w="50"/>
              <w:left w:type="dxa" w:w="110"/>
              <w:bottom w:type="dxa" w:w="50"/>
              <w:right w:type="dxa" w:w="110"/>
            </w:tcMar>
          </w:tcPr>
          <w:p>
            <w:pPr>
              <w:spacing w:before="26" w:after="26"/>
            </w:pPr>
            <w:r>
              <w:rPr>
                <w:color w:val="232733"/>
                <w:sz w:val="16"/>
                <w:szCs w:val="16"/>
              </w:rPr>
              <w:t xml:space="preserve">None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Tax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municipal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deductible   ·   temporary difference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liability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approach   ·   liabilities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Suppose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Tax law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warranty from Chapter 12 was expensed at $60,000, but only $22,000 of repairs were paid. </w:t>
      </w:r>
      <w:r>
        <w:rPr>
          <w:sz w:val="19"/>
          <w:szCs w:val="19"/>
        </w:rPr>
        <w:t xml:space="preserve">The $38,000 not yet deductible increases taxable income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allows   ·   effective tax rate   ·   differences   ·   temporary   ·   Orontes   ·   dispenser</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tax position   ·   Current tax expense at 25%</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Deferred taxes follow from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deferred tax asset   ·   differences</w:t>
            </w:r>
          </w:p>
        </w:tc>
      </w:tr>
    </w:tbl>
    <w:p/>
    <w:p>
      <w:pPr>
        <w:pageBreakBefore w:val="true"/>
        <w:spacing w:after="0"/>
      </w:pPr>
      <w:r>
        <w:rPr>
          <w:sz w:val="2"/>
        </w:rPr>
        <w:t xml:space="preserve"> </w:t>
      </w:r>
    </w:p>
    <w:p>
      <w:pPr>
        <w:spacing w:before="44" w:after="10"/>
      </w:pPr>
      <w:r>
        <w:rPr>
          <w:b/>
          <w:bCs/>
          <w:color w:val="353A7C"/>
          <w:sz w:val="18"/>
          <w:szCs w:val="18"/>
        </w:rPr>
        <w:t xml:space="preserve">Suppose: Orontes's 2026 income tax expense and rate reconciliation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 income tax expense   ·   enacted tax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61"/>
        <w:gridCol w:w="22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23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17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600"/>
            <w:tcMar>
              <w:top w:type="dxa" w:w="50"/>
              <w:left w:type="dxa" w:w="110"/>
              <w:bottom w:type="dxa" w:w="50"/>
              <w:right w:type="dxa" w:w="110"/>
            </w:tcMar>
          </w:tcPr>
          <w:p>
            <w:pPr>
              <w:spacing w:before="28" w:after="28"/>
            </w:pPr>
            <w:r>
              <w:rPr>
                <w:sz w:val="15"/>
                <w:szCs w:val="15"/>
              </w:rPr>
              <w:t xml:space="preserve">Tax-exempt municipal bond interest</w:t>
            </w:r>
          </w:p>
        </w:tc>
        <w:tc>
          <w:tcPr>
            <w:tcW w:type="pct" w:w="1230"/>
            <w:tcMar>
              <w:top w:type="dxa" w:w="50"/>
              <w:left w:type="dxa" w:w="110"/>
              <w:bottom w:type="dxa" w:w="50"/>
              <w:right w:type="dxa" w:w="110"/>
            </w:tcMar>
          </w:tcPr>
          <w:p>
            <w:pPr>
              <w:spacing w:before="28" w:after="28"/>
            </w:pPr>
            <w:r>
              <w:rPr>
                <w:sz w:val="15"/>
                <w:szCs w:val="15"/>
              </w:rPr>
              <w:t xml:space="preserve">Permanent</w:t>
            </w:r>
          </w:p>
        </w:tc>
        <w:tc>
          <w:tcPr>
            <w:tcW w:type="pct" w:w="117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2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7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6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230"/>
            <w:tcMar>
              <w:top w:type="dxa" w:w="50"/>
              <w:left w:type="dxa" w:w="110"/>
              <w:bottom w:type="dxa" w:w="50"/>
              <w:right w:type="dxa" w:w="110"/>
            </w:tcMar>
          </w:tcPr>
          <w:p>
            <w:pPr>
              <w:spacing w:before="28" w:after="28"/>
            </w:pPr>
            <w:r>
              <w:rPr>
                <w:sz w:val="15"/>
                <w:szCs w:val="15"/>
              </w:rPr>
              <w:t xml:space="preserve">________</w:t>
            </w:r>
          </w:p>
        </w:tc>
        <w:tc>
          <w:tcPr>
            <w:tcW w:type="pct" w:w="117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230"/>
            <w:shd w:fill="FBFAF6" w:val="clear"/>
            <w:tcMar>
              <w:top w:type="dxa" w:w="50"/>
              <w:left w:type="dxa" w:w="110"/>
              <w:bottom w:type="dxa" w:w="50"/>
              <w:right w:type="dxa" w:w="110"/>
            </w:tcMar>
          </w:tcPr>
          <w:p>
            <w:pPr>
              <w:spacing w:before="28" w:after="28"/>
            </w:pPr>
            <w:r>
              <w:rPr>
                <w:sz w:val="15"/>
                <w:szCs w:val="15"/>
              </w:rPr>
              <w:t xml:space="preserve">________</w:t>
            </w:r>
          </w:p>
        </w:tc>
        <w:tc>
          <w:tcPr>
            <w:tcW w:type="pct" w:w="117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230"/>
            <w:tcMar>
              <w:top w:type="dxa" w:w="50"/>
              <w:left w:type="dxa" w:w="110"/>
              <w:bottom w:type="dxa" w:w="50"/>
              <w:right w:type="dxa" w:w="110"/>
            </w:tcMar>
          </w:tcPr>
          <w:p>
            <w:pPr>
              <w:spacing w:before="28" w:after="28"/>
            </w:pPr>
            <w:r>
              <w:rPr>
                <w:sz w:val="15"/>
                <w:szCs w:val="15"/>
              </w:rPr>
              <w:t xml:space="preserve">________</w:t>
            </w:r>
          </w:p>
        </w:tc>
        <w:tc>
          <w:tcPr>
            <w:tcW w:type="pct" w:w="117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230"/>
            <w:shd w:fill="FBFAF6" w:val="clear"/>
            <w:tcMar>
              <w:top w:type="dxa" w:w="50"/>
              <w:left w:type="dxa" w:w="110"/>
              <w:bottom w:type="dxa" w:w="50"/>
              <w:right w:type="dxa" w:w="110"/>
            </w:tcMar>
          </w:tcPr>
          <w:p>
            <w:pPr>
              <w:spacing w:before="28" w:after="28"/>
            </w:pPr>
            <w:r>
              <w:rPr>
                <w:sz w:val="15"/>
                <w:szCs w:val="15"/>
              </w:rPr>
              <w:t xml:space="preserve">________</w:t>
            </w:r>
          </w:p>
        </w:tc>
        <w:tc>
          <w:tcPr>
            <w:tcW w:type="pct" w:w="117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DTL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interperiod tax allocation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Current tax expense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Tax law allows 100% bonus depreciation, but book depreciation is $300,000. The difference of $600,000 reduces taxable income now: a taxable temporary difference. The dispenser warranty from Chapter 12 was expensed at $60,000, but only $22,000 of repairs were paid. The $38,000 not yet deductible increases taxable income now.</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tax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 federal law, most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cannot be carried back. </w:t>
      </w:r>
      <w:r>
        <w:rPr>
          <w:sz w:val="19"/>
          <w:szCs w:val="19"/>
        </w:rPr>
        <w:t xml:space="preserve">They can be carried forward without a time limit, but they can reduce only 80% of taxable income in any year. </w:t>
      </w:r>
      <w:r>
        <w:rPr>
          <w:sz w:val="19"/>
          <w:szCs w:val="19"/>
        </w:rPr>
        <w:t xml:space="preserve">All deferred tax assets and liabilities are noncurrent. </w:t>
      </w:r>
      <w:r>
        <w:rPr>
          <w:sz w:val="19"/>
          <w:szCs w:val="19"/>
        </w:rPr>
        <w:t xml:space="preserve">Within one tax jurisdiction they are offset and shown as one net amount.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deduction   ·   remeasures   ·   carryforward   ·   uncertain tax position   ·   changes   ·   losses   ·   recorded   ·   continuing   ·   creates   ·   enactment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Use enacted rates only;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recognized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announced   ·   uncertain tax position   ·   valuation   ·   probable   ·   ignored   ·   effect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allowance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intraperiod tax allocation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This is intraperiod tax allocation.</w:t>
      </w:r>
    </w:p>
    <w:p>
      <w:pPr>
        <w:spacing w:before="20" w:after="20"/>
        <w:ind w:left="240" w:hanging="240"/>
      </w:pPr>
      <w:r>
        <w:rPr>
          <w:b/>
          <w:bCs/>
          <w:color w:val="353A7C"/>
          <w:sz w:val="15"/>
          <w:szCs w:val="15"/>
        </w:rPr>
        <w:t xml:space="preserve">Summary 2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98"/>
        <w:gridCol w:w="4448"/>
        <w:gridCol w:w="32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98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317"/>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695"/>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989"/>
            <w:tcMar>
              <w:top w:type="dxa" w:w="50"/>
              <w:left w:type="dxa" w:w="110"/>
              <w:bottom w:type="dxa" w:w="50"/>
              <w:right w:type="dxa" w:w="110"/>
            </w:tcMar>
          </w:tcPr>
          <w:p>
            <w:pPr>
              <w:spacing w:before="28" w:after="28"/>
            </w:pPr>
            <w:r>
              <w:rPr>
                <w:sz w:val="15"/>
                <w:szCs w:val="15"/>
              </w:rPr>
              <w:t xml:space="preserve">Recognizing deferred tax assets</w:t>
            </w:r>
          </w:p>
        </w:tc>
        <w:tc>
          <w:tcPr>
            <w:tcW w:type="pct" w:w="2317"/>
            <w:tcMar>
              <w:top w:type="dxa" w:w="50"/>
              <w:left w:type="dxa" w:w="110"/>
              <w:bottom w:type="dxa" w:w="50"/>
              <w:right w:type="dxa" w:w="110"/>
            </w:tcMar>
          </w:tcPr>
          <w:p>
            <w:pPr>
              <w:spacing w:before="28" w:after="28"/>
            </w:pPr>
            <w:r>
              <w:rPr>
                <w:sz w:val="15"/>
                <w:szCs w:val="15"/>
              </w:rPr>
              <w:t xml:space="preserve">Record the full DTA, then a valuation allowance if realization is not more likely than not</w:t>
            </w:r>
          </w:p>
        </w:tc>
        <w:tc>
          <w:tcPr>
            <w:tcW w:type="pct" w:w="1695"/>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989"/>
            <w:shd w:fill="FBFAF6" w:val="clear"/>
            <w:tcMar>
              <w:top w:type="dxa" w:w="50"/>
              <w:left w:type="dxa" w:w="110"/>
              <w:bottom w:type="dxa" w:w="50"/>
              <w:right w:type="dxa" w:w="110"/>
            </w:tcMar>
          </w:tcPr>
          <w:p>
            <w:pPr>
              <w:spacing w:before="28" w:after="28"/>
            </w:pPr>
            <w:r>
              <w:rPr>
                <w:sz w:val="15"/>
                <w:szCs w:val="15"/>
              </w:rPr>
              <w:t xml:space="preserve">Tax rate</w:t>
            </w:r>
          </w:p>
        </w:tc>
        <w:tc>
          <w:tcPr>
            <w:tcW w:type="pct" w:w="2317"/>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695"/>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989"/>
            <w:tcMar>
              <w:top w:type="dxa" w:w="50"/>
              <w:left w:type="dxa" w:w="110"/>
              <w:bottom w:type="dxa" w:w="50"/>
              <w:right w:type="dxa" w:w="110"/>
            </w:tcMar>
          </w:tcPr>
          <w:p>
            <w:pPr>
              <w:spacing w:before="28" w:after="28"/>
            </w:pPr>
            <w:r>
              <w:rPr>
                <w:sz w:val="15"/>
                <w:szCs w:val="15"/>
              </w:rPr>
              <w:t xml:space="preserve">Initial recognition exemption</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95"/>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98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317"/>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695"/>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89"/>
            <w:tcMar>
              <w:top w:type="dxa" w:w="50"/>
              <w:left w:type="dxa" w:w="110"/>
              <w:bottom w:type="dxa" w:w="50"/>
              <w:right w:type="dxa" w:w="110"/>
            </w:tcMar>
          </w:tcPr>
          <w:p>
            <w:pPr>
              <w:spacing w:before="28" w:after="28"/>
            </w:pPr>
            <w:r>
              <w:rPr>
                <w:sz w:val="15"/>
                <w:szCs w:val="15"/>
              </w:rPr>
              <w:t xml:space="preserve">Balance sheet classification</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695"/>
            <w:tcMar>
              <w:top w:type="dxa" w:w="50"/>
              <w:left w:type="dxa" w:w="110"/>
              <w:bottom w:type="dxa" w:w="50"/>
              <w:right w:type="dxa" w:w="110"/>
            </w:tcMar>
          </w:tcPr>
          <w:p>
            <w:pPr>
              <w:spacing w:before="28" w:after="28"/>
            </w:pPr>
            <w:r>
              <w:rPr>
                <w:sz w:val="15"/>
                <w:szCs w:val="15"/>
              </w:rPr>
              <w:t xml:space="preserve">Non-current</w:t>
            </w:r>
          </w:p>
        </w:tc>
      </w:tr>
      <w:tr>
        <w:tc>
          <w:tcPr>
            <w:tcW w:type="pct" w:w="98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317"/>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95"/>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no deferred tax   ·   None in general   ·   Enacted or substantively enacted rates   ·   Noncurrent   ·   Enacted rates only   ·   IFRIC 23: most likely amount or expected value</w:t>
            </w:r>
          </w:p>
        </w:tc>
      </w:tr>
    </w:tbl>
    <w:p/>
    <w:p>
      <w:pPr>
        <w:spacing w:before="44" w:after="14"/>
      </w:pPr>
      <w:r>
        <w:rPr>
          <w:b/>
          <w:bCs/>
          <w:color w:val="353A7C"/>
          <w:sz w:val="18"/>
          <w:szCs w:val="18"/>
        </w:rPr>
        <w:t xml:space="preserve">Summary 1</w:t>
      </w:r>
      <w:r>
        <w:rPr>
          <w:color w:val="6B7280"/>
          <w:sz w:val="16"/>
          <w:szCs w:val="16"/>
        </w:rPr>
        <w:t xml:space="preserve">      gaps 6–11</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version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jurisdictions   ·   business   ·   reconciliation   ·   effective tax rate   ·   percentages   ·   beginning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(مخصص) and not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Arabic مخصص التقييم, the valuation allowance, is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tax expense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2027 (whole USD)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Income before income taxes, 2027</w:t>
            </w:r>
          </w:p>
        </w:tc>
        <w:tc>
          <w:tcPr>
            <w:tcW w:type="pct" w:w="2600"/>
            <w:tcMar>
              <w:top w:type="dxa" w:w="50"/>
              <w:left w:type="dxa" w:w="110"/>
              <w:bottom w:type="dxa" w:w="50"/>
              <w:right w:type="dxa" w:w="110"/>
            </w:tcMar>
          </w:tcPr>
          <w:p>
            <w:pPr>
              <w:spacing w:before="26" w:after="26"/>
            </w:pPr>
            <w:r>
              <w:rPr>
                <w:color w:val="232733"/>
                <w:sz w:val="16"/>
                <w:szCs w:val="16"/>
              </w:rPr>
              <w:t xml:space="preserve">400,000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Tax-exempt municipal bond interest included in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12,000</w:t>
            </w:r>
          </w:p>
        </w:tc>
      </w:tr>
      <w:tr>
        <w:tc>
          <w:tcPr>
            <w:tcW w:type="pct" w:w="2400"/>
            <w:tcMar>
              <w:top w:type="dxa" w:w="50"/>
              <w:left w:type="dxa" w:w="110"/>
              <w:bottom w:type="dxa" w:w="50"/>
              <w:right w:type="dxa" w:w="110"/>
            </w:tcMar>
          </w:tcPr>
          <w:p>
            <w:pPr>
              <w:spacing w:before="26" w:after="26"/>
            </w:pPr>
            <w:r>
              <w:rPr>
                <w:color w:val="232733"/>
                <w:sz w:val="16"/>
                <w:szCs w:val="16"/>
              </w:rPr>
              <w:t xml:space="preserve">Fine for a late customs filing (not deductible)</w:t>
            </w:r>
          </w:p>
        </w:tc>
        <w:tc>
          <w:tcPr>
            <w:tcW w:type="pct" w:w="2600"/>
            <w:tcMar>
              <w:top w:type="dxa" w:w="50"/>
              <w:left w:type="dxa" w:w="110"/>
              <w:bottom w:type="dxa" w:w="50"/>
              <w:right w:type="dxa" w:w="110"/>
            </w:tcMar>
          </w:tcPr>
          <w:p>
            <w:pPr>
              <w:spacing w:before="26" w:after="26"/>
            </w:pPr>
            <w:r>
              <w:rPr>
                <w:color w:val="232733"/>
                <w:sz w:val="16"/>
                <w:szCs w:val="16"/>
              </w:rPr>
              <w:t xml:space="preserve">6,000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Tax depreciation above book depreciation in 2027</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60,000</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at December 31, 2027 (Chapter 12 case); repairs are deductible when paid</w:t>
            </w:r>
          </w:p>
        </w:tc>
        <w:tc>
          <w:tcPr>
            <w:tcW w:type="pct" w:w="2600"/>
            <w:tcMar>
              <w:top w:type="dxa" w:w="50"/>
              <w:left w:type="dxa" w:w="110"/>
              <w:bottom w:type="dxa" w:w="50"/>
              <w:right w:type="dxa" w:w="110"/>
            </w:tcMar>
          </w:tcPr>
          <w:p>
            <w:pPr>
              <w:spacing w:before="26" w:after="26"/>
            </w:pPr>
            <w:r>
              <w:rPr>
                <w:color w:val="232733"/>
                <w:sz w:val="16"/>
                <w:szCs w:val="16"/>
              </w:rPr>
              <w:t xml:space="preserve">18,000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enacted combined tax rate is 25% for 2027 and all later years.</w:t>
            </w:r>
          </w:p>
        </w:tc>
      </w:tr>
      <w:tr>
        <w:tc>
          <w:tcPr>
            <w:tcW w:type="pct" w:w="2400"/>
            <w:tcMar>
              <w:top w:type="dxa" w:w="50"/>
              <w:left w:type="dxa" w:w="110"/>
              <w:bottom w:type="dxa" w:w="50"/>
              <w:right w:type="dxa" w:w="110"/>
            </w:tcMar>
          </w:tcPr>
          <w:p>
            <w:pPr>
              <w:spacing w:before="26" w:after="26"/>
            </w:pPr>
            <w:r>
              <w:rPr>
                <w:color w:val="232733"/>
                <w:sz w:val="16"/>
                <w:szCs w:val="16"/>
              </w:rPr>
              <w:t xml:space="preserve">M2</w:t>
            </w:r>
          </w:p>
        </w:tc>
        <w:tc>
          <w:tcPr>
            <w:tcW w:type="pct" w:w="2600"/>
            <w:tcMar>
              <w:top w:type="dxa" w:w="50"/>
              <w:left w:type="dxa" w:w="110"/>
              <w:bottom w:type="dxa" w:w="50"/>
              <w:right w:type="dxa" w:w="110"/>
            </w:tcMar>
          </w:tcPr>
          <w:p>
            <w:pPr>
              <w:spacing w:before="26" w:after="26"/>
            </w:pPr>
            <w:r>
              <w:rPr>
                <w:color w:val="232733"/>
                <w:sz w:val="16"/>
                <w:szCs w:val="16"/>
              </w:rPr>
              <w:t xml:space="preserve">Barada had no temporary differences at January 1, 2027. All deferred taxes are in one tax jurisdiction.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Barada has been profitable for many years and expects to stay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Warranty expense accrued now</w:t>
            </w:r>
          </w:p>
        </w:tc>
        <w:tc>
          <w:tcPr>
            <w:tcW w:type="pct" w:w="2400"/>
            <w:tcMar>
              <w:top w:type="dxa" w:w="50"/>
              <w:left w:type="dxa" w:w="110"/>
              <w:bottom w:type="dxa" w:w="50"/>
              <w:right w:type="dxa" w:w="110"/>
            </w:tcMar>
          </w:tcPr>
          <w:p>
            <w:pPr>
              <w:spacing w:before="28" w:after="28"/>
            </w:pPr>
            <w:r>
              <w:rPr>
                <w:sz w:val="15"/>
                <w:szCs w:val="15"/>
              </w:rPr>
              <w:t xml:space="preserve">Temporary, deductible: DTA</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400"/>
            <w:shd w:fill="FBFAF6" w:val="clear"/>
            <w:tcMar>
              <w:top w:type="dxa" w:w="50"/>
              <w:left w:type="dxa" w:w="110"/>
              <w:bottom w:type="dxa" w:w="50"/>
              <w:right w:type="dxa" w:w="110"/>
            </w:tcMar>
          </w:tcPr>
          <w:p>
            <w:pPr>
              <w:spacing w:before="28" w:after="28"/>
            </w:pPr>
            <w:r>
              <w:rPr>
                <w:sz w:val="15"/>
                <w:szCs w:val="15"/>
              </w:rPr>
              <w:t xml:space="preserve">Permanent: no deferred tax</w:t>
            </w:r>
          </w:p>
        </w:tc>
      </w:tr>
      <w:tr>
        <w:tc>
          <w:tcPr>
            <w:tcW w:type="pct" w:w="2600"/>
            <w:tcMar>
              <w:top w:type="dxa" w:w="50"/>
              <w:left w:type="dxa" w:w="110"/>
              <w:bottom w:type="dxa" w:w="50"/>
              <w:right w:type="dxa" w:w="110"/>
            </w:tcMar>
          </w:tcPr>
          <w:p>
            <w:pPr>
              <w:spacing w:before="28" w:after="28"/>
            </w:pPr>
            <w:r>
              <w:rPr>
                <w:sz w:val="15"/>
                <w:szCs w:val="15"/>
              </w:rPr>
              <w:t xml:space="preserve">Rent received in advance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deductible (taxed now, earned later): DTA   ·   Temporary, taxable (taxed later): DTL   ·   Permanent: no deferred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Municipal bond interest</w:t>
            </w:r>
          </w:p>
        </w:tc>
        <w:tc>
          <w:tcPr>
            <w:tcW w:type="pct" w:w="2600"/>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Late-filing fine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r>
      <w:tr>
        <w:tc>
          <w:tcPr>
            <w:tcW w:type="pct" w:w="2400"/>
            <w:tcMar>
              <w:top w:type="dxa" w:w="50"/>
              <w:left w:type="dxa" w:w="110"/>
              <w:bottom w:type="dxa" w:w="50"/>
              <w:right w:type="dxa" w:w="110"/>
            </w:tcMar>
          </w:tcPr>
          <w:p>
            <w:pPr>
              <w:spacing w:before="26" w:after="26"/>
            </w:pPr>
            <w:r>
              <w:rPr>
                <w:color w:val="232733"/>
                <w:sz w:val="16"/>
                <w:szCs w:val="16"/>
              </w:rPr>
              <w:t xml:space="preserve">Tax depreciation above book</w:t>
            </w:r>
          </w:p>
        </w:tc>
        <w:tc>
          <w:tcPr>
            <w:tcW w:type="pct" w:w="2600"/>
            <w:tcMar>
              <w:top w:type="dxa" w:w="50"/>
              <w:left w:type="dxa" w:w="110"/>
              <w:bottom w:type="dxa" w:w="50"/>
              <w:right w:type="dxa" w:w="110"/>
            </w:tcMar>
          </w:tcPr>
          <w:p>
            <w:pPr>
              <w:spacing w:before="26" w:after="26"/>
            </w:pPr>
            <w:r>
              <w:rPr>
                <w:color w:val="232733"/>
                <w:sz w:val="16"/>
                <w:szCs w:val="16"/>
              </w:rPr>
              <w:t xml:space="preserve">Taxable temporary difference (DTL)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Deductible temporary difference (DTA)</w:t>
            </w:r>
          </w:p>
        </w:tc>
      </w:tr>
      <w:tr>
        <w:tc>
          <w:tcPr>
            <w:tcW w:type="pct" w:w="2400"/>
            <w:tcMar>
              <w:top w:type="dxa" w:w="50"/>
              <w:left w:type="dxa" w:w="110"/>
              <w:bottom w:type="dxa" w:w="50"/>
              <w:right w:type="dxa" w:w="110"/>
            </w:tcMar>
          </w:tcPr>
          <w:p>
            <w:pPr>
              <w:spacing w:before="26" w:after="26"/>
            </w:pPr>
            <w:r>
              <w:rPr>
                <w:color w:val="232733"/>
                <w:sz w:val="16"/>
                <w:szCs w:val="16"/>
              </w:rPr>
              <w:t xml:space="preserve">Rent received in advance</w:t>
            </w:r>
          </w:p>
        </w:tc>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 (DTA)</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deductible (taxed now, earned later):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disclose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2   </w:t>
      </w:r>
      <w:r>
        <w:rPr>
          <w:color w:val="6B7280"/>
          <w:sz w:val="15"/>
          <w:szCs w:val="15"/>
        </w:rPr>
        <w:t xml:space="preserve">U.S. companies often call income tax expense the provision for income taxes. It is an expense, not an IAS 37 provision (مخصص) and not a reserve. Arabic مخصص التقييم,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is a lease?   ·   sale and leaseback   ·   Presentation</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lease is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reasonably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exchange   ·   contract   ·   supplier   ·   another   ·   controls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operating lease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399"/>
        <w:gridCol w:w="2956"/>
        <w:gridCol w:w="22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91"/>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91"/>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169"/>
            <w:tcMar>
              <w:top w:type="dxa" w:w="50"/>
              <w:left w:type="dxa" w:w="110"/>
              <w:bottom w:type="dxa" w:w="50"/>
              <w:right w:type="dxa" w:w="110"/>
            </w:tcMar>
          </w:tcPr>
          <w:p>
            <w:pPr>
              <w:spacing w:before="28" w:after="28"/>
            </w:pPr>
            <w:r>
              <w:rPr>
                <w:sz w:val="15"/>
                <w:szCs w:val="15"/>
              </w:rPr>
              <w:t xml:space="preserve">No</w:t>
            </w:r>
          </w:p>
        </w:tc>
      </w:tr>
      <w:tr>
        <w:tc>
          <w:tcPr>
            <w:tcW w:type="pct" w:w="2291"/>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169"/>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91"/>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169"/>
            <w:tcMar>
              <w:top w:type="dxa" w:w="50"/>
              <w:left w:type="dxa" w:w="110"/>
              <w:bottom w:type="dxa" w:w="50"/>
              <w:right w:type="dxa" w:w="110"/>
            </w:tcMar>
          </w:tcPr>
          <w:p>
            <w:pPr>
              <w:spacing w:before="28" w:after="28"/>
            </w:pPr>
            <w:r>
              <w:rPr>
                <w:sz w:val="15"/>
                <w:szCs w:val="15"/>
              </w:rPr>
              <w:t xml:space="preserve">Yes: 4 of 5 years (80%)</w:t>
            </w:r>
          </w:p>
        </w:tc>
      </w:tr>
      <w:tr>
        <w:tc>
          <w:tcPr>
            <w:tcW w:type="pct" w:w="2291"/>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2291"/>
            <w:tcMar>
              <w:top w:type="dxa" w:w="50"/>
              <w:left w:type="dxa" w:w="110"/>
              <w:bottom w:type="dxa" w:w="50"/>
              <w:right w:type="dxa" w:w="110"/>
            </w:tcMar>
          </w:tcPr>
          <w:p>
            <w:pPr>
              <w:spacing w:before="28" w:after="28"/>
            </w:pPr>
            <w:r>
              <w:rPr>
                <w:sz w:val="15"/>
                <w:szCs w:val="15"/>
              </w:rPr>
              <w:t xml:space="preserve">5. Specialized asset</w:t>
            </w:r>
          </w:p>
        </w:tc>
        <w:tc>
          <w:tcPr>
            <w:tcW w:type="pct" w:w="1540"/>
            <w:tcMar>
              <w:top w:type="dxa" w:w="50"/>
              <w:left w:type="dxa" w:w="110"/>
              <w:bottom w:type="dxa" w:w="50"/>
              <w:right w:type="dxa" w:w="110"/>
            </w:tcMar>
          </w:tcPr>
          <w:p>
            <w:pPr>
              <w:spacing w:before="28" w:after="28"/>
            </w:pPr>
            <w:r>
              <w:rPr>
                <w:sz w:val="15"/>
                <w:szCs w:val="15"/>
              </w:rPr>
              <w:t xml:space="preserve">No: any company could use it</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291"/>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69"/>
            <w:shd w:fill="FBFAF6" w:val="clear"/>
            <w:tcMar>
              <w:top w:type="dxa" w:w="50"/>
              <w:left w:type="dxa" w:w="110"/>
              <w:bottom w:type="dxa" w:w="50"/>
              <w:right w:type="dxa" w:w="110"/>
            </w:tcMar>
          </w:tcPr>
          <w:p>
            <w:pPr>
              <w:spacing w:before="28" w:after="28"/>
            </w:pPr>
            <w:r>
              <w:rPr>
                <w:sz w:val="15"/>
                <w:szCs w:val="15"/>
              </w:rPr>
              <w:t xml:space="preserve">Finance lease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No: 5 of 30 years (17%)   ·   Not needed   ·   Yes: 4 of 5 years (80%)   ·   Yes: built for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Crédit-bail is not a class</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French crédit-bail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عقد تأجير تمويلي are legal forms of contract. </w:t>
      </w:r>
      <w:r>
        <w:rPr>
          <w:sz w:val="19"/>
          <w:szCs w:val="19"/>
        </w:rPr>
        <w:t xml:space="preserve">Under ASC 842, the class depends only on the five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crédit-bail contract can be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and an ordinary rental can be a finance lease.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Arabic   ·   finance lease   ·   criteria   ·   operating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criteria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Not needed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Yes: built for Orontes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Operating lease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short-term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Arabic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French crédit-bail and Arabic عقد تأجير تمويلي are legal forms of contract. Under ASC 842, the class depends only on the five criteria. A crédit-bail contract can be an operating lease, and an ordinary rental can be a finance lease.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otherwise   ·   guarantee   ·   incentives   ·   records   ·   lease liability   ·   reasonably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99"/>
        <w:gridCol w:w="24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January 1, 2026 (whole USD)</w:t>
            </w:r>
          </w:p>
        </w:tc>
        <w:tc>
          <w:tcPr>
            <w:tcW w:type="pct" w:w="1145"/>
            <w:tcMar>
              <w:top w:type="dxa" w:w="50"/>
              <w:left w:type="dxa" w:w="110"/>
              <w:bottom w:type="dxa" w:w="50"/>
              <w:right w:type="dxa" w:w="110"/>
            </w:tcMar>
          </w:tcPr>
          <w:p>
            <w:pPr>
              <w:spacing w:before="26" w:after="26"/>
            </w:pPr>
            <w:r>
              <w:rPr>
                <w:b/>
                <w:bCs/>
                <w:color w:val="353A7C"/>
                <w:sz w:val="15"/>
                <w:szCs w:val="15"/>
              </w:rPr>
              <w:t xml:space="preserve">Warehouse</w:t>
            </w:r>
          </w:p>
        </w:tc>
        <w:tc>
          <w:tcPr>
            <w:tcW w:type="pct" w:w="1255"/>
            <w:tcMar>
              <w:top w:type="dxa" w:w="50"/>
              <w:left w:type="dxa" w:w="110"/>
              <w:bottom w:type="dxa" w:w="50"/>
              <w:right w:type="dxa" w:w="110"/>
            </w:tcMar>
          </w:tcPr>
          <w:p>
            <w:pPr>
              <w:spacing w:before="26" w:after="26"/>
            </w:pPr>
            <w:r>
              <w:rPr>
                <w:b/>
                <w:bCs/>
                <w:color w:val="353A7C"/>
                <w:sz w:val="15"/>
                <w:szCs w:val="15"/>
              </w:rPr>
              <w:t xml:space="preserve">Olive press</w:t>
            </w:r>
          </w:p>
        </w:tc>
      </w:tr>
      <w:tr>
        <w:tc>
          <w:tcPr>
            <w:tcW w:type="pct" w:w="2600"/>
            <w:tcMar>
              <w:top w:type="dxa" w:w="50"/>
              <w:left w:type="dxa" w:w="110"/>
              <w:bottom w:type="dxa" w:w="50"/>
              <w:right w:type="dxa" w:w="110"/>
            </w:tcMar>
          </w:tcPr>
          <w:p>
            <w:pPr>
              <w:spacing w:before="26" w:after="26"/>
            </w:pPr>
            <w:r>
              <w:rPr>
                <w:color w:val="232733"/>
                <w:sz w:val="16"/>
                <w:szCs w:val="16"/>
              </w:rPr>
              <w:t xml:space="preserve">Annual payment (end of each year)</w:t>
            </w:r>
          </w:p>
        </w:tc>
        <w:tc>
          <w:tcPr>
            <w:tcW w:type="pct" w:w="1145"/>
            <w:tcMar>
              <w:top w:type="dxa" w:w="50"/>
              <w:left w:type="dxa" w:w="110"/>
              <w:bottom w:type="dxa" w:w="50"/>
              <w:right w:type="dxa" w:w="110"/>
            </w:tcMar>
          </w:tcPr>
          <w:p>
            <w:pPr>
              <w:spacing w:before="26" w:after="26"/>
            </w:pPr>
            <w:r>
              <w:rPr>
                <w:color w:val="232733"/>
                <w:sz w:val="16"/>
                <w:szCs w:val="16"/>
              </w:rPr>
              <w:t xml:space="preserve">100,000</w:t>
            </w:r>
          </w:p>
        </w:tc>
        <w:tc>
          <w:tcPr>
            <w:tcW w:type="pct" w:w="1255"/>
            <w:tcMar>
              <w:top w:type="dxa" w:w="50"/>
              <w:left w:type="dxa" w:w="110"/>
              <w:bottom w:type="dxa" w:w="50"/>
              <w:right w:type="dxa" w:w="110"/>
            </w:tcMar>
          </w:tcPr>
          <w:p>
            <w:pPr>
              <w:spacing w:before="26" w:after="26"/>
            </w:pPr>
            <w:r>
              <w:rPr>
                <w:color w:val="232733"/>
                <w:sz w:val="16"/>
                <w:szCs w:val="16"/>
              </w:rPr>
              <w:t xml:space="preserve">250,000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Number of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4</w:t>
            </w:r>
          </w:p>
        </w:tc>
      </w:tr>
      <w:tr>
        <w:tc>
          <w:tcPr>
            <w:tcW w:type="pct" w:w="2600"/>
            <w:tcMar>
              <w:top w:type="dxa" w:w="50"/>
              <w:left w:type="dxa" w:w="110"/>
              <w:bottom w:type="dxa" w:w="50"/>
              <w:right w:type="dxa" w:w="110"/>
            </w:tcMar>
          </w:tcPr>
          <w:p>
            <w:pPr>
              <w:spacing w:before="26" w:after="26"/>
            </w:pPr>
            <w:r>
              <w:rPr>
                <w:color w:val="232733"/>
                <w:sz w:val="16"/>
                <w:szCs w:val="16"/>
              </w:rPr>
              <w:t xml:space="preserve">Discount rate (incremental borrowing rate)</w:t>
            </w:r>
          </w:p>
        </w:tc>
        <w:tc>
          <w:tcPr>
            <w:tcW w:type="pct" w:w="1145"/>
            <w:tcMar>
              <w:top w:type="dxa" w:w="50"/>
              <w:left w:type="dxa" w:w="110"/>
              <w:bottom w:type="dxa" w:w="50"/>
              <w:right w:type="dxa" w:w="110"/>
            </w:tcMar>
          </w:tcPr>
          <w:p>
            <w:pPr>
              <w:spacing w:before="26" w:after="26"/>
            </w:pPr>
            <w:r>
              <w:rPr>
                <w:color w:val="232733"/>
                <w:sz w:val="16"/>
                <w:szCs w:val="16"/>
              </w:rPr>
              <w:t xml:space="preserve">6%</w:t>
            </w:r>
          </w:p>
        </w:tc>
        <w:tc>
          <w:tcPr>
            <w:tcW w:type="pct" w:w="1255"/>
            <w:tcMar>
              <w:top w:type="dxa" w:w="50"/>
              <w:left w:type="dxa" w:w="110"/>
              <w:bottom w:type="dxa" w:w="50"/>
              <w:right w:type="dxa" w:w="110"/>
            </w:tcMar>
          </w:tcPr>
          <w:p>
            <w:pPr>
              <w:spacing w:before="26" w:after="26"/>
            </w:pPr>
            <w:r>
              <w:rPr>
                <w:color w:val="232733"/>
                <w:sz w:val="16"/>
                <w:szCs w:val="16"/>
              </w:rPr>
              <w:t xml:space="preserve">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Undiscounted payments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500,000</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1,000,000</w:t>
            </w:r>
          </w:p>
        </w:tc>
      </w:tr>
      <w:tr>
        <w:tc>
          <w:tcPr>
            <w:tcW w:type="pct" w:w="2600"/>
            <w:tcMar>
              <w:top w:type="dxa" w:w="50"/>
              <w:left w:type="dxa" w:w="110"/>
              <w:bottom w:type="dxa" w:w="50"/>
              <w:right w:type="dxa" w:w="110"/>
            </w:tcMar>
          </w:tcPr>
          <w:p>
            <w:pPr>
              <w:spacing w:before="26" w:after="26"/>
            </w:pPr>
            <w:r>
              <w:rPr>
                <w:color w:val="232733"/>
                <w:sz w:val="16"/>
                <w:szCs w:val="16"/>
              </w:rPr>
              <w:t xml:space="preserve">Lease liability = present value of payments</w:t>
            </w:r>
          </w:p>
        </w:tc>
        <w:tc>
          <w:tcPr>
            <w:tcW w:type="pct" w:w="1145"/>
            <w:tcMar>
              <w:top w:type="dxa" w:w="50"/>
              <w:left w:type="dxa" w:w="110"/>
              <w:bottom w:type="dxa" w:w="50"/>
              <w:right w:type="dxa" w:w="110"/>
            </w:tcMar>
          </w:tcPr>
          <w:p>
            <w:pPr>
              <w:spacing w:before="26" w:after="26"/>
            </w:pPr>
            <w:r>
              <w:rPr>
                <w:color w:val="232733"/>
                <w:sz w:val="16"/>
                <w:szCs w:val="16"/>
              </w:rPr>
              <w:t xml:space="preserve">421,236</w:t>
            </w:r>
          </w:p>
        </w:tc>
        <w:tc>
          <w:tcPr>
            <w:tcW w:type="pct" w:w="1255"/>
            <w:tcMar>
              <w:top w:type="dxa" w:w="50"/>
              <w:left w:type="dxa" w:w="110"/>
              <w:bottom w:type="dxa" w:w="50"/>
              <w:right w:type="dxa" w:w="110"/>
            </w:tcMar>
          </w:tcPr>
          <w:p>
            <w:pPr>
              <w:spacing w:before="26" w:after="26"/>
            </w:pPr>
            <w:r>
              <w:rPr>
                <w:color w:val="232733"/>
                <w:sz w:val="16"/>
                <w:szCs w:val="16"/>
              </w:rPr>
              <w:t xml:space="preserve">866,276</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Right-of-use asset (no prepayments, costs or incentives)</w:t>
            </w:r>
          </w:p>
        </w:tc>
        <w:tc>
          <w:tcPr>
            <w:tcW w:type="pct" w:w="1145"/>
            <w:shd w:fill="FBFAF6" w:val="clear"/>
            <w:tcMar>
              <w:top w:type="dxa" w:w="50"/>
              <w:left w:type="dxa" w:w="110"/>
              <w:bottom w:type="dxa" w:w="50"/>
              <w:right w:type="dxa" w:w="110"/>
            </w:tcMar>
          </w:tcPr>
          <w:p>
            <w:pPr>
              <w:spacing w:before="26" w:after="26"/>
            </w:pPr>
            <w:r>
              <w:rPr>
                <w:color w:val="232733"/>
                <w:sz w:val="16"/>
                <w:szCs w:val="16"/>
              </w:rPr>
              <w:t xml:space="preserve">421,236</w:t>
            </w:r>
          </w:p>
        </w:tc>
        <w:tc>
          <w:tcPr>
            <w:tcW w:type="pct" w:w="1255"/>
            <w:shd w:fill="FBFAF6" w:val="clear"/>
            <w:tcMar>
              <w:top w:type="dxa" w:w="50"/>
              <w:left w:type="dxa" w:w="110"/>
              <w:bottom w:type="dxa" w:w="50"/>
              <w:right w:type="dxa" w:w="110"/>
            </w:tcMar>
          </w:tcPr>
          <w:p>
            <w:pPr>
              <w:spacing w:before="26" w:after="26"/>
            </w:pPr>
            <w:r>
              <w:rPr>
                <w:color w:val="232733"/>
                <w:sz w:val="16"/>
                <w:szCs w:val="16"/>
              </w:rPr>
              <w:t xml:space="preserve">866,276</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lease   ·   lease liability   ·   right-of-use asset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Interest: 6% × $866,276 = $51,977. </w:t>
      </w:r>
      <w:r>
        <w:rPr>
          <w:sz w:val="19"/>
          <w:szCs w:val="19"/>
        </w:rPr>
        <w:t xml:space="preserve"/>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$250,000: the liability falls to $668,253. </w:t>
      </w:r>
      <w:r>
        <w:rPr>
          <w:sz w:val="19"/>
          <w:szCs w:val="19"/>
        </w:rPr>
        <w:t xml:space="preserve">Amortization: $866,276 ÷ 4 years = $216,569, so the ROU asset is $649,707. </w:t>
      </w:r>
      <w:r>
        <w:rPr>
          <w:sz w:val="19"/>
          <w:szCs w:val="19"/>
        </w:rPr>
        <w:t xml:space="preserve">For an operating lease,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payments. </w:t>
      </w:r>
      <w:r>
        <w:rPr>
          <w:sz w:val="19"/>
          <w:szCs w:val="19"/>
        </w:rPr>
        <w:t xml:space="preserve">The amortization of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 is simply the difference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Payment   ·   right-of-use   ·   lessee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value guarantee   ·   lease   ·   payments   ·   opening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lessee   ·   right-of-use asset   ·   lease</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right-of-use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Interest: 6% × $866,276 = $51,977. Payment of $250,000: the liability falls to $668,253. Amortization: $866,276 ÷ 4 years = $216,569, so the ROU asset is $649,707. 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2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finance-lease principal is financing; its interest and all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investing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operating-lease   ·   amortization   ·   finance lease   ·   noncurrent   ·   liabilities   ·   liability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Financing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finance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low-value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seller can buy the asset back, there is no sale: the cash received is a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assets   ·   reasonably   ·   balance   ·   exemption   ·   short-term   ·   straight-line   ·   sale and leaseback   ·   revenue</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plus interest: higher early   ·   residual value guarantee   ·   Operating   ·   Exemption allowed   ·   Remeasure the liability</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 and leaseback   ·   awareness   ·   lessor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leases signed in 2028 (whole U</w:t>
            </w:r>
          </w:p>
        </w:tc>
        <w:tc>
          <w:tcPr>
            <w:tcW w:type="pct" w:w="2600"/>
            <w:tcMar>
              <w:top w:type="dxa" w:w="50"/>
              <w:left w:type="dxa" w:w="110"/>
              <w:bottom w:type="dxa" w:w="50"/>
              <w:right w:type="dxa" w:w="110"/>
            </w:tcMar>
          </w:tcPr>
          <w:p>
            <w:pPr>
              <w:spacing w:before="26" w:after="26"/>
            </w:pPr>
            <w:r>
              <w:rPr>
                <w:b/>
                <w:bCs/>
                <w:color w:val="353A7C"/>
                <w:sz w:val="15"/>
                <w:szCs w:val="15"/>
              </w:rPr>
              <w:t xml:space="preserve">Details</w:t>
            </w:r>
          </w:p>
        </w:tc>
      </w:tr>
      <w:tr>
        <w:tc>
          <w:tcPr>
            <w:tcW w:type="pct" w:w="2400"/>
            <w:tcMar>
              <w:top w:type="dxa" w:w="50"/>
              <w:left w:type="dxa" w:w="110"/>
              <w:bottom w:type="dxa" w:w="50"/>
              <w:right w:type="dxa" w:w="110"/>
            </w:tcMar>
          </w:tcPr>
          <w:p>
            <w:pPr>
              <w:spacing w:before="26" w:after="26"/>
            </w:pPr>
            <w:r>
              <w:rPr>
                <w:color w:val="232733"/>
                <w:sz w:val="16"/>
                <w:szCs w:val="16"/>
              </w:rPr>
              <w:t xml:space="preserve">L1 Delivery trucks</w:t>
            </w:r>
          </w:p>
        </w:tc>
        <w:tc>
          <w:tcPr>
            <w:tcW w:type="pct" w:w="2600"/>
            <w:tcMar>
              <w:top w:type="dxa" w:w="50"/>
              <w:left w:type="dxa" w:w="110"/>
              <w:bottom w:type="dxa" w:w="50"/>
              <w:right w:type="dxa" w:w="110"/>
            </w:tcMar>
          </w:tcPr>
          <w:p>
            <w:pPr>
              <w:spacing w:before="26" w:after="26"/>
            </w:pPr>
            <w:r>
              <w:rPr>
                <w:color w:val="232733"/>
                <w:sz w:val="16"/>
                <w:szCs w:val="16"/>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L2 Forklift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6" w:after="26"/>
            </w:pPr>
            <w:r>
              <w:rPr>
                <w:color w:val="232733"/>
                <w:sz w:val="16"/>
                <w:szCs w:val="16"/>
              </w:rPr>
              <w:t xml:space="preserve">L3 Storage room</w:t>
            </w:r>
          </w:p>
        </w:tc>
        <w:tc>
          <w:tcPr>
            <w:tcW w:type="pct" w:w="2600"/>
            <w:tcMar>
              <w:top w:type="dxa" w:w="50"/>
              <w:left w:type="dxa" w:w="110"/>
              <w:bottom w:type="dxa" w:w="50"/>
              <w:right w:type="dxa" w:w="110"/>
            </w:tcMar>
          </w:tcPr>
          <w:p>
            <w:pPr>
              <w:spacing w:before="26" w:after="26"/>
            </w:pPr>
            <w:r>
              <w:rPr>
                <w:color w:val="232733"/>
                <w:sz w:val="16"/>
                <w:szCs w:val="16"/>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L4 Laptops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3-year lease of office laptops; standard terms; no transfer or option.</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Barada's incremental borrowing rate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Present value of an annuity of $1 for 3 years at 8%: 2.5771.</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2029   ·   finance lease</w:t>
            </w:r>
          </w:p>
        </w:tc>
      </w:tr>
    </w:tbl>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right-of-use 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Exemption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exemption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Presentation and IFRS differences   ·   Gains and losses</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gain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statement, most gains and losses appear in other income and expense, below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settling   ·   investment   ·   loss   ·   multi-step   ·   holding gain or loss   ·   reported   ·   peripheral</w:t>
            </w:r>
          </w:p>
        </w:tc>
      </w:tr>
    </w:tbl>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comprehensive income   ·   Unrealized loss on AFS debt securities, net of tax</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Expenses are recognized in one of three ways. </w:t>
      </w:r>
      <w:r>
        <w:rPr>
          <w:sz w:val="19"/>
          <w:szCs w:val="19"/>
        </w:rPr>
        <w:t xml:space="preserve">When there is a clear cause and effect,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follows the related revenue: cost of goods sold is recognized when the goods are sold. </w:t>
      </w:r>
      <w:r>
        <w:rPr>
          <w:sz w:val="19"/>
          <w:szCs w:val="19"/>
        </w:rPr>
        <w:t xml:space="preserve">This is the matching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Chapter 11. </w:t>
      </w:r>
      <w:r>
        <w:rPr>
          <w:sz w:val="19"/>
          <w:szCs w:val="19"/>
        </w:rPr>
        <w:t xml:space="preserve">When a cost benefits several periods but cannot be linked to specific revenue, it is spread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bottling line and the expiry of prepaid rent are examples.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expense   ·   principle   ·   systematic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16"/>
        <w:gridCol w:w="2332"/>
        <w:gridCol w:w="48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258"/>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214"/>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527"/>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258"/>
            <w:tcMar>
              <w:top w:type="dxa" w:w="50"/>
              <w:left w:type="dxa" w:w="110"/>
              <w:bottom w:type="dxa" w:w="50"/>
              <w:right w:type="dxa" w:w="110"/>
            </w:tcMar>
          </w:tcPr>
          <w:p>
            <w:pPr>
              <w:spacing w:before="28" w:after="28"/>
            </w:pPr>
            <w:r>
              <w:rPr>
                <w:sz w:val="15"/>
                <w:szCs w:val="15"/>
              </w:rPr>
              <w:t xml:space="preserve">Cause and effect (matching)</w:t>
            </w:r>
          </w:p>
        </w:tc>
        <w:tc>
          <w:tcPr>
            <w:tcW w:type="pct" w:w="121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527"/>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258"/>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214"/>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527"/>
            <w:shd w:fill="FBFAF6" w:val="clear"/>
            <w:tcMar>
              <w:top w:type="dxa" w:w="50"/>
              <w:left w:type="dxa" w:w="110"/>
              <w:bottom w:type="dxa" w:w="50"/>
              <w:right w:type="dxa" w:w="110"/>
            </w:tcMar>
          </w:tcPr>
          <w:p>
            <w:pPr>
              <w:spacing w:before="28" w:after="28"/>
            </w:pPr>
            <w:r>
              <w:rPr>
                <w:sz w:val="15"/>
                <w:szCs w:val="15"/>
              </w:rPr>
              <w:t xml:space="preserve">Depreciation of the bottling line; prepaid rent</w:t>
            </w:r>
          </w:p>
        </w:tc>
      </w:tr>
      <w:tr>
        <w:tc>
          <w:tcPr>
            <w:tcW w:type="pct" w:w="1258"/>
            <w:tcMar>
              <w:top w:type="dxa" w:w="50"/>
              <w:left w:type="dxa" w:w="110"/>
              <w:bottom w:type="dxa" w:w="50"/>
              <w:right w:type="dxa" w:w="110"/>
            </w:tcMar>
          </w:tcPr>
          <w:p>
            <w:pPr>
              <w:spacing w:before="28" w:after="28"/>
            </w:pPr>
            <w:r>
              <w:rPr>
                <w:sz w:val="15"/>
                <w:szCs w:val="15"/>
              </w:rPr>
              <w:t xml:space="preserve">Immediate recognition</w:t>
            </w:r>
          </w:p>
        </w:tc>
        <w:tc>
          <w:tcPr>
            <w:tcW w:type="pct" w:w="121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527"/>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spread over the periods that benefit   ·   No clear link to future revenue: a period cost   ·   Expense follows the related revenue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ASU 2024-03 will require public companies to break down some expense captions in the notes, for example into inventory purchases, employee pay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recognition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Expenses are recognized in one of three ways. When there is a clear cause and effect, the expense follows the related revenue: cost of goods sold is recognized when the goods are sold. This is the matching principle from Chapter 11. When a cost benefits several periods but cannot be linked to specific revenue, it is spread by systematic and rational allocation. Depreciation of the bottling line and the expiry of prepaid rent are examples.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comprehensive income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loss of $8,000 before tax, $6,000 after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comprehensive income   ·   amount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Report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Comprehensive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period cost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disposal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First, it is a component of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operations and cash flows can be clearly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rest of the company.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disposal is a strategic shift that has, or will have, a major effect on operations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Third, the component has been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spun off, or it is held for sale. </w:t>
      </w:r>
      <w:r>
        <w:rPr>
          <w:sz w:val="19"/>
          <w:szCs w:val="19"/>
        </w:rPr>
        <w:t xml:space="preserve">Examples of a strategic shift are leaving a major line of business, a major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area or a major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investment. </w:t>
      </w:r>
      <w:r>
        <w:rPr>
          <w:sz w:val="19"/>
          <w:szCs w:val="19"/>
        </w:rPr>
        <w:t xml:space="preserve">There is no official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Selling one machine, one store or one small product is not a strategic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Second   ·   geographic   ·   percentage   ·   results   ·   entity   ·   separated   ·   strategic shift   ·   equity-method   ·   things   ·   reported   ·   judgment   ·   abandoned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these disposals happen</w:t>
            </w:r>
          </w:p>
        </w:tc>
        <w:tc>
          <w:tcPr>
            <w:tcW w:type="pct" w:w="2400"/>
            <w:tcMar>
              <w:top w:type="dxa" w:w="50"/>
              <w:left w:type="dxa" w:w="110"/>
              <w:bottom w:type="dxa" w:w="50"/>
              <w:right w:type="dxa" w:w="110"/>
            </w:tcMar>
          </w:tcPr>
          <w:p>
            <w:pPr>
              <w:spacing w:before="26" w:after="26"/>
            </w:pPr>
            <w:r>
              <w:rPr>
                <w:b/>
                <w:bCs/>
                <w:color w:val="353A7C"/>
                <w:sz w:val="15"/>
                <w:szCs w:val="15"/>
              </w:rPr>
              <w:t xml:space="preserve">Discontinued operation?</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whole frozen-foods business, one of its four product lines</w:t>
            </w:r>
          </w:p>
        </w:tc>
        <w:tc>
          <w:tcPr>
            <w:tcW w:type="pct" w:w="2400"/>
            <w:tcMar>
              <w:top w:type="dxa" w:w="50"/>
              <w:left w:type="dxa" w:w="110"/>
              <w:bottom w:type="dxa" w:w="50"/>
              <w:right w:type="dxa" w:w="110"/>
            </w:tcMar>
          </w:tcPr>
          <w:p>
            <w:pPr>
              <w:spacing w:before="26" w:after="26"/>
            </w:pPr>
            <w:r>
              <w:rPr>
                <w:color w:val="232733"/>
                <w:sz w:val="16"/>
                <w:szCs w:val="16"/>
              </w:rPr>
              <w:t xml:space="preserve">Yes: a major line of business</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closes one of its twelve olive-oil shops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 not a strategic shift</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all its operations in Jordan, its only foreign market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sells an old bottling machine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Orontes sells its 30% stake in Jordan Glass, a major equity-method investment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Orontes stops selling one flavour of juice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income   ·   held for sale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judgment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abandoned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 Third, the component has been sold, abandoned or spun off, or it is held for sale. Examples of a strategic shift are leaving a major line of business, a major geographic area or a major equity-method investment.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stops, and later increases in value are recognized only up to the losses already recorded.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   held-for-sale   ·   reasonable   ·   measured   ·   discontinued   ·   disposal group   ·   Depreciation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Board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depreciation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held for sale   ·   write-down</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reclassification adjustment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disposal group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Depreciation stops, and later increases in value are recognized only up to the losses already recorded.</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Held-for-sale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presented   ·   gain   ·   liabilities   ·   remeasurement   ·   Public   ·   per-share   ·   reclassified</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Unchanged   ·   Component + strategic shift with a major effect   ·   Re-presented: assets and liabilities shown separately   ·   disposal group   ·   Highly probable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Résultat exceptionnel and بنود استثنائية</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French résultat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Arabic بنود استثنائية describe unusual items in local practice. </w:t>
      </w:r>
      <w:r>
        <w:rPr>
          <w:sz w:val="19"/>
          <w:szCs w:val="19"/>
        </w:rPr>
        <w:t xml:space="preserve">U.S. GAAP has no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discontinued   ·   extraordinary   ·   exceptionnel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Résultat exceptionnel and بنود استثنائية</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Orontes,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Operating income</w:t>
            </w:r>
          </w:p>
        </w:tc>
        <w:tc>
          <w:tcPr>
            <w:tcW w:type="pct" w:w="2600"/>
            <w:tcMar>
              <w:top w:type="dxa" w:w="50"/>
              <w:left w:type="dxa" w:w="110"/>
              <w:bottom w:type="dxa" w:w="50"/>
              <w:right w:type="dxa" w:w="110"/>
            </w:tcMar>
          </w:tcPr>
          <w:p>
            <w:pPr>
              <w:spacing w:before="26" w:after="26"/>
            </w:pPr>
            <w:r>
              <w:rPr>
                <w:color w:val="232733"/>
                <w:sz w:val="16"/>
                <w:szCs w:val="16"/>
              </w:rPr>
              <w:t xml:space="preserve">5,000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 on sale of a warehouse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200</w:t>
            </w:r>
          </w:p>
        </w:tc>
      </w:tr>
      <w:tr>
        <w:tc>
          <w:tcPr>
            <w:tcW w:type="pct" w:w="2400"/>
            <w:tcMar>
              <w:top w:type="dxa" w:w="50"/>
              <w:left w:type="dxa" w:w="110"/>
              <w:bottom w:type="dxa" w:w="50"/>
              <w:right w:type="dxa" w:w="110"/>
            </w:tcMar>
          </w:tcPr>
          <w:p>
            <w:pPr>
              <w:spacing w:before="26" w:after="26"/>
            </w:pPr>
            <w:r>
              <w:rPr>
                <w:color w:val="232733"/>
                <w:sz w:val="16"/>
                <w:szCs w:val="16"/>
              </w:rPr>
              <w:t xml:space="preserve">Loss on settlement of a lawsuit (unusual for Orontes)</w:t>
            </w:r>
          </w:p>
        </w:tc>
        <w:tc>
          <w:tcPr>
            <w:tcW w:type="pct" w:w="2600"/>
            <w:tcMar>
              <w:top w:type="dxa" w:w="50"/>
              <w:left w:type="dxa" w:w="110"/>
              <w:bottom w:type="dxa" w:w="50"/>
              <w:right w:type="dxa" w:w="110"/>
            </w:tcMar>
          </w:tcPr>
          <w:p>
            <w:pPr>
              <w:spacing w:before="26" w:after="26"/>
            </w:pPr>
            <w:r>
              <w:rPr>
                <w:color w:val="232733"/>
                <w:sz w:val="16"/>
                <w:szCs w:val="16"/>
              </w:rPr>
              <w:t xml:space="preserve">120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Dry-foods division: operating loss before tax</w:t>
            </w:r>
          </w:p>
        </w:tc>
        <w:tc>
          <w:tcPr>
            <w:tcW w:type="pct" w:w="2600"/>
            <w:tcMar>
              <w:top w:type="dxa" w:w="50"/>
              <w:left w:type="dxa" w:w="110"/>
              <w:bottom w:type="dxa" w:w="50"/>
              <w:right w:type="dxa" w:w="110"/>
            </w:tcMar>
          </w:tcPr>
          <w:p>
            <w:pPr>
              <w:spacing w:before="26" w:after="26"/>
            </w:pPr>
            <w:r>
              <w:rPr>
                <w:color w:val="232733"/>
                <w:sz w:val="16"/>
                <w:szCs w:val="16"/>
              </w:rPr>
              <w:t xml:space="preserve">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Dry-foods division: gain on sale before tax</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280</w:t>
            </w:r>
          </w:p>
        </w:tc>
      </w:tr>
      <w:tr>
        <w:tc>
          <w:tcPr>
            <w:tcW w:type="pct" w:w="2400"/>
            <w:tcMar>
              <w:top w:type="dxa" w:w="50"/>
              <w:left w:type="dxa" w:w="110"/>
              <w:bottom w:type="dxa" w:w="50"/>
              <w:right w:type="dxa" w:w="110"/>
            </w:tcMar>
          </w:tcPr>
          <w:p>
            <w:pPr>
              <w:spacing w:before="26" w:after="26"/>
            </w:pPr>
            <w:r>
              <w:rPr>
                <w:color w:val="232733"/>
                <w:sz w:val="16"/>
                <w:szCs w:val="16"/>
              </w:rPr>
              <w:t xml:space="preserve">Unrealized holding gain on AFS debt securities during 2027</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24</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In 2027 Orontes sold its dry-foods division, one of its main product lines. The sale is a strategic shift with a major effect.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Orontes presents one continuous statement of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continuing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equity-method investment.   ·   Yes: a major geographic area.</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strategic shift   ·   Lawsuit settlement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reclassification adjustment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exceptionnel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Yes: a major geographic area.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discontinued operation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French résultat exceptionnel and Arabic بنود استثنائية describe unusual items in local practice. 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goodwill</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(الحصص غير المسيطرة, participations ne donnant pas le contrôle).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parent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noncontrolling interest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(الحصص غير المسيطرة, participations ne donnant pas le contrôle).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consolidated   ·   holders   ·   variable   ·   whether   ·   joint venture   ·   beneficiary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Suppose a logistics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owns all the shares of Orontes Cold-Chain Logistics SPV. </w:t>
      </w:r>
      <w:r>
        <w:rPr>
          <w:sz w:val="19"/>
          <w:szCs w:val="19"/>
        </w:rPr>
        <w:t xml:space="preserve">Banks lend $9,900,000,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entrepreneur   ·   beneficiary   ·   variable interest entity   ·   guaranteed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03"/>
        <w:gridCol w:w="4442"/>
        <w:gridCol w:w="1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33"/>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313"/>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654"/>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33"/>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313"/>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33"/>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313"/>
            <w:shd w:fill="FBFAF6" w:val="clear"/>
            <w:tcMar>
              <w:top w:type="dxa" w:w="50"/>
              <w:left w:type="dxa" w:w="110"/>
              <w:bottom w:type="dxa" w:w="50"/>
              <w:right w:type="dxa" w:w="110"/>
            </w:tcMar>
          </w:tcPr>
          <w:p>
            <w:pPr>
              <w:spacing w:before="28" w:after="28"/>
            </w:pPr>
            <w:r>
              <w:rPr>
                <w:sz w:val="15"/>
                <w:szCs w:val="15"/>
              </w:rPr>
              <w:t xml:space="preserve">No: Orontes decides routes and customers</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33"/>
            <w:tcMar>
              <w:top w:type="dxa" w:w="50"/>
              <w:left w:type="dxa" w:w="110"/>
              <w:bottom w:type="dxa" w:w="50"/>
              <w:right w:type="dxa" w:w="110"/>
            </w:tcMar>
          </w:tcPr>
          <w:p>
            <w:pPr>
              <w:spacing w:before="28" w:after="28"/>
            </w:pPr>
            <w:r>
              <w:rPr>
                <w:sz w:val="15"/>
                <w:szCs w:val="15"/>
              </w:rPr>
              <w:t xml:space="preserve">Who absorbs losses?</w:t>
            </w:r>
          </w:p>
        </w:tc>
        <w:tc>
          <w:tcPr>
            <w:tcW w:type="pct" w:w="231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654"/>
            <w:tcMar>
              <w:top w:type="dxa" w:w="50"/>
              <w:left w:type="dxa" w:w="110"/>
              <w:bottom w:type="dxa" w:w="50"/>
              <w:right w:type="dxa" w:w="110"/>
            </w:tcMar>
          </w:tcPr>
          <w:p>
            <w:pPr>
              <w:spacing w:before="28" w:after="28"/>
            </w:pPr>
            <w:r>
              <w:rPr>
                <w:sz w:val="15"/>
                <w:szCs w:val="15"/>
              </w:rPr>
              <w:t xml:space="preserve">Orontes</w:t>
            </w:r>
          </w:p>
        </w:tc>
      </w:tr>
      <w:tr>
        <w:tc>
          <w:tcPr>
            <w:tcW w:type="pct" w:w="2033"/>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313"/>
            <w:shd w:fill="FBFAF6" w:val="clear"/>
            <w:tcMar>
              <w:top w:type="dxa" w:w="50"/>
              <w:left w:type="dxa" w:w="110"/>
              <w:bottom w:type="dxa" w:w="50"/>
              <w:right w:type="dxa" w:w="110"/>
            </w:tcMar>
          </w:tcPr>
          <w:p>
            <w:pPr>
              <w:spacing w:before="28" w:after="28"/>
            </w:pPr>
            <w:r>
              <w:rPr>
                <w:sz w:val="15"/>
                <w:szCs w:val="15"/>
              </w:rPr>
              <w:t xml:space="preserve">Orontes has both power and exposure to significant losses</w:t>
            </w:r>
          </w:p>
        </w:tc>
        <w:tc>
          <w:tcPr>
            <w:tcW w:type="pct" w:w="654"/>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33"/>
            <w:tcMar>
              <w:top w:type="dxa" w:w="50"/>
              <w:left w:type="dxa" w:w="110"/>
              <w:bottom w:type="dxa" w:w="50"/>
              <w:right w:type="dxa" w:w="110"/>
            </w:tcMar>
          </w:tcPr>
          <w:p>
            <w:pPr>
              <w:spacing w:before="28" w:after="28"/>
            </w:pPr>
            <w:r>
              <w:rPr>
                <w:sz w:val="15"/>
                <w:szCs w:val="15"/>
              </w:rPr>
              <w:t xml:space="preserve">NCI in consolidation</w:t>
            </w:r>
          </w:p>
        </w:tc>
        <w:tc>
          <w:tcPr>
            <w:tcW w:type="pct" w:w="2313"/>
            <w:tcMar>
              <w:top w:type="dxa" w:w="50"/>
              <w:left w:type="dxa" w:w="110"/>
              <w:bottom w:type="dxa" w:w="50"/>
              <w:right w:type="dxa" w:w="110"/>
            </w:tcMar>
          </w:tcPr>
          <w:p>
            <w:pPr>
              <w:spacing w:before="28" w:after="28"/>
            </w:pPr>
            <w:r>
              <w:rPr>
                <w:sz w:val="15"/>
                <w:szCs w:val="15"/>
              </w:rPr>
              <w:t xml:space="preserve">The third party's equity of 100,000</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consolidates   ·   Shown as NCI   ·   VIE   ·   Suggests a VIE   ·   Orontes guarantees the 9,900,000 of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Test the VIE model before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beneficiary   ·   control   ·   counting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 guarantees the 9,900,000 of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entrepreneur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guaranteed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Banks lend $9,900,000, guaranteed by Orontes. Equity is only 1% of the funding, and Orontes decides routes and customers: the SPV is a VIE. Orontes has the power and bears the losses through its guarantee, so it is the primary beneficiary.</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significant influence, usually 20% to 50% of the votes, and for most joint ventures.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parent   ·   subsidiary's   ·   joint venture   ·   entity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99"/>
        <w:gridCol w:w="3070"/>
        <w:gridCol w:w="2944"/>
        <w:gridCol w:w="1323"/>
        <w:gridCol w:w="86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2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99"/>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533"/>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689"/>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29"/>
            <w:tcMar>
              <w:top w:type="dxa" w:w="50"/>
              <w:left w:type="dxa" w:w="110"/>
              <w:bottom w:type="dxa" w:w="50"/>
              <w:right w:type="dxa" w:w="110"/>
            </w:tcMar>
          </w:tcPr>
          <w:p>
            <w:pPr>
              <w:spacing w:before="28" w:after="28"/>
            </w:pPr>
            <w:r>
              <w:rPr>
                <w:sz w:val="15"/>
                <w:szCs w:val="15"/>
              </w:rPr>
              <w:t xml:space="preserve">Full consolidation</w:t>
            </w:r>
          </w:p>
        </w:tc>
        <w:tc>
          <w:tcPr>
            <w:tcW w:type="pct" w:w="159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33"/>
            <w:tcMar>
              <w:top w:type="dxa" w:w="50"/>
              <w:left w:type="dxa" w:w="110"/>
              <w:bottom w:type="dxa" w:w="50"/>
              <w:right w:type="dxa" w:w="110"/>
            </w:tcMar>
          </w:tcPr>
          <w:p>
            <w:pPr>
              <w:spacing w:before="28" w:after="28"/>
            </w:pPr>
            <w:r>
              <w:rPr>
                <w:sz w:val="15"/>
                <w:szCs w:val="15"/>
              </w:rPr>
              <w:t xml:space="preserve">100% of each asset, liability, revenue and expense; NCI shown</w:t>
            </w:r>
          </w:p>
        </w:tc>
        <w:tc>
          <w:tcPr>
            <w:tcW w:type="pct" w:w="689"/>
            <w:tcMar>
              <w:top w:type="dxa" w:w="50"/>
              <w:left w:type="dxa" w:w="110"/>
              <w:bottom w:type="dxa" w:w="50"/>
              <w:right w:type="dxa" w:w="110"/>
            </w:tcMar>
          </w:tcPr>
          <w:p>
            <w:pPr>
              <w:spacing w:before="28" w:after="28"/>
            </w:pPr>
            <w:r>
              <w:rPr>
                <w:sz w:val="15"/>
                <w:szCs w:val="15"/>
              </w:rPr>
              <w:t xml:space="preserve">100% of intercompany items</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72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599"/>
            <w:shd w:fill="FBFAF6" w:val="clear"/>
            <w:tcMar>
              <w:top w:type="dxa" w:w="50"/>
              <w:left w:type="dxa" w:w="110"/>
              <w:bottom w:type="dxa" w:w="50"/>
              <w:right w:type="dxa" w:w="110"/>
            </w:tcMar>
          </w:tcPr>
          <w:p>
            <w:pPr>
              <w:spacing w:before="28" w:after="28"/>
            </w:pPr>
            <w:r>
              <w:rPr>
                <w:sz w:val="15"/>
                <w:szCs w:val="15"/>
              </w:rPr>
              <w:t xml:space="preserve">Significant influence (20%–50%); joint ventures</w:t>
            </w:r>
          </w:p>
        </w:tc>
        <w:tc>
          <w:tcPr>
            <w:tcW w:type="pct" w:w="1533"/>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68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729"/>
            <w:tcMar>
              <w:top w:type="dxa" w:w="50"/>
              <w:left w:type="dxa" w:w="110"/>
              <w:bottom w:type="dxa" w:w="50"/>
              <w:right w:type="dxa" w:w="110"/>
            </w:tcMar>
          </w:tcPr>
          <w:p>
            <w:pPr>
              <w:spacing w:before="28" w:after="28"/>
            </w:pPr>
            <w:r>
              <w:rPr>
                <w:sz w:val="15"/>
                <w:szCs w:val="15"/>
              </w:rPr>
              <w:t xml:space="preserve">Proportionate consolidation</w:t>
            </w:r>
          </w:p>
        </w:tc>
        <w:tc>
          <w:tcPr>
            <w:tcW w:type="pct" w:w="1599"/>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53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689"/>
            <w:tcMar>
              <w:top w:type="dxa" w:w="50"/>
              <w:left w:type="dxa" w:w="110"/>
              <w:bottom w:type="dxa" w:w="50"/>
              <w:right w:type="dxa" w:w="110"/>
            </w:tcMar>
          </w:tcPr>
          <w:p>
            <w:pPr>
              <w:spacing w:before="28" w:after="28"/>
            </w:pPr>
            <w:r>
              <w:rPr>
                <w:sz w:val="15"/>
                <w:szCs w:val="15"/>
              </w:rPr>
              <w:t xml:space="preserve">Investor's share</w:t>
            </w:r>
          </w:p>
        </w:tc>
        <w:tc>
          <w:tcPr>
            <w:tcW w:type="pct" w:w="450"/>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100% of intercompany items   ·   Investor's share of each line   ·   Levant (80%)   ·   Only the investor's share: 30% × 40,000 = 12,000   ·   Jordan Glass (30%)</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methods also remove intercompany profit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subsidiary's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proportionate consolidation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LOS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Also, joint ventures use the equity method,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joint venture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equity method   ·   proportionate consolidation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Levant (80%)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Only the investor's share: 30% × 40,000 = 12,000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Jordan Glass (30%)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When a company gains control of a business, it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identifiable assets and liabilities at fair value, and it measures NCI at fair value too.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acquisition   ·   subsidiary's   ·   Goodwill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Remove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After the acquisition,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equipment   ·   record   ·   Levant's   ·   outsiders   ·   investment   ·   acquisition method</w:t>
            </w:r>
          </w:p>
        </w:tc>
      </w:tr>
    </w:tbl>
    <w:p/>
    <w:p>
      <w:pPr>
        <w:spacing w:before="44" w:after="10"/>
      </w:pPr>
      <w:r>
        <w:rPr>
          <w:b/>
          <w:bCs/>
          <w:color w:val="353A7C"/>
          <w:sz w:val="18"/>
          <w:szCs w:val="18"/>
        </w:rPr>
        <w:t xml:space="preserve">Suppose: elimination entry at the acquisition of Levant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equity (book value)   ·   unrealized profit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variable interest entity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acquisition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itself. </w:t>
      </w:r>
      <w:r>
        <w:rPr>
          <w:sz w:val="19"/>
          <w:szCs w:val="19"/>
        </w:rPr>
        <w:t xml:space="preserve">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receivables and payables, loans and interest, and dividends.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intercompany   ·   cannot   ·   unrealized profit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7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172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Intercompany sales and cost of sales   ·   intercompany transaction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NCI in Levant, 2027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NCI at January 1, 2027 (fair value)</w:t>
            </w:r>
          </w:p>
        </w:tc>
        <w:tc>
          <w:tcPr>
            <w:tcW w:type="pct" w:w="2400"/>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Levant's 2027 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depreciation on the PP&amp;E step-up (1,200,000 ÷ 10 years)</w:t>
            </w:r>
          </w:p>
        </w:tc>
        <w:tc>
          <w:tcPr>
            <w:tcW w:type="pct" w:w="2400"/>
            <w:tcMar>
              <w:top w:type="dxa" w:w="50"/>
              <w:left w:type="dxa" w:w="110"/>
              <w:bottom w:type="dxa" w:w="50"/>
              <w:right w:type="dxa" w:w="110"/>
            </w:tcMar>
          </w:tcPr>
          <w:p>
            <w:pPr>
              <w:spacing w:before="26" w:after="26"/>
            </w:pPr>
            <w:r>
              <w:rPr>
                <w:color w:val="232733"/>
                <w:sz w:val="16"/>
                <w:szCs w:val="16"/>
              </w:rPr>
              <w:t xml:space="preserve">(120,000)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share (20%)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Eliminate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equity-method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   intercompany   ·   unrealized profit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subsidiary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Intercompany sales and cost of sales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Truck sold for 90,000 (carrying 60,000)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ability to use its power to affect those returns. </w:t>
      </w:r>
      <w:r>
        <w:rPr>
          <w:sz w:val="19"/>
          <w:szCs w:val="19"/>
        </w:rPr>
        <w:t xml:space="preserve">There is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upstream sale   ·   controls   ·   exposure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11"/>
        <w:gridCol w:w="2357"/>
        <w:gridCol w:w="433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516"/>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56"/>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516"/>
            <w:tcMar>
              <w:top w:type="dxa" w:w="50"/>
              <w:left w:type="dxa" w:w="110"/>
              <w:bottom w:type="dxa" w:w="50"/>
              <w:right w:type="dxa" w:w="110"/>
            </w:tcMar>
          </w:tcPr>
          <w:p>
            <w:pPr>
              <w:spacing w:before="28" w:after="28"/>
            </w:pPr>
            <w:r>
              <w:rPr>
                <w:sz w:val="15"/>
                <w:szCs w:val="15"/>
              </w:rPr>
              <w:t xml:space="preserve">Control model</w:t>
            </w:r>
          </w:p>
        </w:tc>
        <w:tc>
          <w:tcPr>
            <w:tcW w:type="pct" w:w="1227"/>
            <w:tcMar>
              <w:top w:type="dxa" w:w="50"/>
              <w:left w:type="dxa" w:w="110"/>
              <w:bottom w:type="dxa" w:w="50"/>
              <w:right w:type="dxa" w:w="110"/>
            </w:tcMar>
          </w:tcPr>
          <w:p>
            <w:pPr>
              <w:spacing w:before="28" w:after="28"/>
            </w:pPr>
            <w:r>
              <w:rPr>
                <w:sz w:val="15"/>
                <w:szCs w:val="15"/>
              </w:rPr>
              <w:t xml:space="preserve">Two: VIE model first, then voting interest</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227"/>
            <w:shd w:fill="FBFAF6" w:val="clear"/>
            <w:tcMar>
              <w:top w:type="dxa" w:w="50"/>
              <w:left w:type="dxa" w:w="110"/>
              <w:bottom w:type="dxa" w:w="50"/>
              <w:right w:type="dxa" w:w="110"/>
            </w:tcMar>
          </w:tcPr>
          <w:p>
            <w:pPr>
              <w:spacing w:before="28" w:after="28"/>
            </w:pPr>
            <w:r>
              <w:rPr>
                <w:sz w:val="15"/>
                <w:szCs w:val="15"/>
              </w:rPr>
              <w:t xml:space="preserve">Not through voting alone (unless a VIE)</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516"/>
            <w:tcMar>
              <w:top w:type="dxa" w:w="50"/>
              <w:left w:type="dxa" w:w="110"/>
              <w:bottom w:type="dxa" w:w="50"/>
              <w:right w:type="dxa" w:w="110"/>
            </w:tcMar>
          </w:tcPr>
          <w:p>
            <w:pPr>
              <w:spacing w:before="28" w:after="28"/>
            </w:pPr>
            <w:r>
              <w:rPr>
                <w:sz w:val="15"/>
                <w:szCs w:val="15"/>
              </w:rPr>
              <w:t xml:space="preserve">Measuring NCI</w:t>
            </w:r>
          </w:p>
        </w:tc>
        <w:tc>
          <w:tcPr>
            <w:tcW w:type="pct" w:w="1227"/>
            <w:tcMar>
              <w:top w:type="dxa" w:w="50"/>
              <w:left w:type="dxa" w:w="110"/>
              <w:bottom w:type="dxa" w:w="50"/>
              <w:right w:type="dxa" w:w="110"/>
            </w:tcMar>
          </w:tcPr>
          <w:p>
            <w:pPr>
              <w:spacing w:before="28" w:after="28"/>
            </w:pPr>
            <w:r>
              <w:rPr>
                <w:sz w:val="15"/>
                <w:szCs w:val="15"/>
              </w:rPr>
              <w:t xml:space="preserve">Fair value (full goodwill)</w:t>
            </w:r>
          </w:p>
        </w:tc>
        <w:tc>
          <w:tcPr>
            <w:tcW w:type="pct" w:w="2256"/>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2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56"/>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516"/>
            <w:tcMar>
              <w:top w:type="dxa" w:w="50"/>
              <w:left w:type="dxa" w:w="110"/>
              <w:bottom w:type="dxa" w:w="50"/>
              <w:right w:type="dxa" w:w="110"/>
            </w:tcMar>
          </w:tcPr>
          <w:p>
            <w:pPr>
              <w:spacing w:before="28" w:after="28"/>
            </w:pPr>
            <w:r>
              <w:rPr>
                <w:sz w:val="15"/>
                <w:szCs w:val="15"/>
              </w:rPr>
              <w:t xml:space="preserve">Group accounting policies</w:t>
            </w:r>
          </w:p>
        </w:tc>
        <w:tc>
          <w:tcPr>
            <w:tcW w:type="pct" w:w="1227"/>
            <w:tcMar>
              <w:top w:type="dxa" w:w="50"/>
              <w:left w:type="dxa" w:w="110"/>
              <w:bottom w:type="dxa" w:w="50"/>
              <w:right w:type="dxa" w:w="110"/>
            </w:tcMar>
          </w:tcPr>
          <w:p>
            <w:pPr>
              <w:spacing w:before="28" w:after="28"/>
            </w:pPr>
            <w:r>
              <w:rPr>
                <w:sz w:val="15"/>
                <w:szCs w:val="15"/>
              </w:rPr>
              <w:t xml:space="preserve">No general uniformity rule</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22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56"/>
            <w:shd w:fill="FBFAF6" w:val="clear"/>
            <w:tcMar>
              <w:top w:type="dxa" w:w="50"/>
              <w:left w:type="dxa" w:w="110"/>
              <w:bottom w:type="dxa" w:w="50"/>
              <w:right w:type="dxa" w:w="110"/>
            </w:tcMar>
          </w:tcPr>
          <w:p>
            <w:pPr>
              <w:spacing w:before="28" w:after="28"/>
            </w:pPr>
            <w:r>
              <w:rPr>
                <w:sz w:val="15"/>
                <w:szCs w:val="15"/>
              </w:rPr>
              <w:t xml:space="preserve">A non-investment-entity parent consolidates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Joint ventures: equity method   ·   Fair value (full goodwill)   ·   Possible: de facto control   ·   One: power, variable returns and the link between them   ·   Parent keeps their fair value accounting   ·   Uniform policies required</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ASU 2025-03 changes how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interest   ·   acquired   ·   together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542"/>
            <w:tcMar>
              <w:top w:type="dxa" w:w="50"/>
              <w:left w:type="dxa" w:w="110"/>
              <w:bottom w:type="dxa" w:w="50"/>
              <w:right w:type="dxa" w:w="110"/>
            </w:tcMar>
          </w:tcPr>
          <w:p>
            <w:pPr>
              <w:spacing w:before="26" w:after="26"/>
            </w:pPr>
            <w:r>
              <w:rPr>
                <w:b/>
                <w:bCs/>
                <w:color w:val="353A7C"/>
                <w:sz w:val="15"/>
                <w:szCs w:val="15"/>
              </w:rPr>
              <w:t xml:space="preserve">Suppose: Barada Wholesale and Tadmor Retail, 202</w:t>
            </w:r>
          </w:p>
        </w:tc>
        <w:tc>
          <w:tcPr>
            <w:tcW w:type="pct" w:w="245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542"/>
            <w:tcMar>
              <w:top w:type="dxa" w:w="50"/>
              <w:left w:type="dxa" w:w="110"/>
              <w:bottom w:type="dxa" w:w="50"/>
              <w:right w:type="dxa" w:w="110"/>
            </w:tcMar>
          </w:tcPr>
          <w:p>
            <w:pPr>
              <w:spacing w:before="26" w:after="26"/>
            </w:pPr>
            <w:r>
              <w:rPr>
                <w:color w:val="232733"/>
                <w:sz w:val="16"/>
                <w:szCs w:val="16"/>
              </w:rPr>
              <w:t xml:space="preserve">Price paid for 75% of Tadmor Retail LLC, January 1, 2028</w:t>
            </w:r>
          </w:p>
        </w:tc>
        <w:tc>
          <w:tcPr>
            <w:tcW w:type="pct" w:w="2458"/>
            <w:tcMar>
              <w:top w:type="dxa" w:w="50"/>
              <w:left w:type="dxa" w:w="110"/>
              <w:bottom w:type="dxa" w:w="50"/>
              <w:right w:type="dxa" w:w="110"/>
            </w:tcMar>
          </w:tcPr>
          <w:p>
            <w:pPr>
              <w:spacing w:before="26" w:after="26"/>
            </w:pPr>
            <w:r>
              <w:rPr>
                <w:color w:val="232733"/>
                <w:sz w:val="16"/>
                <w:szCs w:val="16"/>
              </w:rPr>
              <w:t xml:space="preserve">600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Fair value of the 25% noncontrolling interest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190</w:t>
            </w:r>
          </w:p>
        </w:tc>
      </w:tr>
      <w:tr>
        <w:tc>
          <w:tcPr>
            <w:tcW w:type="pct" w:w="2542"/>
            <w:tcMar>
              <w:top w:type="dxa" w:w="50"/>
              <w:left w:type="dxa" w:w="110"/>
              <w:bottom w:type="dxa" w:w="50"/>
              <w:right w:type="dxa" w:w="110"/>
            </w:tcMar>
          </w:tcPr>
          <w:p>
            <w:pPr>
              <w:spacing w:before="26" w:after="26"/>
            </w:pPr>
            <w:r>
              <w:rPr>
                <w:color w:val="232733"/>
                <w:sz w:val="16"/>
                <w:szCs w:val="16"/>
              </w:rPr>
              <w:t xml:space="preserve">Fair value of Tadmor's identifiable net assets</w:t>
            </w:r>
          </w:p>
        </w:tc>
        <w:tc>
          <w:tcPr>
            <w:tcW w:type="pct" w:w="2458"/>
            <w:tcMar>
              <w:top w:type="dxa" w:w="50"/>
              <w:left w:type="dxa" w:w="110"/>
              <w:bottom w:type="dxa" w:w="50"/>
              <w:right w:type="dxa" w:w="110"/>
            </w:tcMar>
          </w:tcPr>
          <w:p>
            <w:pPr>
              <w:spacing w:before="26" w:after="26"/>
            </w:pPr>
            <w:r>
              <w:rPr>
                <w:color w:val="232733"/>
                <w:sz w:val="16"/>
                <w:szCs w:val="16"/>
              </w:rPr>
              <w:t xml:space="preserve">700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Barada sold goods to Tadmor: sales 200, margin 30%, 25% still held by Tadmor</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42"/>
            <w:tcMar>
              <w:top w:type="dxa" w:w="50"/>
              <w:left w:type="dxa" w:w="110"/>
              <w:bottom w:type="dxa" w:w="50"/>
              <w:right w:type="dxa" w:w="110"/>
            </w:tcMar>
          </w:tcPr>
          <w:p>
            <w:pPr>
              <w:spacing w:before="26" w:after="26"/>
            </w:pPr>
            <w:r>
              <w:rPr>
                <w:color w:val="232733"/>
                <w:sz w:val="16"/>
                <w:szCs w:val="16"/>
              </w:rPr>
              <w:t xml:space="preserve">Tadmor sold goods to Barada: sales 160, margin 25%, 50% still held by Barada</w:t>
            </w:r>
          </w:p>
        </w:tc>
        <w:tc>
          <w:tcPr>
            <w:tcW w:type="pct" w:w="2458"/>
            <w:tcMar>
              <w:top w:type="dxa" w:w="50"/>
              <w:left w:type="dxa" w:w="110"/>
              <w:bottom w:type="dxa" w:w="50"/>
              <w:right w:type="dxa" w:w="110"/>
            </w:tcMar>
          </w:tcPr>
          <w:p>
            <w:pPr>
              <w:spacing w:before="26" w:after="26"/>
            </w:pPr>
            <w:r>
              <w:rPr>
                <w:color w:val="232733"/>
                <w:sz w:val="16"/>
                <w:szCs w:val="16"/>
              </w:rPr>
              <w:t xml:space="preserve"/>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Tadmor owes Barada at December 31,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Tadmor's 2028 net income (before any consolidation adjustment)</w:t>
            </w:r>
          </w:p>
        </w:tc>
        <w:tc>
          <w:tcPr>
            <w:tcW w:type="pct" w:w="2458"/>
            <w:tcMar>
              <w:top w:type="dxa" w:w="50"/>
              <w:left w:type="dxa" w:w="110"/>
              <w:bottom w:type="dxa" w:w="50"/>
              <w:right w:type="dxa" w:w="110"/>
            </w:tcMar>
          </w:tcPr>
          <w:p>
            <w:pPr>
              <w:spacing w:before="26" w:after="26"/>
            </w:pPr>
            <w:r>
              <w:rPr>
                <w:color w:val="232733"/>
                <w:sz w:val="16"/>
                <w:szCs w:val="16"/>
              </w:rPr>
              <w:t xml:space="preserve">120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Dividends paid by Tadmor in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M1</w:t>
            </w:r>
          </w:p>
        </w:tc>
        <w:tc>
          <w:tcPr>
            <w:tcW w:type="pct" w:w="2458"/>
            <w:tcMar>
              <w:top w:type="dxa" w:w="50"/>
              <w:left w:type="dxa" w:w="110"/>
              <w:bottom w:type="dxa" w:w="50"/>
              <w:right w:type="dxa" w:w="110"/>
            </w:tcMar>
          </w:tcPr>
          <w:p>
            <w:pPr>
              <w:spacing w:before="26" w:after="26"/>
            </w:pPr>
            <w:r>
              <w:rPr>
                <w:color w:val="232733"/>
                <w:sz w:val="16"/>
                <w:szCs w:val="16"/>
              </w:rPr>
              <w:t xml:space="preserve">Tadmor's assets are at fair value on its books, so there is no step-up to depreciate.</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Barada also holds 30% of a supplier (significant influence) and 8% of a listed food company.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1,900,000 + 151,000 − 20,000 = 2,031,000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Tadmor Retail (75%)</w:t>
            </w:r>
          </w:p>
        </w:tc>
        <w:tc>
          <w:tcPr>
            <w:tcW w:type="pct" w:w="2400"/>
            <w:tcMar>
              <w:top w:type="dxa" w:w="50"/>
              <w:left w:type="dxa" w:w="110"/>
              <w:bottom w:type="dxa" w:w="50"/>
              <w:right w:type="dxa" w:w="110"/>
            </w:tcMar>
          </w:tcPr>
          <w:p>
            <w:pPr>
              <w:spacing w:before="26" w:after="26"/>
            </w:pPr>
            <w:r>
              <w:rPr>
                <w:color w:val="232733"/>
                <w:sz w:val="16"/>
                <w:szCs w:val="16"/>
              </w:rPr>
              <w:t xml:space="preserve">Full consolidation</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method</w:t>
            </w:r>
          </w:p>
        </w:tc>
      </w:tr>
      <w:tr>
        <w:tc>
          <w:tcPr>
            <w:tcW w:type="pct" w:w="2600"/>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400"/>
            <w:tcMar>
              <w:top w:type="dxa" w:w="50"/>
              <w:left w:type="dxa" w:w="110"/>
              <w:bottom w:type="dxa" w:w="50"/>
              <w:right w:type="dxa" w:w="110"/>
            </w:tcMar>
          </w:tcPr>
          <w:p>
            <w:pPr>
              <w:spacing w:before="26" w:after="26"/>
            </w:pPr>
            <w:r>
              <w:rPr>
                <w:color w:val="232733"/>
                <w:sz w:val="16"/>
                <w:szCs w:val="16"/>
              </w:rPr>
              <w:t xml:space="preserve">Fair value through net income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Full consolidation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goodwill   ·   noncontrolling interest</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One: power, variable returns and the link between them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 de facto control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Joint ventures: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Uniform policies required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Parent keeps their fair value 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goodwill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(iii) Inventories   ·   (v) Long-lived assets</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when the tax obligation arises under U.S. GAAP, but accrued over the vesting period under IFRS.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   ·   straight-line   ·   graded vesting   ·   conditions   ·   recognized   ·   expense   ·   forfeitures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9"/>
        <w:gridCol w:w="3995"/>
        <w:gridCol w:w="213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81"/>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7"/>
            <w:tcMar>
              <w:top w:type="dxa" w:w="50"/>
              <w:left w:type="dxa" w:w="110"/>
              <w:bottom w:type="dxa" w:w="50"/>
              <w:right w:type="dxa" w:w="110"/>
            </w:tcMar>
          </w:tcPr>
          <w:p>
            <w:pPr>
              <w:spacing w:before="28" w:after="28"/>
            </w:pPr>
            <w:r>
              <w:rPr>
                <w:sz w:val="15"/>
                <w:szCs w:val="15"/>
              </w:rPr>
              <w:t xml:space="preserve">Graded vesting (service condition)</w:t>
            </w:r>
          </w:p>
        </w:tc>
        <w:tc>
          <w:tcPr>
            <w:tcW w:type="pct" w:w="2081"/>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12"/>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7"/>
            <w:tcMar>
              <w:top w:type="dxa" w:w="50"/>
              <w:left w:type="dxa" w:w="110"/>
              <w:bottom w:type="dxa" w:w="50"/>
              <w:right w:type="dxa" w:w="110"/>
            </w:tcMar>
          </w:tcPr>
          <w:p>
            <w:pPr>
              <w:spacing w:before="28" w:after="28"/>
            </w:pPr>
            <w:r>
              <w:rPr>
                <w:sz w:val="15"/>
                <w:szCs w:val="15"/>
              </w:rPr>
              <w:t xml:space="preserve">Employer payroll taxes on awards</w:t>
            </w:r>
          </w:p>
        </w:tc>
        <w:tc>
          <w:tcPr>
            <w:tcW w:type="pct" w:w="2081"/>
            <w:tcMar>
              <w:top w:type="dxa" w:w="50"/>
              <w:left w:type="dxa" w:w="110"/>
              <w:bottom w:type="dxa" w:w="50"/>
              <w:right w:type="dxa" w:w="110"/>
            </w:tcMar>
          </w:tcPr>
          <w:p>
            <w:pPr>
              <w:spacing w:before="28" w:after="28"/>
            </w:pPr>
            <w:r>
              <w:rPr>
                <w:sz w:val="15"/>
                <w:szCs w:val="15"/>
              </w:rPr>
              <w:t xml:space="preserve">When the tax obligation arises (exercise or vesting)</w:t>
            </w:r>
          </w:p>
        </w:tc>
        <w:tc>
          <w:tcPr>
            <w:tcW w:type="pct" w:w="111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81"/>
            <w:shd w:fill="FBFAF6" w:val="clear"/>
            <w:tcMar>
              <w:top w:type="dxa" w:w="50"/>
              <w:left w:type="dxa" w:w="110"/>
              <w:bottom w:type="dxa" w:w="50"/>
              <w:right w:type="dxa" w:w="110"/>
            </w:tcMar>
          </w:tcPr>
          <w:p>
            <w:pPr>
              <w:spacing w:before="28" w:after="28"/>
            </w:pPr>
            <w:r>
              <w:rPr>
                <w:sz w:val="15"/>
                <w:szCs w:val="15"/>
              </w:rPr>
              <w:t xml:space="preserve">OCI, then amortized into net income (corridor)</w:t>
            </w:r>
          </w:p>
        </w:tc>
        <w:tc>
          <w:tcPr>
            <w:tcW w:type="pct" w:w="1112"/>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7"/>
            <w:tcMar>
              <w:top w:type="dxa" w:w="50"/>
              <w:left w:type="dxa" w:w="110"/>
              <w:bottom w:type="dxa" w:w="50"/>
              <w:right w:type="dxa" w:w="110"/>
            </w:tcMar>
          </w:tcPr>
          <w:p>
            <w:pPr>
              <w:spacing w:before="28" w:after="28"/>
            </w:pPr>
            <w:r>
              <w:rPr>
                <w:sz w:val="15"/>
                <w:szCs w:val="15"/>
              </w:rPr>
              <w:t xml:space="preserve">Return on plan assets</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12"/>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7"/>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8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shd w:fill="FBFAF6" w:val="clear"/>
            <w:tcMar>
              <w:top w:type="dxa" w:w="50"/>
              <w:left w:type="dxa" w:w="110"/>
              <w:bottom w:type="dxa" w:w="50"/>
              <w:right w:type="dxa" w:w="110"/>
            </w:tcMar>
          </w:tcPr>
          <w:p>
            <w:pPr>
              <w:spacing w:before="28" w:after="28"/>
            </w:pPr>
            <w:r>
              <w:rPr>
                <w:sz w:val="15"/>
                <w:szCs w:val="15"/>
              </w:rPr>
              <w:t xml:space="preserve">Expensed at once: 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Tranche by tranche   ·   Net interest at the discount rate   ·   Expected return   ·   Policy choice: estimate or record as they occur   ·   Accrued over the vesting period   ·   OCI, amortized over 10 years: 5,000 a year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Tranche by tranche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Policy choice: estimate or record as they occur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Accrued over the vesting 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amortized over 10 years: 5,000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defined benefit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largest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difference is development costs. </w:t>
      </w:r>
      <w:r>
        <w:rPr>
          <w:sz w:val="19"/>
          <w:szCs w:val="19"/>
        </w:rPr>
        <w:t xml:space="preserve">U.S. GAAP expenses research and development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Suppose Orontes spends $300,000 developing a new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expense; under IFRS it is an intangible asset, amortized once the product is ready.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incurred   ·   sparkling-juice   ·   feasibility   ·   development costs   ·   capitalizes   ·   exceptions   ·   intangibles</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revaluation surplus   ·   Not recognized   ·   Only private companies may elect it   ·   Development rules of IAS 38</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development costs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intangibles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 rules of IAS 38</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Capitalized: all six IAS 38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and companies that use LIFO for tax must also use it in their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Both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IAS 2 uses the lower of cost and NRV for all inventory. </w:t>
      </w:r>
      <w:r>
        <w:rPr>
          <w:sz w:val="19"/>
          <w:szCs w:val="19"/>
        </w:rPr>
        <w:t xml:space="preserve">U.S. GAAP uses lower of cost and NRV for FIFO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but lower of cost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LIFO and the retail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average   ·   statements   ·   allows   ·   market   ·   net realizable value (NRV)</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dépréciation, provision</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French stocks means inventory,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French dépréciation des stocks is a write-down,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write-down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shares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allows it, and companies that use LIFO for tax must also use it in their financial statements. Both frameworks write inventory down when its value falls below cost. IAS 2 uses the lower of cost and NRV for all inventory. U.S. GAAP uses lower of cost and NRV for FIFO and average cost, but lower of cost or market for LIFO and the retail method.</w:t>
      </w:r>
    </w:p>
    <w:p>
      <w:pPr>
        <w:spacing w:before="20" w:after="20"/>
        <w:ind w:left="240" w:hanging="240"/>
      </w:pPr>
      <w:r>
        <w:rPr>
          <w:b/>
          <w:bCs/>
          <w:color w:val="353A7C"/>
          <w:sz w:val="15"/>
          <w:szCs w:val="15"/>
        </w:rPr>
        <w:t xml:space="preserve">Summary 2   </w:t>
      </w:r>
      <w:r>
        <w:rPr>
          <w:color w:val="6B7280"/>
          <w:sz w:val="15"/>
          <w:szCs w:val="15"/>
        </w:rPr>
        <w:t xml:space="preserve">French stocks means inventory, not shares. French dépréciation des stocks is a write-down, 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IFRS 16 has one lessee model: every lease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like a finance lease, with depreciation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asset plus interest. </w:t>
      </w:r>
      <w:r>
        <w:rPr>
          <w:sz w:val="19"/>
          <w:szCs w:val="19"/>
        </w:rPr>
        <w:t xml:space="preserve">U.S. GAAP keeps two models, and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lease has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w:t>
      </w:r>
      <w:r>
        <w:rPr>
          <w:sz w:val="19"/>
          <w:szCs w:val="19"/>
        </w:rPr>
        <w:t xml:space="preserve">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warehouse from Chapter 14, U.S. GAAP shows a lease cost of $100,000 in 2026. </w:t>
      </w:r>
      <w:r>
        <w:rPr>
          <w:sz w:val="19"/>
          <w:szCs w:val="19"/>
        </w:rPr>
        <w:t xml:space="preserve">IFRS 16 shows depreciation of $84,247 plus interest of $25,274: $109,521, which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Over the whole lease, total expense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Orontes's   ·   cash-generating unit   ·   right-of-use   ·   straight-line   ·   operating   ·   higher</w:t>
            </w:r>
          </w:p>
        </w:tc>
      </w:tr>
    </w:tbl>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Full gain if a sale   ·   One: all leases like finance leases   ·   Liability remeasured   ·   Operating   ·   Depreciation 84,247 + interest 25,274 = 109,521</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 84,247 + interest 25,274 = 109,521</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 gain if a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16 has one lessee model: every lease is treated like a finance lease, with depreciation of the right-of-use asset plus interest. U.S. GAAP keeps two models, and an operating lease has one straight-line cost. For Orontes's warehouse from Chapter 14, U.S. GAAP shows a lease cost of $100,000 in 2026. IFRS 16 shows depreciation of $84,247 plus interest of $25,274: $109,521, which is higher in the early years. Over the whole lease, total expense is the same.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U.S. GAAP carries property, plant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less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IAS 16 also allows the revaluation model for a whole class of assets: the assets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Under U.S. GAAP it stays at cost. </w:t>
      </w:r>
      <w:r>
        <w:rPr>
          <w:sz w:val="19"/>
          <w:szCs w:val="19"/>
        </w:rPr>
        <w:t xml:space="preserve">Under IFRS, if Orontes chose the revaluation model, it would show the land at fair value and a surplus of $600,000 in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increases   ·   Orontes's   ·   carried   ·   equipment   ·   revaluation surplus</w:t>
            </w:r>
          </w:p>
        </w:tc>
      </w:tr>
    </w:tbl>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Stays at 2,000,000   ·   Fair value or cost model (IAS 40)   ·   Capitalized; investment income generally not offset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Stays at 2,000,000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Capitalized; investment income generally not offset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Fair value or cost model (IAS 40)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carries property, plant and equipment at cost less depreciation. IAS 16 also allows the revaluation model for a whole class of assets: the assets are carried at fair value, and increases go to a revaluation surplus in OCI. Suppose Orontes's land in Amman cost $2,000,000 and is now worth $2,600,000. Under U.S. GAAP it stays at cost. Under IFRS, if Orontes chose the revaluation model, it would show the land at fair value and a surplus of $600,000 in OCI.</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tests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 group in two steps. </w:t>
      </w:r>
      <w:r>
        <w:rPr>
          <w:sz w:val="19"/>
          <w:szCs w:val="19"/>
        </w:rPr>
        <w:t xml:space="preserve">First, it compares the carrying amount with undiscounted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It compares the carrying amount of an asset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unit with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 the higher of fair value less costs of disposal and value in use, a discounted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recoverable   ·   cash-generating   ·   Because   ·   recoverability test   ·   held-and-used   ·   future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20" w:after="20" w:line="360" w:lineRule="auto"/>
        <w:ind w:left="200"/>
      </w:pPr>
      <w:r>
        <w:rPr>
          <w:sz w:val="19"/>
          <w:szCs w:val="19"/>
        </w:rPr>
        <w:t xml:space="preserve">Undiscounted cash flows of $4,200,000 are above the carrying amount of $4,000,000: the plant is recoverable, so there is no loss. Recoverable amount is the higher of $3,500,000 and $3,700,000: $3,700,000. The carrying amount is higher, so the loss is $300,000.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recoverable amount   ·   Development costs are capitalized when criteria are met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recoverable amount   ·   disclosures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Suppose: Levant Distribution LLC, 2027 (USD 000)</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Levant's 2027 net income under IFRS (local books)</w:t>
            </w:r>
          </w:p>
        </w:tc>
        <w:tc>
          <w:tcPr>
            <w:tcW w:type="pct" w:w="2600"/>
            <w:tcMar>
              <w:top w:type="dxa" w:w="50"/>
              <w:left w:type="dxa" w:w="110"/>
              <w:bottom w:type="dxa" w:w="50"/>
              <w:right w:type="dxa" w:w="110"/>
            </w:tcMar>
          </w:tcPr>
          <w:p>
            <w:pPr>
              <w:spacing w:before="26" w:after="26"/>
            </w:pPr>
            <w:r>
              <w:rPr>
                <w:color w:val="232733"/>
                <w:sz w:val="16"/>
                <w:szCs w:val="16"/>
              </w:rPr>
              <w:t xml:space="preserve">1,114</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L1</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6" w:after="26"/>
            </w:pPr>
            <w:r>
              <w:rPr>
                <w:color w:val="232733"/>
                <w:sz w:val="16"/>
                <w:szCs w:val="16"/>
              </w:rPr>
              <w:t xml:space="preserve">L2</w:t>
            </w:r>
          </w:p>
        </w:tc>
        <w:tc>
          <w:tcPr>
            <w:tcW w:type="pct" w:w="2600"/>
            <w:tcMar>
              <w:top w:type="dxa" w:w="50"/>
              <w:left w:type="dxa" w:w="110"/>
              <w:bottom w:type="dxa" w:w="50"/>
              <w:right w:type="dxa" w:w="110"/>
            </w:tcMar>
          </w:tcPr>
          <w:p>
            <w:pPr>
              <w:spacing w:before="26" w:after="26"/>
            </w:pPr>
            <w:r>
              <w:rPr>
                <w:color w:val="232733"/>
                <w:sz w:val="16"/>
                <w:szCs w:val="16"/>
              </w:rPr>
              <w:t xml:space="preserve">A 2026 inventory write-down was reversed in 2027 under IAS 2: gain of 30.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Warehouse land revalued upward by 400; the surplus is in OCI.</w:t>
            </w:r>
          </w:p>
        </w:tc>
      </w:tr>
      <w:tr>
        <w:tc>
          <w:tcPr>
            <w:tcW w:type="pct" w:w="2400"/>
            <w:tcMar>
              <w:top w:type="dxa" w:w="50"/>
              <w:left w:type="dxa" w:w="110"/>
              <w:bottom w:type="dxa" w:w="50"/>
              <w:right w:type="dxa" w:w="110"/>
            </w:tcMar>
          </w:tcPr>
          <w:p>
            <w:pPr>
              <w:spacing w:before="26" w:after="26"/>
            </w:pPr>
            <w:r>
              <w:rPr>
                <w:color w:val="232733"/>
                <w:sz w:val="16"/>
                <w:szCs w:val="16"/>
              </w:rPr>
              <w:t xml:space="preserve">L4</w:t>
            </w:r>
          </w:p>
        </w:tc>
        <w:tc>
          <w:tcPr>
            <w:tcW w:type="pct" w:w="2600"/>
            <w:tcMar>
              <w:top w:type="dxa" w:w="50"/>
              <w:left w:type="dxa" w:w="110"/>
              <w:bottom w:type="dxa" w:w="50"/>
              <w:right w:type="dxa" w:w="110"/>
            </w:tcMar>
          </w:tcPr>
          <w:p>
            <w:pPr>
              <w:spacing w:before="26" w:after="26"/>
            </w:pPr>
            <w:r>
              <w:rPr>
                <w:color w:val="232733"/>
                <w:sz w:val="16"/>
                <w:szCs w:val="16"/>
              </w:rPr>
              <w:t xml:space="preserve">Delivery fleet: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L5</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Orontes must convert Levant's figures to U.S. GAAP before consolidation (Chapter 16). Ignore tax effects.</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L5 Truck lease   ·   L2 Write-down reversal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recoverable amount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held-and-used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It compares the carrying amount of an asset or cash-generating unit with its recoverable amount: the higher of fair value less costs of disposal and value in use, a discounted cash-flow measure. Because there is no undiscounted screen, IFRS losses often come earlier.</w:t>
      </w:r>
    </w:p>
    <w:p>
      <w:pPr>
        <w:spacing w:before="20" w:after="20"/>
        <w:ind w:left="240" w:hanging="240"/>
      </w:pPr>
      <w:r>
        <w:rPr>
          <w:b/>
          <w:bCs/>
          <w:color w:val="353A7C"/>
          <w:sz w:val="15"/>
          <w:szCs w:val="15"/>
        </w:rPr>
        <w:t xml:space="preserve">Summary 2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Without integrated thinking, a report is just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International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communication   ·   medium   ·   capitals   ·   depend   ·   periodic   ·   preservation   ·   collection   ·   reporting   ·   decisions   ·   relationships   ·   integrated report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integrated thinking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primary purpose of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is to explain to providers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interested in the company's ability to create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   stakeholders   ·   shareholders   ·   policymakers   ·   answer   ·   financial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2385"/>
        <w:gridCol w:w="3063"/>
        <w:gridCol w:w="17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124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595"/>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919"/>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244"/>
            <w:tcMar>
              <w:top w:type="dxa" w:w="50"/>
              <w:left w:type="dxa" w:w="110"/>
              <w:bottom w:type="dxa" w:w="50"/>
              <w:right w:type="dxa" w:w="110"/>
            </w:tcMar>
          </w:tcPr>
          <w:p>
            <w:pPr>
              <w:spacing w:before="28" w:after="28"/>
            </w:pPr>
            <w:r>
              <w:rPr>
                <w:sz w:val="15"/>
                <w:szCs w:val="15"/>
              </w:rPr>
              <w:t xml:space="preserve">Financial statements (U.S. GAAP)</w:t>
            </w:r>
          </w:p>
        </w:tc>
        <w:tc>
          <w:tcPr>
            <w:tcW w:type="pct" w:w="1242"/>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95"/>
            <w:tcMar>
              <w:top w:type="dxa" w:w="50"/>
              <w:left w:type="dxa" w:w="110"/>
              <w:bottom w:type="dxa" w:w="50"/>
              <w:right w:type="dxa" w:w="110"/>
            </w:tcMar>
          </w:tcPr>
          <w:p>
            <w:pPr>
              <w:spacing w:before="28" w:after="28"/>
            </w:pPr>
            <w:r>
              <w:rPr>
                <w:sz w:val="15"/>
                <w:szCs w:val="15"/>
              </w:rPr>
              <w:t xml:space="preserve">Financial position and performance</w:t>
            </w:r>
          </w:p>
        </w:tc>
        <w:tc>
          <w:tcPr>
            <w:tcW w:type="pct" w:w="919"/>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244"/>
            <w:tcMar>
              <w:top w:type="dxa" w:w="50"/>
              <w:left w:type="dxa" w:w="110"/>
              <w:bottom w:type="dxa" w:w="50"/>
              <w:right w:type="dxa" w:w="110"/>
            </w:tcMar>
          </w:tcPr>
          <w:p>
            <w:pPr>
              <w:spacing w:before="28" w:after="28"/>
            </w:pPr>
            <w:r>
              <w:rPr>
                <w:sz w:val="15"/>
                <w:szCs w:val="15"/>
              </w:rPr>
              <w:t xml:space="preserve">Integrated report (&lt;IR&gt; Framework)</w:t>
            </w:r>
          </w:p>
        </w:tc>
        <w:tc>
          <w:tcPr>
            <w:tcW w:type="pct" w:w="1242"/>
            <w:tcMar>
              <w:top w:type="dxa" w:w="50"/>
              <w:left w:type="dxa" w:w="110"/>
              <w:bottom w:type="dxa" w:w="50"/>
              <w:right w:type="dxa" w:w="110"/>
            </w:tcMar>
          </w:tcPr>
          <w:p>
            <w:pPr>
              <w:spacing w:before="28" w:after="28"/>
            </w:pPr>
            <w:r>
              <w:rPr>
                <w:sz w:val="15"/>
                <w:szCs w:val="15"/>
              </w:rPr>
              <w:t xml:space="preserve">Providers of financial capital, then other stakeholders</w:t>
            </w:r>
          </w:p>
        </w:tc>
        <w:tc>
          <w:tcPr>
            <w:tcW w:type="pct" w:w="1595"/>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19"/>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voluntary   ·   Yes: SEC requirement   ·   Only where a jurisdiction adopts them   ·   Sustainability and climate risks that affect prospects   ·   Investors and creditors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primary audience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content elements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natural capital</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 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Investors and creditors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financial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SEC requirement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4"/>
        <w:gridCol w:w="4534"/>
        <w:gridCol w:w="32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965"/>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362"/>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673"/>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965"/>
            <w:tcMar>
              <w:top w:type="dxa" w:w="50"/>
              <w:left w:type="dxa" w:w="110"/>
              <w:bottom w:type="dxa" w:w="50"/>
              <w:right w:type="dxa" w:w="110"/>
            </w:tcMar>
          </w:tcPr>
          <w:p>
            <w:pPr>
              <w:spacing w:before="28" w:after="28"/>
            </w:pPr>
            <w:r>
              <w:rPr>
                <w:sz w:val="15"/>
                <w:szCs w:val="15"/>
              </w:rPr>
              <w:t xml:space="preserve">Financial</w:t>
            </w:r>
          </w:p>
        </w:tc>
        <w:tc>
          <w:tcPr>
            <w:tcW w:type="pct" w:w="2362"/>
            <w:tcMar>
              <w:top w:type="dxa" w:w="50"/>
              <w:left w:type="dxa" w:w="110"/>
              <w:bottom w:type="dxa" w:w="50"/>
              <w:right w:type="dxa" w:w="110"/>
            </w:tcMar>
          </w:tcPr>
          <w:p>
            <w:pPr>
              <w:spacing w:before="28" w:after="28"/>
            </w:pPr>
            <w:r>
              <w:rPr>
                <w:sz w:val="15"/>
                <w:szCs w:val="15"/>
              </w:rPr>
              <w:t xml:space="preserve">Equity and bank loans (Part I)</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965"/>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362"/>
            <w:shd w:fill="FBFAF6" w:val="clear"/>
            <w:tcMar>
              <w:top w:type="dxa" w:w="50"/>
              <w:left w:type="dxa" w:w="110"/>
              <w:bottom w:type="dxa" w:w="50"/>
              <w:right w:type="dxa" w:w="110"/>
            </w:tcMar>
          </w:tcPr>
          <w:p>
            <w:pPr>
              <w:spacing w:before="28" w:after="28"/>
            </w:pPr>
            <w:r>
              <w:rPr>
                <w:sz w:val="15"/>
                <w:szCs w:val="15"/>
              </w:rPr>
              <w:t xml:space="preserve">Presses, bottling lines, cold stores</w:t>
            </w:r>
          </w:p>
        </w:tc>
        <w:tc>
          <w:tcPr>
            <w:tcW w:type="pct" w:w="1673"/>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965"/>
            <w:tcMar>
              <w:top w:type="dxa" w:w="50"/>
              <w:left w:type="dxa" w:w="110"/>
              <w:bottom w:type="dxa" w:w="50"/>
              <w:right w:type="dxa" w:w="110"/>
            </w:tcMar>
          </w:tcPr>
          <w:p>
            <w:pPr>
              <w:spacing w:before="28" w:after="28"/>
            </w:pPr>
            <w:r>
              <w:rPr>
                <w:sz w:val="15"/>
                <w:szCs w:val="15"/>
              </w:rPr>
              <w:t xml:space="preserve">Intellectual</w:t>
            </w:r>
          </w:p>
        </w:tc>
        <w:tc>
          <w:tcPr>
            <w:tcW w:type="pct" w:w="2362"/>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73"/>
            <w:tcMar>
              <w:top w:type="dxa" w:w="50"/>
              <w:left w:type="dxa" w:w="110"/>
              <w:bottom w:type="dxa" w:w="50"/>
              <w:right w:type="dxa" w:w="110"/>
            </w:tcMar>
          </w:tcPr>
          <w:p>
            <w:pPr>
              <w:spacing w:before="28" w:after="28"/>
            </w:pPr>
            <w:r>
              <w:rPr>
                <w:sz w:val="15"/>
                <w:szCs w:val="15"/>
              </w:rPr>
              <w:t xml:space="preserve">Share of sales from new products</w:t>
            </w:r>
          </w:p>
        </w:tc>
      </w:tr>
      <w:tr>
        <w:tc>
          <w:tcPr>
            <w:tcW w:type="pct" w:w="965"/>
            <w:shd w:fill="FBFAF6" w:val="clear"/>
            <w:tcMar>
              <w:top w:type="dxa" w:w="50"/>
              <w:left w:type="dxa" w:w="110"/>
              <w:bottom w:type="dxa" w:w="50"/>
              <w:right w:type="dxa" w:w="110"/>
            </w:tcMar>
          </w:tcPr>
          <w:p>
            <w:pPr>
              <w:spacing w:before="28" w:after="28"/>
            </w:pPr>
            <w:r>
              <w:rPr>
                <w:sz w:val="15"/>
                <w:szCs w:val="15"/>
              </w:rPr>
              <w:t xml:space="preserve">Human</w:t>
            </w:r>
          </w:p>
        </w:tc>
        <w:tc>
          <w:tcPr>
            <w:tcW w:type="pct" w:w="2362"/>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65"/>
            <w:tcMar>
              <w:top w:type="dxa" w:w="50"/>
              <w:left w:type="dxa" w:w="110"/>
              <w:bottom w:type="dxa" w:w="50"/>
              <w:right w:type="dxa" w:w="110"/>
            </w:tcMar>
          </w:tcPr>
          <w:p>
            <w:pPr>
              <w:spacing w:before="28" w:after="28"/>
            </w:pPr>
            <w:r>
              <w:rPr>
                <w:sz w:val="15"/>
                <w:szCs w:val="15"/>
              </w:rPr>
              <w:t xml:space="preserve">Social and relationship</w:t>
            </w:r>
          </w:p>
        </w:tc>
        <w:tc>
          <w:tcPr>
            <w:tcW w:type="pct" w:w="2362"/>
            <w:tcMar>
              <w:top w:type="dxa" w:w="50"/>
              <w:left w:type="dxa" w:w="110"/>
              <w:bottom w:type="dxa" w:w="50"/>
              <w:right w:type="dxa" w:w="110"/>
            </w:tcMar>
          </w:tcPr>
          <w:p>
            <w:pPr>
              <w:spacing w:before="28" w:after="28"/>
            </w:pPr>
            <w:r>
              <w:rPr>
                <w:sz w:val="15"/>
                <w:szCs w:val="15"/>
              </w:rPr>
              <w:t xml:space="preserve">2,400 farmers in grower cooperatives; supermarket customers</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965"/>
            <w:shd w:fill="FBFAF6" w:val="clear"/>
            <w:tcMar>
              <w:top w:type="dxa" w:w="50"/>
              <w:left w:type="dxa" w:w="110"/>
              <w:bottom w:type="dxa" w:w="50"/>
              <w:right w:type="dxa" w:w="110"/>
            </w:tcMar>
          </w:tcPr>
          <w:p>
            <w:pPr>
              <w:spacing w:before="28" w:after="28"/>
            </w:pPr>
            <w:r>
              <w:rPr>
                <w:sz w:val="15"/>
                <w:szCs w:val="15"/>
              </w:rPr>
              <w:t xml:space="preserve">Natural</w:t>
            </w:r>
          </w:p>
        </w:tc>
        <w:tc>
          <w:tcPr>
            <w:tcW w:type="pct" w:w="236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3"/>
            <w:shd w:fill="FBFAF6" w:val="clear"/>
            <w:tcMar>
              <w:top w:type="dxa" w:w="50"/>
              <w:left w:type="dxa" w:w="110"/>
              <w:bottom w:type="dxa" w:w="50"/>
              <w:right w:type="dxa" w:w="110"/>
            </w:tcMar>
          </w:tcPr>
          <w:p>
            <w:pPr>
              <w:spacing w:before="28" w:after="28"/>
            </w:pPr>
            <w:r>
              <w:rPr>
                <w:sz w:val="15"/>
                <w:szCs w:val="15"/>
              </w:rPr>
              <w:t xml:space="preserve">Water 900,000 m3; renewable electricity 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Olive groves, water, energy   ·   Cash flow from operations   ·   Recipes, brand, new sparkling-juice line   ·   Presses, bottling lines, cold stores   ·   Farmer contracts renewed   ·   20 training hours per employee</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Capitals are connected, so decisions involve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creation process   ·   differently   ·   trade-offs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Suppose Orontes spends $2,000,000 on drip irrigation for its groves: financial capital falls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natural capital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integrated   ·   preserved   ·   relationship   ·   human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Safety training for factory staff   ·   Long-term contracts with grower cooperatives   ·   capitals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رؤوس الأموال, capitaux</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integrated reporting, capitals are resources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not share capital. </w:t>
      </w:r>
      <w:r>
        <w:rPr>
          <w:sz w:val="19"/>
          <w:szCs w:val="19"/>
        </w:rPr>
        <w:t xml:space="preserve">French capital social means share capital, but capital social 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one of the six capitals.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relationships   ·   manufactured capital   ·   relationnel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integrated report   ·   social and relationship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flow from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Recipes, brand, new sparkling-juice 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integrated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Safety training for factory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Farmer contracts renewed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Olive groves, water, energy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trade-offs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relationnel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preserved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2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pacing w:before="20" w:after="20"/>
        <w:ind w:left="240" w:hanging="240"/>
      </w:pPr>
      <w:r>
        <w:rPr>
          <w:b/>
          <w:bCs/>
          <w:color w:val="353A7C"/>
          <w:sz w:val="15"/>
          <w:szCs w:val="15"/>
        </w:rPr>
        <w:t xml:space="preserve">Summary 3   </w:t>
      </w:r>
      <w:r>
        <w:rPr>
          <w:color w:val="6B7280"/>
          <w:sz w:val="15"/>
          <w:szCs w:val="15"/>
        </w:rPr>
        <w:t xml:space="preserve">In integrated reporting, capitals are resources and relationships, not share capital. French capital social means share capital, but capital social et relationnel is one of the six capitals.</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7"/>
        <w:gridCol w:w="3757"/>
        <w:gridCol w:w="33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7"/>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290"/>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7"/>
            <w:tcMar>
              <w:top w:type="dxa" w:w="50"/>
              <w:left w:type="dxa" w:w="110"/>
              <w:bottom w:type="dxa" w:w="50"/>
              <w:right w:type="dxa" w:w="110"/>
            </w:tcMar>
          </w:tcPr>
          <w:p>
            <w:pPr>
              <w:spacing w:before="28" w:after="28"/>
            </w:pPr>
            <w:r>
              <w:rPr>
                <w:sz w:val="15"/>
                <w:szCs w:val="15"/>
              </w:rPr>
              <w:t xml:space="preserve">Explain strategy and how it creates value over time</w:t>
            </w:r>
          </w:p>
        </w:tc>
        <w:tc>
          <w:tcPr>
            <w:tcW w:type="pct" w:w="1753"/>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7"/>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753"/>
            <w:shd w:fill="FBFAF6" w:val="clear"/>
            <w:tcMar>
              <w:top w:type="dxa" w:w="50"/>
              <w:left w:type="dxa" w:w="110"/>
              <w:bottom w:type="dxa" w:w="50"/>
              <w:right w:type="dxa" w:w="110"/>
            </w:tcMar>
          </w:tcPr>
          <w:p>
            <w:pPr>
              <w:spacing w:before="28" w:after="28"/>
            </w:pPr>
            <w:r>
              <w:rPr>
                <w:sz w:val="15"/>
                <w:szCs w:val="15"/>
              </w:rPr>
              <w:t xml:space="preserve">Irrigation spending linked to water use and grower yields</w:t>
            </w:r>
          </w:p>
        </w:tc>
      </w:tr>
      <w:tr>
        <w:tc>
          <w:tcPr>
            <w:tcW w:type="pct" w:w="1290"/>
            <w:tcMar>
              <w:top w:type="dxa" w:w="50"/>
              <w:left w:type="dxa" w:w="110"/>
              <w:bottom w:type="dxa" w:w="50"/>
              <w:right w:type="dxa" w:w="110"/>
            </w:tcMar>
          </w:tcPr>
          <w:p>
            <w:pPr>
              <w:spacing w:before="28" w:after="28"/>
            </w:pPr>
            <w:r>
              <w:rPr>
                <w:sz w:val="15"/>
                <w:szCs w:val="15"/>
              </w:rPr>
              <w:t xml:space="preserve">Stakeholder relationships</w:t>
            </w:r>
          </w:p>
        </w:tc>
        <w:tc>
          <w:tcPr>
            <w:tcW w:type="pct" w:w="1957"/>
            <w:tcMar>
              <w:top w:type="dxa" w:w="50"/>
              <w:left w:type="dxa" w:w="110"/>
              <w:bottom w:type="dxa" w:w="50"/>
              <w:right w:type="dxa" w:w="110"/>
            </w:tcMar>
          </w:tcPr>
          <w:p>
            <w:pPr>
              <w:spacing w:before="28" w:after="28"/>
            </w:pPr>
            <w:r>
              <w:rPr>
                <w:sz w:val="15"/>
                <w:szCs w:val="15"/>
              </w:rPr>
              <w:t xml:space="preserve">Explain key relationships and how the company responds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7"/>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753"/>
            <w:shd w:fill="FBFAF6" w:val="clear"/>
            <w:tcMar>
              <w:top w:type="dxa" w:w="50"/>
              <w:left w:type="dxa" w:w="110"/>
              <w:bottom w:type="dxa" w:w="50"/>
              <w:right w:type="dxa" w:w="110"/>
            </w:tcMar>
          </w:tcPr>
          <w:p>
            <w:pPr>
              <w:spacing w:before="28" w:after="28"/>
            </w:pPr>
            <w:r>
              <w:rPr>
                <w:sz w:val="15"/>
                <w:szCs w:val="15"/>
              </w:rPr>
              <w:t xml:space="preserve">Water scarcity; olive prices</w:t>
            </w:r>
          </w:p>
        </w:tc>
      </w:tr>
      <w:tr>
        <w:tc>
          <w:tcPr>
            <w:tcW w:type="pct" w:w="1290"/>
            <w:tcMar>
              <w:top w:type="dxa" w:w="50"/>
              <w:left w:type="dxa" w:w="110"/>
              <w:bottom w:type="dxa" w:w="50"/>
              <w:right w:type="dxa" w:w="110"/>
            </w:tcMar>
          </w:tcPr>
          <w:p>
            <w:pPr>
              <w:spacing w:before="28" w:after="28"/>
            </w:pPr>
            <w:r>
              <w:rPr>
                <w:sz w:val="15"/>
                <w:szCs w:val="15"/>
              </w:rPr>
              <w:t xml:space="preserve">Conciseness</w:t>
            </w:r>
          </w:p>
        </w:tc>
        <w:tc>
          <w:tcPr>
            <w:tcW w:type="pct" w:w="1957"/>
            <w:tcMar>
              <w:top w:type="dxa" w:w="50"/>
              <w:left w:type="dxa" w:w="110"/>
              <w:bottom w:type="dxa" w:w="50"/>
              <w:right w:type="dxa" w:w="110"/>
            </w:tcMar>
          </w:tcPr>
          <w:p>
            <w:pPr>
              <w:spacing w:before="28" w:after="28"/>
            </w:pPr>
            <w:r>
              <w:rPr>
                <w:sz w:val="15"/>
                <w:szCs w:val="15"/>
              </w:rPr>
              <w:t xml:space="preserve">Be short and clear</w:t>
            </w:r>
          </w:p>
        </w:tc>
        <w:tc>
          <w:tcPr>
            <w:tcW w:type="pct" w:w="1753"/>
            <w:tcMar>
              <w:top w:type="dxa" w:w="50"/>
              <w:left w:type="dxa" w:w="110"/>
              <w:bottom w:type="dxa" w:w="50"/>
              <w:right w:type="dxa" w:w="110"/>
            </w:tcMar>
          </w:tcPr>
          <w:p>
            <w:pPr>
              <w:spacing w:before="28" w:after="28"/>
            </w:pPr>
            <w:r>
              <w:rPr>
                <w:sz w:val="15"/>
                <w:szCs w:val="15"/>
              </w:rPr>
              <w:t xml:space="preserve">Refer to the financial statements rather than repeat them</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7"/>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290"/>
            <w:tcMar>
              <w:top w:type="dxa" w:w="50"/>
              <w:left w:type="dxa" w:w="110"/>
              <w:bottom w:type="dxa" w:w="50"/>
              <w:right w:type="dxa" w:w="110"/>
            </w:tcMar>
          </w:tcPr>
          <w:p>
            <w:pPr>
              <w:spacing w:before="28" w:after="28"/>
            </w:pPr>
            <w:r>
              <w:rPr>
                <w:sz w:val="15"/>
                <w:szCs w:val="15"/>
              </w:rPr>
              <w:t xml:space="preserve">Consistency and comparability</w:t>
            </w:r>
          </w:p>
        </w:tc>
        <w:tc>
          <w:tcPr>
            <w:tcW w:type="pct" w:w="1957"/>
            <w:tcMar>
              <w:top w:type="dxa" w:w="50"/>
              <w:left w:type="dxa" w:w="110"/>
              <w:bottom w:type="dxa" w:w="50"/>
              <w:right w:type="dxa" w:w="110"/>
            </w:tcMar>
          </w:tcPr>
          <w:p>
            <w:pPr>
              <w:spacing w:before="28" w:after="28"/>
            </w:pPr>
            <w:r>
              <w:rPr>
                <w:sz w:val="15"/>
                <w:szCs w:val="15"/>
              </w:rPr>
              <w:t xml:space="preserve">Use the same basis over time and allow comparison</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 key relationships and how the company responds   ·   Show how capitals, strategy and performance link   ·   Same water measure every year   ·   Report a failed product launch too   ·   Include matters that substantively affect value creation   ·   Work with grower cooperatives</w:t>
            </w:r>
          </w:p>
        </w:tc>
      </w:tr>
    </w:tbl>
    <w:p/>
    <w:p>
      <w:pPr>
        <w:spacing w:before="44" w:after="14"/>
      </w:pPr>
      <w:r>
        <w:rPr>
          <w:b/>
          <w:bCs/>
          <w:color w:val="353A7C"/>
          <w:sz w:val="18"/>
          <w:szCs w:val="18"/>
        </w:rPr>
        <w:t xml:space="preserve">Summary 1</w:t>
      </w:r>
      <w:r>
        <w:rPr>
          <w:color w:val="6B7280"/>
          <w:sz w:val="16"/>
          <w:szCs w:val="16"/>
        </w:rPr>
        <w:t xml:space="preserve">      gaps 6–8</w:t>
      </w:r>
    </w:p>
    <w:p>
      <w:pPr>
        <w:spacing w:before="20" w:after="20" w:line="360" w:lineRule="auto"/>
        <w:ind w:left="200"/>
      </w:pPr>
      <w:r>
        <w:rPr>
          <w:sz w:val="19"/>
          <w:szCs w:val="19"/>
        </w:rPr>
        <w:t xml:space="preserve">Eight content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set what the report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governance works, how its business model creates value, which risks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faces, where its strategy is going, how it performed, what lies ahead, and how the report was prepared.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elements   ·   guiding principles   ·   covers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10"/>
        <w:gridCol w:w="3614"/>
        <w:gridCol w:w="31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82"/>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5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63"/>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8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54"/>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82"/>
            <w:shd w:fill="FBFAF6" w:val="clear"/>
            <w:tcMar>
              <w:top w:type="dxa" w:w="50"/>
              <w:left w:type="dxa" w:w="110"/>
              <w:bottom w:type="dxa" w:w="50"/>
              <w:right w:type="dxa" w:w="110"/>
            </w:tcMar>
          </w:tcPr>
          <w:p>
            <w:pPr>
              <w:spacing w:before="28" w:after="28"/>
            </w:pPr>
            <w:r>
              <w:rPr>
                <w:sz w:val="15"/>
                <w:szCs w:val="15"/>
              </w:rPr>
              <w:t xml:space="preserve">How does governance support value creation?</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3"/>
            <w:tcMar>
              <w:top w:type="dxa" w:w="50"/>
              <w:left w:type="dxa" w:w="110"/>
              <w:bottom w:type="dxa" w:w="50"/>
              <w:right w:type="dxa" w:w="110"/>
            </w:tcMar>
          </w:tcPr>
          <w:p>
            <w:pPr>
              <w:spacing w:before="28" w:after="28"/>
            </w:pPr>
            <w:r>
              <w:rPr>
                <w:sz w:val="15"/>
                <w:szCs w:val="15"/>
              </w:rPr>
              <w:t xml:space="preserve">Business model</w:t>
            </w:r>
          </w:p>
        </w:tc>
        <w:tc>
          <w:tcPr>
            <w:tcW w:type="pct" w:w="188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54"/>
            <w:tcMar>
              <w:top w:type="dxa" w:w="50"/>
              <w:left w:type="dxa" w:w="110"/>
              <w:bottom w:type="dxa" w:w="50"/>
              <w:right w:type="dxa" w:w="110"/>
            </w:tcMar>
          </w:tcPr>
          <w:p>
            <w:pPr>
              <w:spacing w:before="28" w:after="28"/>
            </w:pPr>
            <w:r>
              <w:rPr>
                <w:sz w:val="15"/>
                <w:szCs w:val="15"/>
              </w:rPr>
              <w:t xml:space="preserve">Grow, press, bottle, sell</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82"/>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63"/>
            <w:tcMar>
              <w:top w:type="dxa" w:w="50"/>
              <w:left w:type="dxa" w:w="110"/>
              <w:bottom w:type="dxa" w:w="50"/>
              <w:right w:type="dxa" w:w="110"/>
            </w:tcMar>
          </w:tcPr>
          <w:p>
            <w:pPr>
              <w:spacing w:before="28" w:after="28"/>
            </w:pPr>
            <w:r>
              <w:rPr>
                <w:sz w:val="15"/>
                <w:szCs w:val="15"/>
              </w:rPr>
              <w:t xml:space="preserve">Strategy and resource allocation</w:t>
            </w:r>
          </w:p>
        </w:tc>
        <w:tc>
          <w:tcPr>
            <w:tcW w:type="pct" w:w="1882"/>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82"/>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54"/>
            <w:shd w:fill="FBFAF6" w:val="clear"/>
            <w:tcMar>
              <w:top w:type="dxa" w:w="50"/>
              <w:left w:type="dxa" w:w="110"/>
              <w:bottom w:type="dxa" w:w="50"/>
              <w:right w:type="dxa" w:w="110"/>
            </w:tcMar>
          </w:tcPr>
          <w:p>
            <w:pPr>
              <w:spacing w:before="28" w:after="28"/>
            </w:pPr>
            <w:r>
              <w:rPr>
                <w:sz w:val="15"/>
                <w:szCs w:val="15"/>
              </w:rPr>
              <w:t xml:space="preserve">Renewable electricity 30%</w:t>
            </w:r>
          </w:p>
        </w:tc>
      </w:tr>
      <w:tr>
        <w:tc>
          <w:tcPr>
            <w:tcW w:type="pct" w:w="1463"/>
            <w:tcMar>
              <w:top w:type="dxa" w:w="50"/>
              <w:left w:type="dxa" w:w="110"/>
              <w:bottom w:type="dxa" w:w="50"/>
              <w:right w:type="dxa" w:w="110"/>
            </w:tcMar>
          </w:tcPr>
          <w:p>
            <w:pPr>
              <w:spacing w:before="28" w:after="28"/>
            </w:pPr>
            <w:r>
              <w:rPr>
                <w:sz w:val="15"/>
                <w:szCs w:val="15"/>
              </w:rPr>
              <w:t xml:space="preserve">Outlook</w:t>
            </w:r>
          </w:p>
        </w:tc>
        <w:tc>
          <w:tcPr>
            <w:tcW w:type="pct" w:w="1882"/>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82"/>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does the company turn capitals into value?   ·   Water scarcity; demand for healthy drinks   ·   What could help or harm value creation?   ·   What does the company do, and where?   ·   Invest in irrigation and new products   ·   Materiality process; measurement methods   ·   Olive yields and prices to 2030   ·   Board committee oversees water risk</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Those charged with governance, such as the board, should include a statement that they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distinguishable   ·   responsible   ·   guiding principles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There are seven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guiding   ·   content elements   ·   connectivity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Show how capitals, strategy and performance link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Work with grower 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 matters that substantively affect value creation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Materiality process; measurement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Same water measure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elements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What does the company do, and where?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Board committee oversees water risk</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How does the company turn capitals into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w:t>
      </w:r>
    </w:p>
    <w:p>
      <w:pPr>
        <w:spacing w:before="20" w:after="20"/>
        <w:ind w:left="240" w:hanging="240"/>
      </w:pPr>
      <w:r>
        <w:rPr>
          <w:b/>
          <w:bCs/>
          <w:color w:val="353A7C"/>
          <w:sz w:val="15"/>
          <w:szCs w:val="15"/>
        </w:rPr>
        <w:t xml:space="preserve">Summary 2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3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Supporters say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reporting improves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itself: to report on all the capitals, managers must think about how they connect. </w:t>
      </w:r>
      <w:r>
        <w:rPr>
          <w:sz w:val="19"/>
          <w:szCs w:val="19"/>
        </w:rPr>
        <w:t xml:space="preserve">It can improve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capital, give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clearer and more concise picture, and encourage a long-term view. </w:t>
      </w:r>
      <w:r>
        <w:rPr>
          <w:sz w:val="19"/>
          <w:szCs w:val="19"/>
        </w:rPr>
        <w:t xml:space="preserve">Preparing the report takes time and money,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capitals such as relationships and skills are hard to measure. </w:t>
      </w:r>
      <w:r>
        <w:rPr>
          <w:sz w:val="19"/>
          <w:szCs w:val="19"/>
        </w:rPr>
        <w:t xml:space="preserve">Companies may worry about revealing information to competitors or creating legal risk, and assurance practice is still limited.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allocation   ·   management   ·   investors   ·   integrated   ·   non-financial</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Supporters say integrated reporting improves management itself: to report on all the capitals, managers must think about how they connect. It can improve the allocation of capital, give investors a clearer and more concise picture, and encourage a long-term view. Preparing the report takes time and money, and non-financial capitals such as relationships and skills are hard to measure. Companies may worry about revealing information to competitors or creating legal risk, and assurance practice is still limited.</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effect; it is stayed, and the SEC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Framework   ·   outputs   ·   information   ·   integration   ·   voluntary   ·   Practice   ·   proposed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partnerships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tcMar>
              <w:top w:type="dxa" w:w="50"/>
              <w:left w:type="dxa" w:w="110"/>
              <w:bottom w:type="dxa" w:w="50"/>
              <w:right w:type="dxa" w:w="110"/>
            </w:tcMar>
          </w:tcPr>
          <w:p>
            <w:pPr>
              <w:spacing w:before="28" w:after="28"/>
            </w:pPr>
            <w:r>
              <w:rPr>
                <w:sz w:val="15"/>
                <w:szCs w:val="15"/>
              </w:rPr>
              <w:t xml:space="preserve">Packaging waste sent to landfill fell by one third.</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Barada's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 trained all delivery drivers in safe driving.   ·   Staff turnover in the warehouse fell from 25% to 15%.   ·   Packaging waste sent to landfill fell by one third.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Intellectual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475"/>
            <w:tcMar>
              <w:top w:type="dxa" w:w="50"/>
              <w:left w:type="dxa" w:w="110"/>
              <w:bottom w:type="dxa" w:w="50"/>
              <w:right w:type="dxa" w:w="110"/>
            </w:tcMar>
          </w:tcPr>
          <w:p>
            <w:pPr>
              <w:spacing w:before="26" w:after="26"/>
            </w:pPr>
            <w:r>
              <w:rPr>
                <w:b/>
                <w:bCs/>
                <w:color w:val="353A7C"/>
                <w:sz w:val="15"/>
                <w:szCs w:val="15"/>
              </w:rPr>
              <w:t xml:space="preserve">Disclosure</w:t>
            </w:r>
          </w:p>
        </w:tc>
        <w:tc>
          <w:tcPr>
            <w:tcW w:type="pct" w:w="2525"/>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75"/>
            <w:tcMar>
              <w:top w:type="dxa" w:w="50"/>
              <w:left w:type="dxa" w:w="110"/>
              <w:bottom w:type="dxa" w:w="50"/>
              <w:right w:type="dxa" w:w="110"/>
            </w:tcMar>
          </w:tcPr>
          <w:p>
            <w:pPr>
              <w:spacing w:before="26" w:after="26"/>
            </w:pPr>
            <w:r>
              <w:rPr>
                <w:color w:val="232733"/>
                <w:sz w:val="16"/>
                <w:szCs w:val="16"/>
              </w:rPr>
              <w:t xml:space="preserve">D1 Driver training</w:t>
            </w:r>
          </w:p>
        </w:tc>
        <w:tc>
          <w:tcPr>
            <w:tcW w:type="pct" w:w="2525"/>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D2 Electricity and solar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Natural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D3 Farmer partnerships</w:t>
            </w:r>
          </w:p>
        </w:tc>
        <w:tc>
          <w:tcPr>
            <w:tcW w:type="pct" w:w="2525"/>
            <w:tcMar>
              <w:top w:type="dxa" w:w="50"/>
              <w:left w:type="dxa" w:w="110"/>
              <w:bottom w:type="dxa" w:w="50"/>
              <w:right w:type="dxa" w:w="110"/>
            </w:tcMar>
          </w:tcPr>
          <w:p>
            <w:pPr>
              <w:spacing w:before="26" w:after="26"/>
            </w:pPr>
            <w:r>
              <w:rPr>
                <w:color w:val="232733"/>
                <w:sz w:val="16"/>
                <w:szCs w:val="16"/>
              </w:rPr>
              <w:t xml:space="preserve">Social and relationship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D4 Warehouse staff turnover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D5 Packaging waste</w:t>
            </w:r>
          </w:p>
        </w:tc>
        <w:tc>
          <w:tcPr>
            <w:tcW w:type="pct" w:w="2525"/>
            <w:tcMar>
              <w:top w:type="dxa" w:w="50"/>
              <w:left w:type="dxa" w:w="110"/>
              <w:bottom w:type="dxa" w:w="50"/>
              <w:right w:type="dxa" w:w="110"/>
            </w:tcMar>
          </w:tcPr>
          <w:p>
            <w:pPr>
              <w:spacing w:before="26" w:after="26"/>
            </w:pPr>
            <w:r>
              <w:rPr>
                <w:color w:val="232733"/>
                <w:sz w:val="16"/>
                <w:szCs w:val="16"/>
              </w:rPr>
              <w:t xml:space="preserve">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Barada trained all delivery drivers in safe driving.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8dd9406f79cd6c29e1d1e8cbb8fc057a86fa072.png" Type="http://schemas.openxmlformats.org/officeDocument/2006/relationships/image"/><Relationship Id="rId102" Target="media/e0146ceb8851ed1dc83993a1af1d8bb15e8a8b32.png" Type="http://schemas.openxmlformats.org/officeDocument/2006/relationships/image"/><Relationship Id="rId103" Target="media/74fe7007cbc94b29fb94edc6d06231120ef3eda8.png" Type="http://schemas.openxmlformats.org/officeDocument/2006/relationships/image"/><Relationship Id="rId104" Target="media/f1640407456d0ec7fdf8776634f85c675c818ca7.png" Type="http://schemas.openxmlformats.org/officeDocument/2006/relationships/image"/><Relationship Id="rId105" Target="media/b01dd8fa71c86935bd594d073adf3a0d32a2867d.png" Type="http://schemas.openxmlformats.org/officeDocument/2006/relationships/image"/><Relationship Id="rId106" Target="media/681a8ff985adabecd5b4eb1b139d91653cc7f195.png" Type="http://schemas.openxmlformats.org/officeDocument/2006/relationships/image"/><Relationship Id="rId107" Target="media/31466ec3e1a4614e6048b4a91bcbfc8f3b4ac9d9.png" Type="http://schemas.openxmlformats.org/officeDocument/2006/relationships/image"/><Relationship Id="rId108" Target="media/c1e53c6644ac39ab2fb28c3fdb963899004c028b.png" Type="http://schemas.openxmlformats.org/officeDocument/2006/relationships/image"/><Relationship Id="rId109" Target="media/cf29ea77bf5f3c82368f8d58861023e81e9581ea.png" Type="http://schemas.openxmlformats.org/officeDocument/2006/relationships/image"/><Relationship Id="rId110" Target="media/ce9952a9ba79730aa3c52a80d0a23acb4d1a9a64.png" Type="http://schemas.openxmlformats.org/officeDocument/2006/relationships/image"/><Relationship Id="rId111" Target="media/76807a3e1ac036767aabfbbb9bfb449de112a141.png" Type="http://schemas.openxmlformats.org/officeDocument/2006/relationships/image"/><Relationship Id="rId112" Target="media/98baf10bfea7c1b8c3dffc27753cb254e8123776.png" Type="http://schemas.openxmlformats.org/officeDocument/2006/relationships/image"/><Relationship Id="rId113" Target="media/5063596448f985b8ceb2ac9ed84e892dc3c71f78.png" Type="http://schemas.openxmlformats.org/officeDocument/2006/relationships/image"/><Relationship Id="rId114" Target="media/ac046f42b37bc56f9eb2658401c643f36778ee3d.png" Type="http://schemas.openxmlformats.org/officeDocument/2006/relationships/image"/><Relationship Id="rId115" Target="media/080f3b8ab4d93aa94b063a7cf46228c3b30ab744.png" Type="http://schemas.openxmlformats.org/officeDocument/2006/relationships/image"/><Relationship Id="rId116" Target="media/c7e8dbad02110c70cb1cb1efa9dc8bd62e157d95.png" Type="http://schemas.openxmlformats.org/officeDocument/2006/relationships/image"/><Relationship Id="rId117" Target="media/61ac96ebda280244e9cf00511f78b8d6a6a7328e.png" Type="http://schemas.openxmlformats.org/officeDocument/2006/relationships/image"/><Relationship Id="rId118" Target="media/f77de4f85a1b6a3a8a1295e78617ea7793feee31.png" Type="http://schemas.openxmlformats.org/officeDocument/2006/relationships/image"/><Relationship Id="rId119" Target="media/a3fe07cc0533af5498f0f82f976c4ee2d2be5291.png" Type="http://schemas.openxmlformats.org/officeDocument/2006/relationships/image"/><Relationship Id="rId120" Target="media/7a407e4fb78c4bbe7f0a8b12a21bad4906081b8f.png" Type="http://schemas.openxmlformats.org/officeDocument/2006/relationships/image"/><Relationship Id="rId121" Target="media/14a2b03188bbbcb51c6b7709d462b67b37947751.png" Type="http://schemas.openxmlformats.org/officeDocument/2006/relationships/image"/><Relationship Id="rId122" Target="media/07791f2d3b03134fc6f7e79d35fd840fb810b669.png" Type="http://schemas.openxmlformats.org/officeDocument/2006/relationships/image"/><Relationship Id="rId123" Target="media/210c20319c55a03fe646d173e6562d68977d3f89.png" Type="http://schemas.openxmlformats.org/officeDocument/2006/relationships/image"/><Relationship Id="rId124" Target="media/024ae4631564da4e3f9177808acd1ecefd6890d4.png" Type="http://schemas.openxmlformats.org/officeDocument/2006/relationships/image"/><Relationship Id="rId125" Target="media/059592675183f1313d0892424ff36fc7d757d4a1.png" Type="http://schemas.openxmlformats.org/officeDocument/2006/relationships/image"/><Relationship Id="rId126" Target="media/a689738c5cc3e4ae931db66fd1ad9ae5d78f957c.png" Type="http://schemas.openxmlformats.org/officeDocument/2006/relationships/image"/><Relationship Id="rId127" Target="media/fed0dbf77d924027fa31243498a2b44bde1a2c2a.png" Type="http://schemas.openxmlformats.org/officeDocument/2006/relationships/image"/><Relationship Id="rId128" Target="media/6cae70910743d9ce57bf42b3f5aa3d0cf2561037.png" Type="http://schemas.openxmlformats.org/officeDocument/2006/relationships/image"/><Relationship Id="rId129" Target="media/3082b6565234e5641ae3fec999d85a9d8d6cd91f.png" Type="http://schemas.openxmlformats.org/officeDocument/2006/relationships/image"/><Relationship Id="rId130" Target="media/6b78f64f312de8e3f3eab76d33d70111abbb6d1a.png" Type="http://schemas.openxmlformats.org/officeDocument/2006/relationships/image"/><Relationship Id="rId131" Target="media/ed7b1efe5ffd5be3b3ce7528898b5c02a13c8283.png" Type="http://schemas.openxmlformats.org/officeDocument/2006/relationships/image"/><Relationship Id="rId132" Target="media/288b57eccba0ebb22737ee50f934138669e84a38.png" Type="http://schemas.openxmlformats.org/officeDocument/2006/relationships/image"/><Relationship Id="rId133" Target="media/22bd71b2144b2b8f748c296da091b6eac85a7a14.png" Type="http://schemas.openxmlformats.org/officeDocument/2006/relationships/image"/><Relationship Id="rId134" Target="media/0672492ed380026438214573df6bff573f164327.png" Type="http://schemas.openxmlformats.org/officeDocument/2006/relationships/image"/><Relationship Id="rId135" Target="media/5dc3ab6893d7ece0982da180fe44ef92f73158f7.png" Type="http://schemas.openxmlformats.org/officeDocument/2006/relationships/image"/><Relationship Id="rId136" Target="media/99d3830d9e50f1d1e7e18e75ee3b7684632a0f4f.png" Type="http://schemas.openxmlformats.org/officeDocument/2006/relationships/image"/><Relationship Id="rId137" Target="media/5dd675b64f06e3ca7d50237da9069ad03203e59a.png" Type="http://schemas.openxmlformats.org/officeDocument/2006/relationships/image"/><Relationship Id="rId138" Target="media/da65732f629684779dbd67d2e10d3baba574e143.png" Type="http://schemas.openxmlformats.org/officeDocument/2006/relationships/image"/><Relationship Id="rId139" Target="media/aba7853bfd7cf7f1f502f3f39266b0fefee2c472.png" Type="http://schemas.openxmlformats.org/officeDocument/2006/relationships/image"/><Relationship Id="rId140" Target="media/1fca9364e44387bcd1a3c93a5206ec344957d240.png" Type="http://schemas.openxmlformats.org/officeDocument/2006/relationships/image"/><Relationship Id="rId141" Target="media/db40ac4a2aedaefc8fb3f8d14d800ab3886ab426.png" Type="http://schemas.openxmlformats.org/officeDocument/2006/relationships/image"/><Relationship Id="rId142" Target="media/6876053504ce2b8375fbb29dfafbdfb26fc7e71e.png" Type="http://schemas.openxmlformats.org/officeDocument/2006/relationships/image"/><Relationship Id="rId143" Target="media/ef01888fd10b4ec898658a2efe1e8db73084def5.png" Type="http://schemas.openxmlformats.org/officeDocument/2006/relationships/image"/><Relationship Id="rId144" Target="media/5ec18a393af5129f2b2963e56b27f4eaf066d3d1.png" Type="http://schemas.openxmlformats.org/officeDocument/2006/relationships/image"/><Relationship Id="rId145" Target="media/2fe1b7929709d176caaa9de8820713a621a69da4.png" Type="http://schemas.openxmlformats.org/officeDocument/2006/relationships/image"/><Relationship Id="rId146" Target="media/318cb3d65c70f96269a973232ef7f864a22c93b7.png" Type="http://schemas.openxmlformats.org/officeDocument/2006/relationships/image"/><Relationship Id="rId147" Target="media/7ccf25285a9c45fb6bdf7cbeb2fb592abb3811ea.png" Type="http://schemas.openxmlformats.org/officeDocument/2006/relationships/image"/><Relationship Id="rId148" Target="media/c884a374a57d9bae943fb7aa63433dd0245ff0a7.png" Type="http://schemas.openxmlformats.org/officeDocument/2006/relationships/image"/><Relationship Id="rId149" Target="media/e4438032fe3f2c07bf84c1166cdc275233dda2ed.png" Type="http://schemas.openxmlformats.org/officeDocument/2006/relationships/image"/><Relationship Id="rId150" Target="media/9ed9d86e56e8e56c8a75a797df2720fe66edd262.png" Type="http://schemas.openxmlformats.org/officeDocument/2006/relationships/image"/><Relationship Id="rId151" Target="media/3d7edb6eac10bfc9cabd19367c792e763f7db5f3.png" Type="http://schemas.openxmlformats.org/officeDocument/2006/relationships/image"/><Relationship Id="rId152" Target="media/63594e4b27b486e87e305d4bcbccb59209eef868.png" Type="http://schemas.openxmlformats.org/officeDocument/2006/relationships/image"/><Relationship Id="rId153" Target="media/0395d3cba9828c316edd9da1c8246ffb2c209bc7.png" Type="http://schemas.openxmlformats.org/officeDocument/2006/relationships/image"/><Relationship Id="rId154" Target="media/f6c0221cd66e6357d7e73c25877dfd361c61da63.png" Type="http://schemas.openxmlformats.org/officeDocument/2006/relationships/image"/><Relationship Id="rId155" Target="media/cbd6a12b42fd3e2374b6ac118c3f451915e86dee.png" Type="http://schemas.openxmlformats.org/officeDocument/2006/relationships/image"/><Relationship Id="rId156" Target="media/49acf5b77b9bdee4cd2168ffe7307ac02c4273d3.png" Type="http://schemas.openxmlformats.org/officeDocument/2006/relationships/image"/><Relationship Id="rId157" Target="media/7d1f02d859fac8beb93ce15db0ccb197467c85d8.png" Type="http://schemas.openxmlformats.org/officeDocument/2006/relationships/image"/><Relationship Id="rId158" Target="media/9b933c6c94148a81f419117adc712444e7a9186f.png" Type="http://schemas.openxmlformats.org/officeDocument/2006/relationships/image"/><Relationship Id="rId159" Target="media/b03dd13ea1547e61bacf7723b241b14c44ca32e9.png" Type="http://schemas.openxmlformats.org/officeDocument/2006/relationships/image"/><Relationship Id="rId160" Target="media/c428d3f6dc49d00ebbd13d34d590ecc9c3b03d0f.png" Type="http://schemas.openxmlformats.org/officeDocument/2006/relationships/image"/><Relationship Id="rId161" Target="media/e8b25e07cdaf15d08cbffc91acf11f97ae334976.png" Type="http://schemas.openxmlformats.org/officeDocument/2006/relationships/image"/><Relationship Id="rId162" Target="media/6d9448a94a94932da46d18e13a5bad8268512901.png" Type="http://schemas.openxmlformats.org/officeDocument/2006/relationships/image"/><Relationship Id="rId163" Target="media/ce1392cb18a1686e21761c518dc6fee8974973ba.png" Type="http://schemas.openxmlformats.org/officeDocument/2006/relationships/image"/><Relationship Id="rId164" Target="media/ca821dc7724e8d7a963392327aebeb84ce07a2ae.png" Type="http://schemas.openxmlformats.org/officeDocument/2006/relationships/image"/><Relationship Id="rId165" Target="media/374e9d923d2e907e8e898ce5e8ca5afb17d0900d.png" Type="http://schemas.openxmlformats.org/officeDocument/2006/relationships/image"/><Relationship Id="rId166" Target="media/2e21b92d5cc87044950a792f74dd2603ffe875f4.png" Type="http://schemas.openxmlformats.org/officeDocument/2006/relationships/image"/><Relationship Id="rId167" Target="media/5ec51f54f52404664c415df54d39f84728042df6.png" Type="http://schemas.openxmlformats.org/officeDocument/2006/relationships/image"/><Relationship Id="rId168" Target="media/a0c1b74f962fdc917b3030607887c6a217a93566.png" Type="http://schemas.openxmlformats.org/officeDocument/2006/relationships/image"/><Relationship Id="rId169" Target="media/1e5ccee9198bd8fea1b64be4cd22f35127820495.png" Type="http://schemas.openxmlformats.org/officeDocument/2006/relationships/image"/><Relationship Id="rId170" Target="media/a7a9a6942ef379b0e7593efc6f057a4150e4dd95.png" Type="http://schemas.openxmlformats.org/officeDocument/2006/relationships/image"/><Relationship Id="rId171" Target="media/11b37e28fcf03aa717b94cff63b56ee89866c427.png" Type="http://schemas.openxmlformats.org/officeDocument/2006/relationships/image"/><Relationship Id="rId172" Target="media/bf2f6c504060436b5818161b147ec3ec4a82fe1f.png" Type="http://schemas.openxmlformats.org/officeDocument/2006/relationships/image"/><Relationship Id="rId173" Target="media/eaa228771ba620023696c60970094a604025e42d.png" Type="http://schemas.openxmlformats.org/officeDocument/2006/relationships/image"/><Relationship Id="rId174" Target="media/8e19b4d4c761fa5717ad45f28d78fc11e508486b.png" Type="http://schemas.openxmlformats.org/officeDocument/2006/relationships/image"/><Relationship Id="rId175" Target="media/a614977f7db2f0e0a9f20e5053f0dca846535606.png" Type="http://schemas.openxmlformats.org/officeDocument/2006/relationships/image"/><Relationship Id="rId176" Target="media/d5a4573123b62270168db18adff23ca0ab157f87.png" Type="http://schemas.openxmlformats.org/officeDocument/2006/relationships/image"/><Relationship Id="rId177" Target="media/07c16af42f5a86f1b1bf99ddabc05488d76cc333.png" Type="http://schemas.openxmlformats.org/officeDocument/2006/relationships/image"/><Relationship Id="rId178" Target="media/9a6cccb54a0812a7168e7576d932ba2fd1574a6a.png" Type="http://schemas.openxmlformats.org/officeDocument/2006/relationships/image"/><Relationship Id="rId179" Target="media/c5024c2f825e32057142b01e96de979619123d59.png" Type="http://schemas.openxmlformats.org/officeDocument/2006/relationships/image"/><Relationship Id="rId180" Target="media/705f5689dcb81d4d6314794a15e5f885b400439b.png" Type="http://schemas.openxmlformats.org/officeDocument/2006/relationships/image"/><Relationship Id="rId181" Target="media/ae84be640803d03558ee5122c0841b9e651e8a1e.png" Type="http://schemas.openxmlformats.org/officeDocument/2006/relationships/image"/><Relationship Id="rId182" Target="media/01ea9e8ea666472cf309a3ac694b5f7582bbbce4.png" Type="http://schemas.openxmlformats.org/officeDocument/2006/relationships/image"/><Relationship Id="rId183" Target="media/e98e9ae167e0f2ab15e39f181a38cd7cc74beea4.png" Type="http://schemas.openxmlformats.org/officeDocument/2006/relationships/image"/><Relationship Id="rId184" Target="media/670de3fdbee96c657ba5646e037c146ed9cbc87e.png" Type="http://schemas.openxmlformats.org/officeDocument/2006/relationships/image"/><Relationship Id="rId185" Target="media/5204efcc8e227378833d65c0b163518a20e6ebc1.png" Type="http://schemas.openxmlformats.org/officeDocument/2006/relationships/image"/><Relationship Id="rId186" Target="media/8383c4ee585f3c2377959fc68259f48abac5f19f.png" Type="http://schemas.openxmlformats.org/officeDocument/2006/relationships/image"/><Relationship Id="rId187" Target="media/99a1c053d3aa14d8737a40702fc58b51daa2509f.png" Type="http://schemas.openxmlformats.org/officeDocument/2006/relationships/image"/><Relationship Id="rId188" Target="media/f09e2f2b1967c32d0edfcbfabf324c05cc06f36e.png" Type="http://schemas.openxmlformats.org/officeDocument/2006/relationships/image"/><Relationship Id="rId189" Target="media/31cd9dae044e1318cb54cc5896f26fda49ee514e.png" Type="http://schemas.openxmlformats.org/officeDocument/2006/relationships/image"/><Relationship Id="rId190" Target="media/e19c4aef3e831e44de42348650339ad541edd316.png" Type="http://schemas.openxmlformats.org/officeDocument/2006/relationships/image"/><Relationship Id="rId191" Target="media/b6d8c75c4cac678a7322053733e19d88d4f18658.png" Type="http://schemas.openxmlformats.org/officeDocument/2006/relationships/image"/><Relationship Id="rId192" Target="media/6c9d2f488169928507f272ddd8c2ba47e8f02a14.png" Type="http://schemas.openxmlformats.org/officeDocument/2006/relationships/image"/><Relationship Id="rId193" Target="media/a08ceb14bbd0da76a52c50cb7ac2363c88b47f6c.png" Type="http://schemas.openxmlformats.org/officeDocument/2006/relationships/image"/><Relationship Id="rId194" Target="media/42fa24b3bc7bab63499d2aec17e32663a6b9ea1e.png" Type="http://schemas.openxmlformats.org/officeDocument/2006/relationships/image"/><Relationship Id="rId195" Target="media/8996cfbce416de0a17edefaf2151c1a114b1ee6c.png" Type="http://schemas.openxmlformats.org/officeDocument/2006/relationships/image"/><Relationship Id="rId196" Target="media/5776c6b5a63e28bf0ab03f96d24213c48de3f18e.png" Type="http://schemas.openxmlformats.org/officeDocument/2006/relationships/image"/><Relationship Id="rId197" Target="media/8885d56f995715eb8f3f60420f7455522f14a306.png" Type="http://schemas.openxmlformats.org/officeDocument/2006/relationships/image"/><Relationship Id="rId198" Target="media/d6d005d4bf954d87e6fb33802837852b9ea4d784.png" Type="http://schemas.openxmlformats.org/officeDocument/2006/relationships/image"/><Relationship Id="rId199" Target="media/efba1b3cdcdf52eef4a7a4aaf8d693d193eab6a2.png" Type="http://schemas.openxmlformats.org/officeDocument/2006/relationships/image"/><Relationship Id="rId200" Target="media/d27deb1ed355fc39e094f54cd534fd651c47c66e.png" Type="http://schemas.openxmlformats.org/officeDocument/2006/relationships/image"/><Relationship Id="rId201" Target="media/941134ed4f508cb0d5c6af5cff90e7bf7441d25c.png" Type="http://schemas.openxmlformats.org/officeDocument/2006/relationships/image"/><Relationship Id="rId202" Target="media/08e8deea6bfa4e1236ecc9434be27dc73ef3e0d9.png" Type="http://schemas.openxmlformats.org/officeDocument/2006/relationships/image"/><Relationship Id="rId203" Target="media/4d6055dc9e0295e69b30ee53a39ef58422a6bbd7.png" Type="http://schemas.openxmlformats.org/officeDocument/2006/relationships/image"/><Relationship Id="rId204" Target="media/4c4e9706d86108fc78dc35c4b6fc97e16e923c37.png" Type="http://schemas.openxmlformats.org/officeDocument/2006/relationships/image"/><Relationship Id="rId205" Target="media/eadcb7c9fbee0668d6a1974823a5bd96383091c0.png" Type="http://schemas.openxmlformats.org/officeDocument/2006/relationships/image"/><Relationship Id="rId206" Target="media/42a9934a2cc54763376018192982dbe168d76f81.png" Type="http://schemas.openxmlformats.org/officeDocument/2006/relationships/image"/><Relationship Id="rId207" Target="media/7acdde8451e825d014bd4b53c254fcc9995b0c96.png" Type="http://schemas.openxmlformats.org/officeDocument/2006/relationships/image"/><Relationship Id="rId208" Target="media/9e58a154613cce5e2cb53e53b62c7ce98cfee301.png" Type="http://schemas.openxmlformats.org/officeDocument/2006/relationships/image"/><Relationship Id="rId209" Target="media/d80c11d15bcdc132d74e4e13f88909bddd396142.png" Type="http://schemas.openxmlformats.org/officeDocument/2006/relationships/image"/><Relationship Id="rId210" Target="media/f5dd3b920dfa5b321a2128a992a3b06361596b99.png" Type="http://schemas.openxmlformats.org/officeDocument/2006/relationships/image"/><Relationship Id="rId211" Target="media/7a2ec0234c112245442089cde013eef71bec233d.png" Type="http://schemas.openxmlformats.org/officeDocument/2006/relationships/image"/><Relationship Id="rId212" Target="media/ada53e27cca88ff7b17ee6ecf97332efc3adbcb8.png" Type="http://schemas.openxmlformats.org/officeDocument/2006/relationships/image"/><Relationship Id="rId213" Target="media/861890a058581dfe0c0fb9c44650791d5bdee810.png" Type="http://schemas.openxmlformats.org/officeDocument/2006/relationships/image"/><Relationship Id="rId214" Target="media/182de408505579a02a5e7245569881ec66a783f7.png" Type="http://schemas.openxmlformats.org/officeDocument/2006/relationships/image"/><Relationship Id="rId215" Target="media/11f0b736dde8b3b6df2e61ae31d283dc43615fb6.png" Type="http://schemas.openxmlformats.org/officeDocument/2006/relationships/image"/><Relationship Id="rId216" Target="media/614849096f3c364079d7dadc253e0e85af95f9d7.png" Type="http://schemas.openxmlformats.org/officeDocument/2006/relationships/image"/><Relationship Id="rId217" Target="media/3426cb264747d16cda921625e13310745fc77b71.png" Type="http://schemas.openxmlformats.org/officeDocument/2006/relationships/image"/><Relationship Id="rId218" Target="media/afab5349799979079f44b75bd4a5a78976d109bc.png" Type="http://schemas.openxmlformats.org/officeDocument/2006/relationships/image"/><Relationship Id="rId219" Target="media/9369150aae1467a9aa2a039927154d063ca51f92.png" Type="http://schemas.openxmlformats.org/officeDocument/2006/relationships/image"/><Relationship Id="rId220" Target="media/534525240ba41f71a13febe8248f53e0810f27ca.png" Type="http://schemas.openxmlformats.org/officeDocument/2006/relationships/image"/><Relationship Id="rId221" Target="media/11b43a380ea7b680c1187afa1acd705106baa6f6.png" Type="http://schemas.openxmlformats.org/officeDocument/2006/relationships/image"/><Relationship Id="rId222" Target="media/4018b9182ae5b37da13b72afa452c7f3cd61fbcb.png" Type="http://schemas.openxmlformats.org/officeDocument/2006/relationships/image"/><Relationship Id="rId223" Target="media/b17ecca259a7a36d22c405e1e5a5e6e454043b29.png" Type="http://schemas.openxmlformats.org/officeDocument/2006/relationships/image"/><Relationship Id="rId224" Target="media/f3338a721044a7afb31b94dfa70b05519a6820bb.png" Type="http://schemas.openxmlformats.org/officeDocument/2006/relationships/image"/><Relationship Id="rId225" Target="media/bd969a6e3e856d4018d4ebd0c5cf36e31b841107.png" Type="http://schemas.openxmlformats.org/officeDocument/2006/relationships/image"/><Relationship Id="rId226" Target="media/5148b6aa805429de758e570240bb8cbcec7d094d.png" Type="http://schemas.openxmlformats.org/officeDocument/2006/relationships/image"/><Relationship Id="rId227" Target="media/b2ef030cb171345f9aac29bcede67ea317a7392d.png" Type="http://schemas.openxmlformats.org/officeDocument/2006/relationships/image"/><Relationship Id="rId228" Target="media/a17018135fcd93d9ddcf3fc28d72d490f2d7d26a.png" Type="http://schemas.openxmlformats.org/officeDocument/2006/relationships/image"/><Relationship Id="rId229" Target="media/04715e1bf40c125e6dc4ff6d6739896b55216473.png" Type="http://schemas.openxmlformats.org/officeDocument/2006/relationships/image"/><Relationship Id="rId230" Target="media/9797b0dfa872afe1d4453939eb5dafcb348497e3.png" Type="http://schemas.openxmlformats.org/officeDocument/2006/relationships/image"/><Relationship Id="rId231" Target="media/3abdb54df73afec6e8e5ae9e7b8d87db81d8664e.png" Type="http://schemas.openxmlformats.org/officeDocument/2006/relationships/image"/><Relationship Id="rId232" Target="media/d827b7741d1861ba4d117b6424d05785eedc76ab.png" Type="http://schemas.openxmlformats.org/officeDocument/2006/relationships/image"/><Relationship Id="rId233" Target="media/91d78b31af006a111c7b7e9f629509baadaab8e1.png" Type="http://schemas.openxmlformats.org/officeDocument/2006/relationships/image"/><Relationship Id="rId234" Target="media/1ba37b409319a386a9aafaa727d010a846b9d053.png" Type="http://schemas.openxmlformats.org/officeDocument/2006/relationships/image"/><Relationship Id="rId235" Target="media/aa8b54eb8027a486fe860d38c7693aaad1e0208c.png" Type="http://schemas.openxmlformats.org/officeDocument/2006/relationships/image"/><Relationship Id="rId236" Target="media/f91e4ef892aab28900fff22182a7788a69716fe4.png" Type="http://schemas.openxmlformats.org/officeDocument/2006/relationships/image"/><Relationship Id="rId237" Target="media/43410582454be373bfd09e17339722f88c913ee0.png" Type="http://schemas.openxmlformats.org/officeDocument/2006/relationships/image"/><Relationship Id="rId238" Target="media/543199a8cf2332d3b4ed6874e018d2f24692de5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