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1.1  Who uses financial statements, and why?</w:t>
            </w:r>
          </w:p>
          <w:p>
            <w:pPr>
              <w:spacing w:before="0" w:after="46"/>
            </w:pPr>
            <w:r>
              <w:rPr>
                <w:color w:val="E8EAF6"/>
                <w:sz w:val="16"/>
                <w:szCs w:val="16"/>
              </w:rPr>
              <w:t xml:space="preserve">Chapter 1 · section 1.1</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A company collects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facts every day: sales, purchases, salaries and loans. </w:t>
      </w:r>
      <w:r>
        <w:rPr>
          <w:sz w:val="19"/>
          <w:szCs w:val="19"/>
        </w:rPr>
        <w:t xml:space="preserve">Financial statements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these facts in a standard form for people outside the company. </w:t>
      </w:r>
      <w:r>
        <w:rPr>
          <w:sz w:val="19"/>
          <w:szCs w:val="19"/>
        </w:rPr>
        <w:t xml:space="preserve">The four main statements are the balance sheet, the income statement, the statement of changes in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the statement of cash flows. </w:t>
      </w:r>
      <w:r>
        <w:rPr>
          <w:sz w:val="19"/>
          <w:szCs w:val="19"/>
        </w:rPr>
        <w:t xml:space="preserve">Most companies prepare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financial statements. </w:t>
      </w:r>
      <w:r>
        <w:rPr>
          <w:sz w:val="19"/>
          <w:szCs w:val="19"/>
        </w:rPr>
        <w:t xml:space="preserve">These are reports for many readers at the same time, not for one special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The U.S.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framework names the most important readers. </w:t>
      </w:r>
      <w:r>
        <w:rPr>
          <w:sz w:val="19"/>
          <w:szCs w:val="19"/>
        </w:rPr>
        <w:t xml:space="preserve">The primary users are existing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investors, lenders and other creditors. </w:t>
      </w:r>
      <w:r>
        <w:rPr>
          <w:sz w:val="19"/>
          <w:szCs w:val="19"/>
        </w:rPr>
        <w:t xml:space="preserve">They give resources (money, goods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the company. </w:t>
      </w:r>
      <w:r>
        <w:rPr>
          <w:sz w:val="19"/>
          <w:szCs w:val="19"/>
        </w:rPr>
        <w:t xml:space="preserve">They usually cannot ask the company for special reports, so they depend on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statements.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summarize   ·   general-purpose   ·   potential   ·   faithful representation   ·   credit   ·   conceptual   ·   equity   ·   reader   ·   published   ·   thousands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257"/>
        <w:gridCol w:w="1902"/>
        <w:gridCol w:w="3088"/>
        <w:gridCol w:w="2353"/>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Users of financial statements and what they need</w:t>
            </w:r>
          </w:p>
        </w:tc>
      </w:tr>
      <w:tr>
        <w:tc>
          <w:tcPr>
            <w:tcW w:type="pct" w:w="1176"/>
            <w:shd w:fill="353A7C" w:val="clear"/>
            <w:tcMar>
              <w:top w:type="dxa" w:w="50"/>
              <w:left w:type="dxa" w:w="110"/>
              <w:bottom w:type="dxa" w:w="50"/>
              <w:right w:type="dxa" w:w="110"/>
            </w:tcMar>
          </w:tcPr>
          <w:p>
            <w:pPr>
              <w:spacing w:before="30" w:after="30"/>
            </w:pPr>
            <w:r>
              <w:rPr>
                <w:b/>
                <w:bCs/>
                <w:color w:val="FFFFFF"/>
                <w:sz w:val="15"/>
                <w:szCs w:val="15"/>
              </w:rPr>
              <w:t xml:space="preserve">User</w:t>
            </w:r>
          </w:p>
        </w:tc>
        <w:tc>
          <w:tcPr>
            <w:tcW w:type="pct" w:w="990"/>
            <w:shd w:fill="353A7C" w:val="clear"/>
            <w:tcMar>
              <w:top w:type="dxa" w:w="50"/>
              <w:left w:type="dxa" w:w="110"/>
              <w:bottom w:type="dxa" w:w="50"/>
              <w:right w:type="dxa" w:w="110"/>
            </w:tcMar>
          </w:tcPr>
          <w:p>
            <w:pPr>
              <w:spacing w:before="30" w:after="30"/>
            </w:pPr>
            <w:r>
              <w:rPr>
                <w:b/>
                <w:bCs/>
                <w:color w:val="FFFFFF"/>
                <w:sz w:val="15"/>
                <w:szCs w:val="15"/>
              </w:rPr>
              <w:t xml:space="preserve">Decision</w:t>
            </w:r>
          </w:p>
        </w:tc>
        <w:tc>
          <w:tcPr>
            <w:tcW w:type="pct" w:w="1608"/>
            <w:shd w:fill="353A7C" w:val="clear"/>
            <w:tcMar>
              <w:top w:type="dxa" w:w="50"/>
              <w:left w:type="dxa" w:w="110"/>
              <w:bottom w:type="dxa" w:w="50"/>
              <w:right w:type="dxa" w:w="110"/>
            </w:tcMar>
          </w:tcPr>
          <w:p>
            <w:pPr>
              <w:spacing w:before="30" w:after="30"/>
            </w:pPr>
            <w:r>
              <w:rPr>
                <w:b/>
                <w:bCs/>
                <w:color w:val="FFFFFF"/>
                <w:sz w:val="15"/>
                <w:szCs w:val="15"/>
              </w:rPr>
              <w:t xml:space="preserve">Key question</w:t>
            </w:r>
          </w:p>
        </w:tc>
        <w:tc>
          <w:tcPr>
            <w:tcW w:type="pct" w:w="1226"/>
            <w:shd w:fill="353A7C" w:val="clear"/>
            <w:tcMar>
              <w:top w:type="dxa" w:w="50"/>
              <w:left w:type="dxa" w:w="110"/>
              <w:bottom w:type="dxa" w:w="50"/>
              <w:right w:type="dxa" w:w="110"/>
            </w:tcMar>
          </w:tcPr>
          <w:p>
            <w:pPr>
              <w:spacing w:before="30" w:after="30"/>
            </w:pPr>
            <w:r>
              <w:rPr>
                <w:b/>
                <w:bCs/>
                <w:color w:val="FFFFFF"/>
                <w:sz w:val="15"/>
                <w:szCs w:val="15"/>
              </w:rPr>
              <w:t xml:space="preserve">Statements used most</w:t>
            </w:r>
          </w:p>
        </w:tc>
      </w:tr>
      <w:tr>
        <w:tc>
          <w:tcPr>
            <w:tcW w:type="pct" w:w="1176"/>
            <w:tcMar>
              <w:top w:type="dxa" w:w="50"/>
              <w:left w:type="dxa" w:w="110"/>
              <w:bottom w:type="dxa" w:w="50"/>
              <w:right w:type="dxa" w:w="110"/>
            </w:tcMar>
          </w:tcPr>
          <w:p>
            <w:pPr>
              <w:spacing w:before="28" w:after="28"/>
            </w:pPr>
            <w:r>
              <w:rPr>
                <w:sz w:val="15"/>
                <w:szCs w:val="15"/>
              </w:rPr>
              <w:t xml:space="preserve">Investors (shareholders) — PRIMARY</w:t>
            </w:r>
          </w:p>
        </w:tc>
        <w:tc>
          <w:tcPr>
            <w:tcW w:type="pct" w:w="990"/>
            <w:tcMar>
              <w:top w:type="dxa" w:w="50"/>
              <w:left w:type="dxa" w:w="110"/>
              <w:bottom w:type="dxa" w:w="50"/>
              <w:right w:type="dxa" w:w="110"/>
            </w:tcMar>
          </w:tcPr>
          <w:p>
            <w:pPr>
              <w:spacing w:before="28" w:after="28"/>
            </w:pPr>
            <w:r>
              <w:rPr>
                <w:sz w:val="15"/>
                <w:szCs w:val="15"/>
              </w:rPr>
              <w:t xml:space="preserve">Buy, hold or sell shares</w:t>
            </w:r>
          </w:p>
        </w:tc>
        <w:tc>
          <w:tcPr>
            <w:tcW w:type="pct" w:w="1608"/>
            <w:tcMar>
              <w:top w:type="dxa" w:w="50"/>
              <w:left w:type="dxa" w:w="110"/>
              <w:bottom w:type="dxa" w:w="50"/>
              <w:right w:type="dxa" w:w="110"/>
            </w:tcMar>
          </w:tcPr>
          <w:p>
            <w:pPr>
              <w:spacing w:before="28" w:after="28"/>
            </w:pPr>
            <w:r>
              <w:rPr>
                <w:sz w:val="15"/>
                <w:szCs w:val="15"/>
              </w:rPr>
              <w:t xml:space="preserve">Will the company create future cash flows and returns?</w:t>
            </w:r>
          </w:p>
        </w:tc>
        <w:tc>
          <w:tcPr>
            <w:tcW w:type="pct" w:w="1226"/>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176"/>
            <w:shd w:fill="FBFAF6" w:val="clear"/>
            <w:tcMar>
              <w:top w:type="dxa" w:w="50"/>
              <w:left w:type="dxa" w:w="110"/>
              <w:bottom w:type="dxa" w:w="50"/>
              <w:right w:type="dxa" w:w="110"/>
            </w:tcMar>
          </w:tcPr>
          <w:p>
            <w:pPr>
              <w:spacing w:before="28" w:after="28"/>
            </w:pPr>
            <w:r>
              <w:rPr>
                <w:sz w:val="15"/>
                <w:szCs w:val="15"/>
              </w:rPr>
              <w:t xml:space="preserve">Lenders (banks, bondholders) — PRIMARY</w:t>
            </w:r>
          </w:p>
        </w:tc>
        <w:tc>
          <w:tcPr>
            <w:tcW w:type="pct" w:w="99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608"/>
            <w:shd w:fill="FBFAF6" w:val="clear"/>
            <w:tcMar>
              <w:top w:type="dxa" w:w="50"/>
              <w:left w:type="dxa" w:w="110"/>
              <w:bottom w:type="dxa" w:w="50"/>
              <w:right w:type="dxa" w:w="110"/>
            </w:tcMar>
          </w:tcPr>
          <w:p>
            <w:pPr>
              <w:spacing w:before="28" w:after="28"/>
            </w:pPr>
            <w:r>
              <w:rPr>
                <w:sz w:val="15"/>
                <w:szCs w:val="15"/>
              </w:rPr>
              <w:t xml:space="preserve">Can the company pay interest and repay the principal on time?</w:t>
            </w:r>
          </w:p>
        </w:tc>
        <w:tc>
          <w:tcPr>
            <w:tcW w:type="pct" w:w="1226"/>
            <w:shd w:fill="FBFAF6" w:val="clear"/>
            <w:tcMar>
              <w:top w:type="dxa" w:w="50"/>
              <w:left w:type="dxa" w:w="110"/>
              <w:bottom w:type="dxa" w:w="50"/>
              <w:right w:type="dxa" w:w="110"/>
            </w:tcMar>
          </w:tcPr>
          <w:p>
            <w:pPr>
              <w:spacing w:before="28" w:after="28"/>
            </w:pPr>
            <w:r>
              <w:rPr>
                <w:sz w:val="15"/>
                <w:szCs w:val="15"/>
              </w:rPr>
              <w:t xml:space="preserve">Cash flows, balance sheet</w:t>
            </w:r>
          </w:p>
        </w:tc>
      </w:tr>
      <w:tr>
        <w:tc>
          <w:tcPr>
            <w:tcW w:type="pct" w:w="1176"/>
            <w:tcMar>
              <w:top w:type="dxa" w:w="50"/>
              <w:left w:type="dxa" w:w="110"/>
              <w:bottom w:type="dxa" w:w="50"/>
              <w:right w:type="dxa" w:w="110"/>
            </w:tcMar>
          </w:tcPr>
          <w:p>
            <w:pPr>
              <w:spacing w:before="28" w:after="28"/>
            </w:pPr>
            <w:r>
              <w:rPr>
                <w:sz w:val="15"/>
                <w:szCs w:val="15"/>
              </w:rPr>
              <w:t xml:space="preserve">Other creditors (suppliers) — PRIMARY</w:t>
            </w:r>
          </w:p>
        </w:tc>
        <w:tc>
          <w:tcPr>
            <w:tcW w:type="pct" w:w="990"/>
            <w:tcMar>
              <w:top w:type="dxa" w:w="50"/>
              <w:left w:type="dxa" w:w="110"/>
              <w:bottom w:type="dxa" w:w="50"/>
              <w:right w:type="dxa" w:w="110"/>
            </w:tcMar>
          </w:tcPr>
          <w:p>
            <w:pPr>
              <w:spacing w:before="28" w:after="28"/>
            </w:pPr>
            <w:r>
              <w:rPr>
                <w:sz w:val="15"/>
                <w:szCs w:val="15"/>
              </w:rPr>
              <w:t xml:space="preserve">Sell on credit, set credit terms</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26"/>
            <w:tcMar>
              <w:top w:type="dxa" w:w="50"/>
              <w:left w:type="dxa" w:w="110"/>
              <w:bottom w:type="dxa" w:w="50"/>
              <w:right w:type="dxa" w:w="110"/>
            </w:tcMar>
          </w:tcPr>
          <w:p>
            <w:pPr>
              <w:spacing w:before="28" w:after="28"/>
            </w:pPr>
            <w:r>
              <w:rPr>
                <w:sz w:val="15"/>
                <w:szCs w:val="15"/>
              </w:rPr>
              <w:t xml:space="preserve">Balance sheet (short-term items), cash flows</w:t>
            </w:r>
          </w:p>
        </w:tc>
      </w:tr>
      <w:tr>
        <w:tc>
          <w:tcPr>
            <w:tcW w:type="pct" w:w="1176"/>
            <w:shd w:fill="FBFAF6" w:val="clear"/>
            <w:tcMar>
              <w:top w:type="dxa" w:w="50"/>
              <w:left w:type="dxa" w:w="110"/>
              <w:bottom w:type="dxa" w:w="50"/>
              <w:right w:type="dxa" w:w="110"/>
            </w:tcMar>
          </w:tcPr>
          <w:p>
            <w:pPr>
              <w:spacing w:before="28" w:after="28"/>
            </w:pPr>
            <w:r>
              <w:rPr>
                <w:sz w:val="15"/>
                <w:szCs w:val="15"/>
              </w:rPr>
              <w:t xml:space="preserve">Employees and unions</w:t>
            </w:r>
          </w:p>
        </w:tc>
        <w:tc>
          <w:tcPr>
            <w:tcW w:type="pct" w:w="990"/>
            <w:shd w:fill="FBFAF6" w:val="clear"/>
            <w:tcMar>
              <w:top w:type="dxa" w:w="50"/>
              <w:left w:type="dxa" w:w="110"/>
              <w:bottom w:type="dxa" w:w="50"/>
              <w:right w:type="dxa" w:w="110"/>
            </w:tcMar>
          </w:tcPr>
          <w:p>
            <w:pPr>
              <w:spacing w:before="28" w:after="28"/>
            </w:pPr>
            <w:r>
              <w:rPr>
                <w:sz w:val="15"/>
                <w:szCs w:val="15"/>
              </w:rPr>
              <w:t xml:space="preserve">Stay, negotiate pay</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26"/>
            <w:shd w:fill="FBFAF6" w:val="clear"/>
            <w:tcMar>
              <w:top w:type="dxa" w:w="50"/>
              <w:left w:type="dxa" w:w="110"/>
              <w:bottom w:type="dxa" w:w="50"/>
              <w:right w:type="dxa" w:w="110"/>
            </w:tcMar>
          </w:tcPr>
          <w:p>
            <w:pPr>
              <w:spacing w:before="28" w:after="28"/>
            </w:pPr>
            <w:r>
              <w:rPr>
                <w:sz w:val="15"/>
                <w:szCs w:val="15"/>
              </w:rPr>
              <w:t xml:space="preserve">Income statement</w:t>
            </w:r>
          </w:p>
        </w:tc>
      </w:tr>
      <w:tr>
        <w:tc>
          <w:tcPr>
            <w:tcW w:type="pct" w:w="1176"/>
            <w:tcMar>
              <w:top w:type="dxa" w:w="50"/>
              <w:left w:type="dxa" w:w="110"/>
              <w:bottom w:type="dxa" w:w="50"/>
              <w:right w:type="dxa" w:w="110"/>
            </w:tcMar>
          </w:tcPr>
          <w:p>
            <w:pPr>
              <w:spacing w:before="28" w:after="28"/>
            </w:pPr>
            <w:r>
              <w:rPr>
                <w:sz w:val="15"/>
                <w:szCs w:val="15"/>
              </w:rPr>
              <w:t xml:space="preserve">Customers</w:t>
            </w:r>
          </w:p>
        </w:tc>
        <w:tc>
          <w:tcPr>
            <w:tcW w:type="pct" w:w="990"/>
            <w:tcMar>
              <w:top w:type="dxa" w:w="50"/>
              <w:left w:type="dxa" w:w="110"/>
              <w:bottom w:type="dxa" w:w="50"/>
              <w:right w:type="dxa" w:w="110"/>
            </w:tcMar>
          </w:tcPr>
          <w:p>
            <w:pPr>
              <w:spacing w:before="28" w:after="28"/>
            </w:pPr>
            <w:r>
              <w:rPr>
                <w:sz w:val="15"/>
                <w:szCs w:val="15"/>
              </w:rPr>
              <w:t xml:space="preserve">Sign long-term contracts</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26"/>
            <w:tcMar>
              <w:top w:type="dxa" w:w="50"/>
              <w:left w:type="dxa" w:w="110"/>
              <w:bottom w:type="dxa" w:w="50"/>
              <w:right w:type="dxa" w:w="110"/>
            </w:tcMar>
          </w:tcPr>
          <w:p>
            <w:pPr>
              <w:spacing w:before="28" w:after="28"/>
            </w:pPr>
            <w:r>
              <w:rPr>
                <w:sz w:val="15"/>
                <w:szCs w:val="15"/>
              </w:rPr>
              <w:t xml:space="preserve">Balance sheet, income statement</w:t>
            </w:r>
          </w:p>
        </w:tc>
      </w:tr>
      <w:tr>
        <w:tc>
          <w:tcPr>
            <w:tcW w:type="pct" w:w="1176"/>
            <w:shd w:fill="FBFAF6" w:val="clear"/>
            <w:tcMar>
              <w:top w:type="dxa" w:w="50"/>
              <w:left w:type="dxa" w:w="110"/>
              <w:bottom w:type="dxa" w:w="50"/>
              <w:right w:type="dxa" w:w="110"/>
            </w:tcMar>
          </w:tcPr>
          <w:p>
            <w:pPr>
              <w:spacing w:before="28" w:after="28"/>
            </w:pPr>
            <w:r>
              <w:rPr>
                <w:sz w:val="15"/>
                <w:szCs w:val="15"/>
              </w:rPr>
              <w:t xml:space="preserve">Governments and regulators</w:t>
            </w:r>
          </w:p>
        </w:tc>
        <w:tc>
          <w:tcPr>
            <w:tcW w:type="pct" w:w="990"/>
            <w:shd w:fill="FBFAF6" w:val="clear"/>
            <w:tcMar>
              <w:top w:type="dxa" w:w="50"/>
              <w:left w:type="dxa" w:w="110"/>
              <w:bottom w:type="dxa" w:w="50"/>
              <w:right w:type="dxa" w:w="110"/>
            </w:tcMar>
          </w:tcPr>
          <w:p>
            <w:pPr>
              <w:spacing w:before="28" w:after="28"/>
            </w:pPr>
            <w:r>
              <w:rPr>
                <w:sz w:val="15"/>
                <w:szCs w:val="15"/>
              </w:rPr>
              <w:t xml:space="preserve">Tax, oversight, statistics</w:t>
            </w:r>
          </w:p>
        </w:tc>
        <w:tc>
          <w:tcPr>
            <w:tcW w:type="pct" w:w="1608"/>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26"/>
            <w:shd w:fill="FBFAF6" w:val="clear"/>
            <w:tcMar>
              <w:top w:type="dxa" w:w="50"/>
              <w:left w:type="dxa" w:w="110"/>
              <w:bottom w:type="dxa" w:w="50"/>
              <w:right w:type="dxa" w:w="110"/>
            </w:tcMar>
          </w:tcPr>
          <w:p>
            <w:pPr>
              <w:spacing w:before="28" w:after="28"/>
            </w:pPr>
            <w:r>
              <w:rPr>
                <w:sz w:val="15"/>
                <w:szCs w:val="15"/>
              </w:rPr>
              <w:t xml:space="preserve">All statements and notes</w:t>
            </w:r>
          </w:p>
        </w:tc>
      </w:tr>
      <w:tr>
        <w:tc>
          <w:tcPr>
            <w:tcW w:type="pct" w:w="1176"/>
            <w:tcMar>
              <w:top w:type="dxa" w:w="50"/>
              <w:left w:type="dxa" w:w="110"/>
              <w:bottom w:type="dxa" w:w="50"/>
              <w:right w:type="dxa" w:w="110"/>
            </w:tcMar>
          </w:tcPr>
          <w:p>
            <w:pPr>
              <w:spacing w:before="28" w:after="28"/>
            </w:pPr>
            <w:r>
              <w:rPr>
                <w:sz w:val="15"/>
                <w:szCs w:val="15"/>
              </w:rPr>
              <w:t xml:space="preserve">Managers (internal)</w:t>
            </w:r>
          </w:p>
        </w:tc>
        <w:tc>
          <w:tcPr>
            <w:tcW w:type="pct" w:w="990"/>
            <w:tcMar>
              <w:top w:type="dxa" w:w="50"/>
              <w:left w:type="dxa" w:w="110"/>
              <w:bottom w:type="dxa" w:w="50"/>
              <w:right w:type="dxa" w:w="110"/>
            </w:tcMar>
          </w:tcPr>
          <w:p>
            <w:pPr>
              <w:spacing w:before="28" w:after="28"/>
            </w:pPr>
            <w:r>
              <w:rPr>
                <w:sz w:val="15"/>
                <w:szCs w:val="15"/>
              </w:rPr>
              <w:t xml:space="preserve">Plan and control operations</w:t>
            </w:r>
          </w:p>
        </w:tc>
        <w:tc>
          <w:tcPr>
            <w:tcW w:type="pct" w:w="1608"/>
            <w:tcMar>
              <w:top w:type="dxa" w:w="50"/>
              <w:left w:type="dxa" w:w="110"/>
              <w:bottom w:type="dxa" w:w="50"/>
              <w:right w:type="dxa" w:w="110"/>
            </w:tcMar>
          </w:tcPr>
          <w:p>
            <w:pPr>
              <w:spacing w:before="28" w:after="28"/>
            </w:pPr>
            <w:r>
              <w:rPr>
                <w:sz w:val="15"/>
                <w:szCs w:val="15"/>
              </w:rPr>
              <w:t xml:space="preserve">Not a primary user: can use internal reports</w:t>
            </w:r>
          </w:p>
        </w:tc>
        <w:tc>
          <w:tcPr>
            <w:tcW w:type="pct" w:w="1226"/>
            <w:shd w:fill="FFFFFF" w:val="clear"/>
            <w:tcMar>
              <w:top w:type="dxa" w:w="50"/>
              <w:left w:type="dxa" w:w="110"/>
              <w:bottom w:type="dxa" w:w="50"/>
              <w:right w:type="dxa" w:w="110"/>
            </w:tcMar>
          </w:tcPr>
          <w:p>
            <w:pPr>
              <w:spacing w:before="46" w:after="46"/>
            </w:pPr>
            <w:r>
              <w:rPr>
                <w:b/>
                <w:bCs/>
                <w:color w:val="8186EF"/>
                <w:sz w:val="14"/>
                <w:szCs w:val="14"/>
              </w:rPr>
              <w:t xml:space="preserve">(16)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 management reports   ·   Will the company pay its bills when due?   ·   Is the company stable and profitable?   ·   Will the company continue to supply us?   ·   Lend, renew or stop a loan   ·   Does the company follow the rules and pay its taxes?   ·   Income statement, cash flows, balance sheet   ·   Balance sheet, income statement</w:t>
            </w:r>
          </w:p>
        </w:tc>
      </w:tr>
    </w:tbl>
    <w:p/>
    <w:p>
      <w:pPr>
        <w:pageBreakBefore w:val="true"/>
        <w:spacing w:after="0"/>
      </w:pPr>
      <w:r>
        <w:rPr>
          <w:sz w:val="2"/>
        </w:rPr>
        <w:t xml:space="preserve"> </w:t>
      </w:r>
    </w:p>
    <w:p>
      <w:pPr>
        <w:spacing w:before="44" w:after="14"/>
      </w:pPr>
      <w:r>
        <w:rPr>
          <w:b/>
          <w:bCs/>
          <w:color w:val="353A7C"/>
          <w:sz w:val="18"/>
          <w:szCs w:val="18"/>
        </w:rPr>
        <w:t xml:space="preserve">Summary 2</w:t>
      </w:r>
      <w:r>
        <w:rPr>
          <w:color w:val="6B7280"/>
          <w:sz w:val="16"/>
          <w:szCs w:val="16"/>
        </w:rPr>
        <w:t xml:space="preserve">      gaps 17–25</w:t>
      </w:r>
    </w:p>
    <w:p>
      <w:pPr>
        <w:spacing w:before="20" w:after="20" w:line="360" w:lineRule="auto"/>
        <w:ind w:left="200"/>
      </w:pPr>
      <w:r>
        <w:rPr>
          <w:sz w:val="19"/>
          <w:szCs w:val="19"/>
        </w:rPr>
        <w:t xml:space="preserve">Other groups also read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statements: employees, customers,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tax authorities and the public. </w:t>
      </w:r>
      <w:r>
        <w:rPr>
          <w:sz w:val="19"/>
          <w:szCs w:val="19"/>
        </w:rPr>
        <w:t xml:space="preserve">However, managers are not primary users of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statements, because they can get any internal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they need. </w:t>
      </w:r>
      <w:r>
        <w:rPr>
          <w:sz w:val="19"/>
          <w:szCs w:val="19"/>
        </w:rPr>
        <w:t xml:space="preserve"/>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for managers is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accounting, the subject of most of the CMA exam. </w:t>
      </w:r>
      <w:r>
        <w:rPr>
          <w:sz w:val="19"/>
          <w:szCs w:val="19"/>
        </w:rPr>
        <w:t xml:space="preserve">What do all these users need? In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terms, they ask three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w:t>
      </w:r>
      <w:r>
        <w:rPr>
          <w:sz w:val="19"/>
          <w:szCs w:val="19"/>
        </w:rPr>
        <w:t xml:space="preserve">What does the company have, and what does it owe? The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sheet answers this. </w:t>
      </w:r>
      <w:r>
        <w:rPr>
          <w:sz w:val="19"/>
          <w:szCs w:val="19"/>
        </w:rPr>
        <w:t xml:space="preserve">How did the company perform in the period? The income statement answers this. </w:t>
      </w:r>
      <w:r>
        <w:rPr>
          <w:sz w:val="19"/>
          <w:szCs w:val="19"/>
        </w:rPr>
        <w:t xml:space="preserve">Where did cash come from, and where did it go? The statement of cash flows answers this. </w:t>
      </w:r>
      <w:r>
        <w:rPr>
          <w:sz w:val="19"/>
          <w:szCs w:val="19"/>
        </w:rPr>
        <w:t xml:space="preserve">Users also want to judge stewardship: how well the managers used the owners' resources.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management   ·   financial   ·   information   ·   Reporting   ·   governments   ·   simple   ·   balance   ·   relevance   ·   questions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What makes information useful?</w:t>
            </w:r>
          </w:p>
        </w:tc>
      </w:tr>
    </w:tbl>
    <w:p/>
    <w:p>
      <w:pPr>
        <w:spacing w:before="44" w:after="14"/>
      </w:pPr>
      <w:r>
        <w:rPr>
          <w:b/>
          <w:bCs/>
          <w:color w:val="353A7C"/>
          <w:sz w:val="18"/>
          <w:szCs w:val="18"/>
        </w:rPr>
        <w:t xml:space="preserve">Summary 3</w:t>
      </w:r>
      <w:r>
        <w:rPr>
          <w:color w:val="6B7280"/>
          <w:sz w:val="16"/>
          <w:szCs w:val="16"/>
        </w:rPr>
        <w:t xml:space="preserve">      gaps 26–33</w:t>
      </w:r>
    </w:p>
    <w:p>
      <w:pPr>
        <w:spacing w:before="20" w:after="20" w:line="360" w:lineRule="auto"/>
        <w:ind w:left="200"/>
      </w:pPr>
      <w:r>
        <w:rPr>
          <w:sz w:val="19"/>
          <w:szCs w:val="19"/>
        </w:rPr>
        <w:t xml:space="preserve">The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framework lists the qualities of useful information. </w:t>
      </w:r>
      <w:r>
        <w:rPr>
          <w:sz w:val="19"/>
          <w:szCs w:val="19"/>
        </w:rPr>
        <w:t xml:space="preserve">There are two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qualities. </w:t>
      </w:r>
      <w:r>
        <w:rPr>
          <w:sz w:val="19"/>
          <w:szCs w:val="19"/>
        </w:rPr>
        <w:t xml:space="preserve">Relevance means the information can make a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to a decision. </w:t>
      </w:r>
      <w:r>
        <w:rPr>
          <w:sz w:val="19"/>
          <w:szCs w:val="19"/>
        </w:rPr>
        <w:t xml:space="preserve">It helps users predict the future (predictive value) or check their past predictions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value). </w:t>
      </w:r>
      <w:r>
        <w:rPr>
          <w:sz w:val="19"/>
          <w:szCs w:val="19"/>
        </w:rPr>
        <w:t xml:space="preserve">Relevance includes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an item is material if leaving it out or stating it wrongly could change users' decisions. </w:t>
      </w:r>
      <w:r>
        <w:rPr>
          <w:sz w:val="19"/>
          <w:szCs w:val="19"/>
        </w:rPr>
        <w:t xml:space="preserve">Faithful </w:t>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means the information shows what it claims to show. </w:t>
      </w:r>
      <w:r>
        <w:rPr>
          <w:sz w:val="19"/>
          <w:szCs w:val="19"/>
        </w:rPr>
        <w:t xml:space="preserve">It is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neutral and free from error. </w:t>
      </w:r>
      <w:r>
        <w:rPr>
          <w:sz w:val="19"/>
          <w:szCs w:val="19"/>
        </w:rPr>
        <w:t xml:space="preserve">Four enhancing qualities make information even more useful: comparability, verifiability, timeliness and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w:t>
      </w:r>
      <w:r>
        <w:rPr>
          <w:sz w:val="19"/>
          <w:szCs w:val="19"/>
        </w:rPr>
        <w:t xml:space="preserve">Finally, there is a cost constraint: the benefit of reporting information should be greater than its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financial statements   ·   representation   ·   conceptual   ·   fundamental   ·   confirmatory   ·   complete   ·   materiality   ·   understandability   ·   difference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Who is a primary user?</w:t>
            </w:r>
          </w:p>
        </w:tc>
      </w:tr>
    </w:tbl>
    <w:p/>
    <w:p>
      <w:pPr>
        <w:spacing w:before="44" w:after="14"/>
      </w:pPr>
      <w:r>
        <w:rPr>
          <w:b/>
          <w:bCs/>
          <w:color w:val="353A7C"/>
          <w:sz w:val="18"/>
          <w:szCs w:val="18"/>
        </w:rPr>
        <w:t xml:space="preserve">Summary 4</w:t>
      </w:r>
      <w:r>
        <w:rPr>
          <w:color w:val="6B7280"/>
          <w:sz w:val="16"/>
          <w:szCs w:val="16"/>
        </w:rPr>
        <w:t xml:space="preserve">      gaps 34–35</w:t>
      </w:r>
    </w:p>
    <w:p>
      <w:pPr>
        <w:spacing w:before="20" w:after="20" w:line="360" w:lineRule="auto"/>
        <w:ind w:left="200"/>
      </w:pPr>
      <w:r>
        <w:rPr>
          <w:sz w:val="19"/>
          <w:szCs w:val="19"/>
        </w:rPr>
        <w:t xml:space="preserve">Primary users are </w:t>
      </w:r>
      <w:r>
        <w:rPr>
          <w:b/>
          <w:bCs/>
          <w:color w:val="8186EF"/>
          <w:sz w:val="15"/>
          <w:szCs w:val="15"/>
        </w:rPr>
        <w:t xml:space="preserve"> (34) </w:t>
      </w:r>
      <w:r>
        <w:rPr>
          <w:u w:val="single"/>
          <w:sz w:val="19"/>
          <w:szCs w:val="19"/>
        </w:rPr>
        <w:t xml:space="preserve">           </w:t>
      </w:r>
      <w:r>
        <w:rPr>
          <w:sz w:val="19"/>
          <w:szCs w:val="19"/>
        </w:rPr>
        <w:t xml:space="preserve"> </w:t>
      </w:r>
      <w:r>
        <w:rPr>
          <w:sz w:val="19"/>
          <w:szCs w:val="19"/>
        </w:rPr>
        <w:t xml:space="preserve">, lenders and other creditors. </w:t>
      </w:r>
      <w:r>
        <w:rPr>
          <w:sz w:val="19"/>
          <w:szCs w:val="19"/>
        </w:rPr>
        <w:t xml:space="preserve">Managers are users, but not primary users of </w:t>
      </w:r>
      <w:r>
        <w:rPr>
          <w:b/>
          <w:bCs/>
          <w:color w:val="8186EF"/>
          <w:sz w:val="15"/>
          <w:szCs w:val="15"/>
        </w:rPr>
        <w:t xml:space="preserve"> (35) </w:t>
      </w:r>
      <w:r>
        <w:rPr>
          <w:u w:val="single"/>
          <w:sz w:val="19"/>
          <w:szCs w:val="19"/>
        </w:rPr>
        <w:t xml:space="preserve">                 </w:t>
      </w:r>
      <w:r>
        <w:rPr>
          <w:sz w:val="19"/>
          <w:szCs w:val="19"/>
        </w:rPr>
        <w:t xml:space="preserve"> </w:t>
      </w:r>
      <w:r>
        <w:rPr>
          <w:sz w:val="19"/>
          <w:szCs w:val="19"/>
        </w:rPr>
        <w:t xml:space="preserve"> statements. </w:t>
      </w:r>
      <w:r>
        <w:rPr>
          <w:sz w:val="19"/>
          <w:szCs w:val="19"/>
        </w:rPr>
        <w:t xml:space="preserve">Also remember: relevance and faithful representation are the two fundamental qualities. </w:t>
      </w:r>
      <w:r>
        <w:rPr>
          <w:sz w:val="19"/>
          <w:szCs w:val="19"/>
        </w:rPr>
        <w:t xml:space="preserve">Comparability, verifiability, timeliness and understandability are only enhancing qualities.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investors   ·   recognize   ·   general-purpose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Five accounting verbs</w:t>
            </w:r>
          </w:p>
        </w:tc>
      </w:tr>
    </w:tbl>
    <w:p/>
    <w:p>
      <w:pPr>
        <w:spacing w:before="20" w:after="20" w:line="360" w:lineRule="auto"/>
        <w:ind w:left="200"/>
      </w:pPr>
      <w:r>
        <w:rPr>
          <w:sz w:val="19"/>
          <w:szCs w:val="19"/>
        </w:rPr>
        <w:t xml:space="preserve">These verbs have exact meanings in exam questions.</w:t>
      </w:r>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Five accounting verbs</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Verb</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Meaning in financial reporting</w:t>
            </w:r>
          </w:p>
        </w:tc>
      </w:tr>
      <w:tr>
        <w:tc>
          <w:tcPr>
            <w:tcW w:type="pct" w:w="2400"/>
            <w:tcMar>
              <w:top w:type="dxa" w:w="50"/>
              <w:left w:type="dxa" w:w="110"/>
              <w:bottom w:type="dxa" w:w="50"/>
              <w:right w:type="dxa" w:w="110"/>
            </w:tcMar>
          </w:tcPr>
          <w:p>
            <w:pPr>
              <w:spacing w:before="28" w:after="28"/>
            </w:pPr>
            <w:r>
              <w:rPr>
                <w:sz w:val="15"/>
                <w:szCs w:val="15"/>
              </w:rPr>
              <w:t xml:space="preserve">recognize</w:t>
            </w:r>
          </w:p>
        </w:tc>
        <w:tc>
          <w:tcPr>
            <w:tcW w:type="pct" w:w="2600"/>
            <w:tcMar>
              <w:top w:type="dxa" w:w="50"/>
              <w:left w:type="dxa" w:w="110"/>
              <w:bottom w:type="dxa" w:w="50"/>
              <w:right w:type="dxa" w:w="110"/>
            </w:tcMar>
          </w:tcPr>
          <w:p>
            <w:pPr>
              <w:spacing w:before="28" w:after="28"/>
            </w:pPr>
            <w:r>
              <w:rPr>
                <w:sz w:val="15"/>
                <w:szCs w:val="15"/>
              </w:rPr>
              <w:t xml:space="preserve">include an item in the statements, with a name and an amount</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measure</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(36)</w:t>
            </w:r>
          </w:p>
        </w:tc>
      </w:tr>
      <w:tr>
        <w:tc>
          <w:tcPr>
            <w:tcW w:type="pct" w:w="2400"/>
            <w:tcMar>
              <w:top w:type="dxa" w:w="50"/>
              <w:left w:type="dxa" w:w="110"/>
              <w:bottom w:type="dxa" w:w="50"/>
              <w:right w:type="dxa" w:w="110"/>
            </w:tcMar>
          </w:tcPr>
          <w:p>
            <w:pPr>
              <w:spacing w:before="28" w:after="28"/>
            </w:pPr>
            <w:r>
              <w:rPr>
                <w:sz w:val="15"/>
                <w:szCs w:val="15"/>
              </w:rPr>
              <w:t xml:space="preserve">record</w:t>
            </w:r>
          </w:p>
        </w:tc>
        <w:tc>
          <w:tcPr>
            <w:tcW w:type="pct" w:w="2600"/>
            <w:tcMar>
              <w:top w:type="dxa" w:w="50"/>
              <w:left w:type="dxa" w:w="110"/>
              <w:bottom w:type="dxa" w:w="50"/>
              <w:right w:type="dxa" w:w="110"/>
            </w:tcMar>
          </w:tcPr>
          <w:p>
            <w:pPr>
              <w:spacing w:before="28" w:after="28"/>
            </w:pPr>
            <w:r>
              <w:rPr>
                <w:sz w:val="15"/>
                <w:szCs w:val="15"/>
              </w:rPr>
              <w:t xml:space="preserve">enter the item in the accounts (journal and ledger)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present</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(37)</w:t>
            </w:r>
          </w:p>
        </w:tc>
      </w:tr>
      <w:tr>
        <w:tc>
          <w:tcPr>
            <w:tcW w:type="pct" w:w="2400"/>
            <w:tcMar>
              <w:top w:type="dxa" w:w="50"/>
              <w:left w:type="dxa" w:w="110"/>
              <w:bottom w:type="dxa" w:w="50"/>
              <w:right w:type="dxa" w:w="110"/>
            </w:tcMar>
          </w:tcPr>
          <w:p>
            <w:pPr>
              <w:spacing w:before="28" w:after="28"/>
            </w:pPr>
            <w:r>
              <w:rPr>
                <w:sz w:val="15"/>
                <w:szCs w:val="15"/>
              </w:rPr>
              <w:t xml:space="preserve">disclose</w:t>
            </w:r>
          </w:p>
        </w:tc>
        <w:tc>
          <w:tcPr>
            <w:tcW w:type="pct" w:w="2600"/>
            <w:tcMar>
              <w:top w:type="dxa" w:w="50"/>
              <w:left w:type="dxa" w:w="110"/>
              <w:bottom w:type="dxa" w:w="50"/>
              <w:right w:type="dxa" w:w="110"/>
            </w:tcMar>
          </w:tcPr>
          <w:p>
            <w:pPr>
              <w:spacing w:before="28" w:after="28"/>
            </w:pPr>
            <w:r>
              <w:rPr>
                <w:sz w:val="15"/>
                <w:szCs w:val="15"/>
              </w:rPr>
              <w:t xml:space="preserve">explain the item in the notes to the statements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show the item on the face of a statement   ·   decide the amount of the item   ·   enter the item in the accounts (journal and ledger)</w:t>
            </w:r>
          </w:p>
        </w:tc>
      </w:tr>
    </w:tbl>
    <w:p/>
    <w:p>
      <w:pPr>
        <w:spacing w:before="44" w:after="14"/>
      </w:pPr>
      <w:r>
        <w:rPr>
          <w:b/>
          <w:bCs/>
          <w:color w:val="353A7C"/>
          <w:sz w:val="18"/>
          <w:szCs w:val="18"/>
        </w:rPr>
        <w:t xml:space="preserve">Summary 5</w:t>
      </w:r>
      <w:r>
        <w:rPr>
          <w:color w:val="6B7280"/>
          <w:sz w:val="16"/>
          <w:szCs w:val="16"/>
        </w:rPr>
        <w:t xml:space="preserve">      gaps 38–39</w:t>
      </w:r>
    </w:p>
    <w:p>
      <w:pPr>
        <w:spacing w:before="20" w:after="20" w:line="360" w:lineRule="auto"/>
        <w:ind w:left="200"/>
      </w:pPr>
      <w:r>
        <w:rPr>
          <w:sz w:val="19"/>
          <w:szCs w:val="19"/>
        </w:rPr>
        <w:t xml:space="preserve">Example: Orontes </w:t>
      </w:r>
      <w:r>
        <w:rPr>
          <w:b/>
          <w:bCs/>
          <w:color w:val="8186EF"/>
          <w:sz w:val="15"/>
          <w:szCs w:val="15"/>
        </w:rPr>
        <w:t xml:space="preserve"> (38) </w:t>
      </w:r>
      <w:r>
        <w:rPr>
          <w:u w:val="single"/>
          <w:sz w:val="19"/>
          <w:szCs w:val="19"/>
        </w:rPr>
        <w:t xml:space="preserve">            </w:t>
      </w:r>
      <w:r>
        <w:rPr>
          <w:sz w:val="19"/>
          <w:szCs w:val="19"/>
        </w:rPr>
        <w:t xml:space="preserve"> </w:t>
      </w:r>
      <w:r>
        <w:rPr>
          <w:sz w:val="19"/>
          <w:szCs w:val="19"/>
        </w:rPr>
        <w:t xml:space="preserve"> revenue when it delivers the goods. </w:t>
      </w:r>
      <w:r>
        <w:rPr>
          <w:sz w:val="19"/>
          <w:szCs w:val="19"/>
        </w:rPr>
        <w:t xml:space="preserve">It </w:t>
      </w:r>
      <w:r>
        <w:rPr>
          <w:b/>
          <w:bCs/>
          <w:color w:val="8186EF"/>
          <w:sz w:val="15"/>
          <w:szCs w:val="15"/>
        </w:rPr>
        <w:t xml:space="preserve"> (39) </w:t>
      </w:r>
      <w:r>
        <w:rPr>
          <w:u w:val="single"/>
          <w:sz w:val="19"/>
          <w:szCs w:val="19"/>
        </w:rPr>
        <w:t xml:space="preserve">           </w:t>
      </w:r>
      <w:r>
        <w:rPr>
          <w:sz w:val="19"/>
          <w:szCs w:val="19"/>
        </w:rPr>
        <w:t xml:space="preserve"> </w:t>
      </w:r>
      <w:r>
        <w:rPr>
          <w:sz w:val="19"/>
          <w:szCs w:val="19"/>
        </w:rPr>
        <w:t xml:space="preserve"> the revenue at the invoice price. </w:t>
      </w:r>
      <w:r>
        <w:rPr>
          <w:sz w:val="19"/>
          <w:szCs w:val="19"/>
        </w:rPr>
        <w:t xml:space="preserve">It presents revenue in the income statement, and it discloses its revenue policy in the notes.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primary users   ·   measures   ·   recognizes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financial statements</w:t>
            </w:r>
          </w:p>
        </w:tc>
        <w:tc>
          <w:tcPr>
            <w:tcW w:type="pct" w:w="2400"/>
            <w:tcMar>
              <w:top w:type="dxa" w:w="50"/>
              <w:left w:type="dxa" w:w="110"/>
              <w:bottom w:type="dxa" w:w="50"/>
              <w:right w:type="dxa" w:w="110"/>
            </w:tcMar>
          </w:tcPr>
          <w:p>
            <w:pPr>
              <w:spacing w:before="26" w:after="26"/>
            </w:pPr>
            <w:r>
              <w:rPr>
                <w:color w:val="232733"/>
                <w:sz w:val="16"/>
                <w:szCs w:val="16"/>
              </w:rPr>
              <w:t xml:space="preserve">القوائم المالية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general-purpose financial statements</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القوائم المالية ذات الغرض العام</w:t>
            </w:r>
          </w:p>
        </w:tc>
      </w:tr>
      <w:tr>
        <w:tc>
          <w:tcPr>
            <w:tcW w:type="pct" w:w="2600"/>
            <w:tcMar>
              <w:top w:type="dxa" w:w="50"/>
              <w:left w:type="dxa" w:w="110"/>
              <w:bottom w:type="dxa" w:w="50"/>
              <w:right w:type="dxa" w:w="110"/>
            </w:tcMar>
          </w:tcPr>
          <w:p>
            <w:pPr>
              <w:spacing w:before="26" w:after="26"/>
            </w:pPr>
            <w:r>
              <w:rPr>
                <w:color w:val="232733"/>
                <w:sz w:val="16"/>
                <w:szCs w:val="16"/>
              </w:rPr>
              <w:t xml:space="preserve">primary users</w:t>
            </w:r>
          </w:p>
        </w:tc>
        <w:tc>
          <w:tcPr>
            <w:tcW w:type="pct" w:w="2400"/>
            <w:tcMar>
              <w:top w:type="dxa" w:w="50"/>
              <w:left w:type="dxa" w:w="110"/>
              <w:bottom w:type="dxa" w:w="50"/>
              <w:right w:type="dxa" w:w="110"/>
            </w:tcMar>
          </w:tcPr>
          <w:p>
            <w:pPr>
              <w:spacing w:before="26" w:after="26"/>
            </w:pPr>
            <w:r>
              <w:rPr>
                <w:color w:val="232733"/>
                <w:sz w:val="16"/>
                <w:szCs w:val="16"/>
              </w:rPr>
              <w:t xml:space="preserve">المستخدمون الرئيسيون</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relevance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الملاءمة</w:t>
            </w:r>
          </w:p>
        </w:tc>
      </w:tr>
      <w:tr>
        <w:tc>
          <w:tcPr>
            <w:tcW w:type="pct" w:w="2600"/>
            <w:tcMar>
              <w:top w:type="dxa" w:w="50"/>
              <w:left w:type="dxa" w:w="110"/>
              <w:bottom w:type="dxa" w:w="50"/>
              <w:right w:type="dxa" w:w="110"/>
            </w:tcMar>
          </w:tcPr>
          <w:p>
            <w:pPr>
              <w:spacing w:before="26" w:after="26"/>
            </w:pPr>
            <w:r>
              <w:rPr>
                <w:color w:val="232733"/>
                <w:sz w:val="16"/>
                <w:szCs w:val="16"/>
              </w:rPr>
              <w:t xml:space="preserve">faithful representation</w:t>
            </w:r>
          </w:p>
        </w:tc>
        <w:tc>
          <w:tcPr>
            <w:tcW w:type="pct" w:w="2400"/>
            <w:tcMar>
              <w:top w:type="dxa" w:w="50"/>
              <w:left w:type="dxa" w:w="110"/>
              <w:bottom w:type="dxa" w:w="50"/>
              <w:right w:type="dxa" w:w="110"/>
            </w:tcMar>
          </w:tcPr>
          <w:p>
            <w:pPr>
              <w:spacing w:before="26" w:after="26"/>
            </w:pPr>
            <w:r>
              <w:rPr>
                <w:color w:val="232733"/>
                <w:sz w:val="16"/>
                <w:szCs w:val="16"/>
              </w:rPr>
              <w:t xml:space="preserve">التمثيل الصادق</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materiality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الأهمية النسبية</w:t>
            </w:r>
          </w:p>
        </w:tc>
      </w:tr>
      <w:tr>
        <w:tc>
          <w:tcPr>
            <w:tcW w:type="pct" w:w="2600"/>
            <w:tcMar>
              <w:top w:type="dxa" w:w="50"/>
              <w:left w:type="dxa" w:w="110"/>
              <w:bottom w:type="dxa" w:w="50"/>
              <w:right w:type="dxa" w:w="110"/>
            </w:tcMar>
          </w:tcPr>
          <w:p>
            <w:pPr>
              <w:spacing w:before="26" w:after="26"/>
            </w:pPr>
            <w:r>
              <w:rPr>
                <w:color w:val="232733"/>
                <w:sz w:val="16"/>
                <w:szCs w:val="16"/>
              </w:rPr>
              <w:t xml:space="preserve">recognize</w:t>
            </w:r>
          </w:p>
        </w:tc>
        <w:tc>
          <w:tcPr>
            <w:tcW w:type="pct" w:w="2400"/>
            <w:tcMar>
              <w:top w:type="dxa" w:w="50"/>
              <w:left w:type="dxa" w:w="110"/>
              <w:bottom w:type="dxa" w:w="50"/>
              <w:right w:type="dxa" w:w="110"/>
            </w:tcMar>
          </w:tcPr>
          <w:p>
            <w:pPr>
              <w:spacing w:before="26" w:after="26"/>
            </w:pPr>
            <w:r>
              <w:rPr>
                <w:color w:val="232733"/>
                <w:sz w:val="16"/>
                <w:szCs w:val="16"/>
              </w:rPr>
              <w:t xml:space="preserve">يعترف (الاعتراف)</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disclose</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يُفصح (الإفصاح)</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1.1  Who uses financial statements, and why?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Reporting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summarize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simple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questions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reader</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balance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conceptual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potential</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fundamental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credit</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published</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confirmatory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Income statement, cash flows, balance sheet</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materiality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Lend, renew or stop a loan</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representation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Will the company pay its bills when due?</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complete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Is the company stable and profitable?</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understandability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Will the company continue to supply us?</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investors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Does the company follow the rules and pay its taxes?</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general-purpose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Internal management reports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decide the amount of the item</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financial</w:t>
            </w:r>
          </w:p>
        </w:tc>
        <w:tc>
          <w:tcPr>
            <w:tcW w:type="pct" w:w="2500"/>
            <w:tcMar>
              <w:top w:type="dxa" w:w="20"/>
              <w:left w:type="dxa" w:w="80"/>
              <w:bottom w:type="dxa" w:w="20"/>
              <w:right w:type="dxa" w:w="80"/>
            </w:tcMar>
          </w:tcPr>
          <w:p>
            <w:pPr>
              <w:spacing w:before="12" w:after="12"/>
            </w:pPr>
            <w:r>
              <w:rPr>
                <w:b/>
                <w:bCs/>
                <w:color w:val="8186EF"/>
                <w:sz w:val="16"/>
                <w:szCs w:val="16"/>
              </w:rPr>
              <w:t xml:space="preserve">37  </w:t>
            </w:r>
            <w:r>
              <w:rPr>
                <w:sz w:val="16"/>
                <w:szCs w:val="16"/>
              </w:rPr>
              <w:t xml:space="preserve">show the item on the face of a 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governments</w:t>
            </w:r>
          </w:p>
        </w:tc>
        <w:tc>
          <w:tcPr>
            <w:tcW w:type="pct" w:w="2500"/>
            <w:tcMar>
              <w:top w:type="dxa" w:w="20"/>
              <w:left w:type="dxa" w:w="80"/>
              <w:bottom w:type="dxa" w:w="20"/>
              <w:right w:type="dxa" w:w="80"/>
            </w:tcMar>
          </w:tcPr>
          <w:p>
            <w:pPr>
              <w:spacing w:before="12" w:after="12"/>
            </w:pPr>
            <w:r>
              <w:rPr>
                <w:b/>
                <w:bCs/>
                <w:color w:val="8186EF"/>
                <w:sz w:val="16"/>
                <w:szCs w:val="16"/>
              </w:rPr>
              <w:t xml:space="preserve">38  </w:t>
            </w:r>
            <w:r>
              <w:rPr>
                <w:sz w:val="16"/>
                <w:szCs w:val="16"/>
              </w:rPr>
              <w:t xml:space="preserve">recognizes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general-purpose</w:t>
            </w:r>
          </w:p>
        </w:tc>
        <w:tc>
          <w:tcPr>
            <w:tcW w:type="pct" w:w="2500"/>
            <w:tcMar>
              <w:top w:type="dxa" w:w="20"/>
              <w:left w:type="dxa" w:w="80"/>
              <w:bottom w:type="dxa" w:w="20"/>
              <w:right w:type="dxa" w:w="80"/>
            </w:tcMar>
          </w:tcPr>
          <w:p>
            <w:pPr>
              <w:spacing w:before="12" w:after="12"/>
            </w:pPr>
            <w:r>
              <w:rPr>
                <w:b/>
                <w:bCs/>
                <w:color w:val="8186EF"/>
                <w:sz w:val="16"/>
                <w:szCs w:val="16"/>
              </w:rPr>
              <w:t xml:space="preserve">39  </w:t>
            </w:r>
            <w:r>
              <w:rPr>
                <w:sz w:val="16"/>
                <w:szCs w:val="16"/>
              </w:rPr>
              <w:t xml:space="preserve">measures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information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company collects thousands of facts every day: sales, purchases, salaries and loans. Financial statements summarize these facts in a standard form for people outside the company. The four main statements are the balance sheet, the income statement, the statement of changes in equity and the statement of cash flows. Most companies prepare general-purpose financial statements. These are reports for many readers at the same time, not for one special reader. The U.S. conceptual framework names the most important readers. The primary users are existing and potential investors, lenders and other creditors. They give resources (money, goods or credit) to the company. They usually cannot ask the company for special reports, so they depend on the published statements.</w:t>
      </w:r>
    </w:p>
    <w:p>
      <w:pPr>
        <w:spacing w:before="20" w:after="20"/>
        <w:ind w:left="240" w:hanging="240"/>
      </w:pPr>
      <w:r>
        <w:rPr>
          <w:b/>
          <w:bCs/>
          <w:color w:val="353A7C"/>
          <w:sz w:val="15"/>
          <w:szCs w:val="15"/>
        </w:rPr>
        <w:t xml:space="preserve">Summary 2   </w:t>
      </w:r>
      <w:r>
        <w:rPr>
          <w:color w:val="6B7280"/>
          <w:sz w:val="15"/>
          <w:szCs w:val="15"/>
        </w:rPr>
        <w:t xml:space="preserve">Other groups also read financial statements: employees, customers, governments, tax authorities and the public. However, managers are not primary users of general-purpose statements, because they can get any internal information they need. Reporting for managers is management accounting, the subject of most of the CMA exam. What do all these users need? In simple terms, they ask three questions. What does the company have, and what does it owe? The balance sheet answers this. How did the company perform in the period? The income statement answers this. Where did cash come from, and where did it go? The statement of cash flows answers this. Users also want to judge stewardship: how well the managers used the owners' resources.</w:t>
      </w:r>
    </w:p>
    <w:p>
      <w:pPr>
        <w:spacing w:before="20" w:after="20"/>
        <w:ind w:left="240" w:hanging="240"/>
      </w:pPr>
      <w:r>
        <w:rPr>
          <w:b/>
          <w:bCs/>
          <w:color w:val="353A7C"/>
          <w:sz w:val="15"/>
          <w:szCs w:val="15"/>
        </w:rPr>
        <w:t xml:space="preserve">Summary 3   </w:t>
      </w:r>
      <w:r>
        <w:rPr>
          <w:color w:val="6B7280"/>
          <w:sz w:val="15"/>
          <w:szCs w:val="15"/>
        </w:rPr>
        <w:t xml:space="preserve">The conceptual framework lists the qualities of useful information. There are two fundamental qualities. Relevance means the information can make a difference to a decision. It helps users predict the future (predictive value) or check their past predictions (confirmatory value). Relevance includes materiality: an item is material if leaving it out or stating it wrongly could change users' decisions. Faithful representation means the information shows what it claims to show. It is complete, neutral and free from error. Four enhancing qualities make information even more useful: comparability, verifiability, timeliness and understandability. Finally, there is a cost constraint: the benefit of reporting information should be greater than its cost.</w:t>
      </w:r>
    </w:p>
    <w:p>
      <w:pPr>
        <w:spacing w:before="20" w:after="20"/>
        <w:ind w:left="240" w:hanging="240"/>
      </w:pPr>
      <w:r>
        <w:rPr>
          <w:b/>
          <w:bCs/>
          <w:color w:val="353A7C"/>
          <w:sz w:val="15"/>
          <w:szCs w:val="15"/>
        </w:rPr>
        <w:t xml:space="preserve">Summary 4   </w:t>
      </w:r>
      <w:r>
        <w:rPr>
          <w:color w:val="6B7280"/>
          <w:sz w:val="15"/>
          <w:szCs w:val="15"/>
        </w:rPr>
        <w:t xml:space="preserve">Primary users are investors, lenders and other creditors. Managers are users, but not primary users of general-purpose statements. Also remember: relevance and faithful representation are the two fundamental qualities. Comparability, verifiability, timeliness and understandability are only enhancing qualities.</w:t>
      </w:r>
    </w:p>
    <w:p>
      <w:pPr>
        <w:spacing w:before="20" w:after="20"/>
        <w:ind w:left="240" w:hanging="240"/>
      </w:pPr>
      <w:r>
        <w:rPr>
          <w:b/>
          <w:bCs/>
          <w:color w:val="353A7C"/>
          <w:sz w:val="15"/>
          <w:szCs w:val="15"/>
        </w:rPr>
        <w:t xml:space="preserve">Summary 5   </w:t>
      </w:r>
      <w:r>
        <w:rPr>
          <w:color w:val="6B7280"/>
          <w:sz w:val="15"/>
          <w:szCs w:val="15"/>
        </w:rPr>
        <w:t xml:space="preserve">Example: Orontes recognizes revenue when it delivers the goods. It measures the revenue at the invoice price. It presents revenue in the income statement, and it discloses its revenue policy in the notes.</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1.2  The building blocks: elements and the accounting equation</w:t>
            </w:r>
          </w:p>
          <w:p>
            <w:pPr>
              <w:spacing w:before="0" w:after="46"/>
            </w:pPr>
            <w:r>
              <w:rPr>
                <w:color w:val="E8EAF6"/>
                <w:sz w:val="16"/>
                <w:szCs w:val="16"/>
              </w:rPr>
              <w:t xml:space="preserve">Chapter 1 · section 1.2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Every amount in the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belongs to an element. </w:t>
      </w:r>
      <w:r>
        <w:rPr>
          <w:sz w:val="19"/>
          <w:szCs w:val="19"/>
        </w:rPr>
        <w:t xml:space="preserve">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conceptual framework defines ten elements. </w:t>
      </w:r>
      <w:r>
        <w:rPr>
          <w:sz w:val="19"/>
          <w:szCs w:val="19"/>
        </w:rPr>
        <w:t xml:space="preserve">Three of them describe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at one date. </w:t>
      </w:r>
      <w:r>
        <w:rPr>
          <w:sz w:val="19"/>
          <w:szCs w:val="19"/>
        </w:rPr>
        <w:t xml:space="preserve">An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is a present right of an entity to an economic benefit. </w:t>
      </w:r>
      <w:r>
        <w:rPr>
          <w:sz w:val="19"/>
          <w:szCs w:val="19"/>
        </w:rPr>
        <w:t xml:space="preserve">Examples: cash, accounts receivable,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and equipment.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a present obligation of an entity to transfer an economic benefit. </w:t>
      </w:r>
      <w:r>
        <w:rPr>
          <w:sz w:val="19"/>
          <w:szCs w:val="19"/>
        </w:rPr>
        <w:t xml:space="preserve">Examples: accounts payable, notes payable and wages payable.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is the residual interest in the assets after the liabilities are deducted. </w:t>
      </w:r>
      <w:r>
        <w:rPr>
          <w:sz w:val="19"/>
          <w:szCs w:val="19"/>
        </w:rPr>
        <w:t xml:space="preserve">The other elements describe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during a period. </w:t>
      </w:r>
      <w:r>
        <w:rPr>
          <w:sz w:val="19"/>
          <w:szCs w:val="19"/>
        </w:rPr>
        <w:t xml:space="preserve">Revenues and expenses come from the company's central, ongoing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When Orontes sells olive oil, it earns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t>
      </w:r>
      <w:r>
        <w:rPr>
          <w:sz w:val="19"/>
          <w:szCs w:val="19"/>
        </w:rPr>
        <w:t xml:space="preserve">When it pays plant workers, it has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t>
      </w:r>
      <w:r>
        <w:rPr>
          <w:sz w:val="19"/>
          <w:szCs w:val="19"/>
        </w:rPr>
        <w:t xml:space="preserve">Gains and losses come from peripheral or incidental events. </w:t>
      </w:r>
      <w:r>
        <w:rPr>
          <w:sz w:val="19"/>
          <w:szCs w:val="19"/>
        </w:rPr>
        <w:t xml:space="preserve">If Orontes sells an old delivery truck for more than its carrying amount, it has a gain.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asset   ·   inventory   ·   balance   ·   Equity   ·   expense   ·   revenue   ·   statements   ·   retained earnings   ·   FASB   ·   liability   ·   changes   ·   operations</w:t>
            </w:r>
          </w:p>
        </w:tc>
      </w:tr>
    </w:tbl>
    <w:p/>
    <w:p>
      <w:pPr>
        <w:spacing w:before="44" w:after="14"/>
      </w:pPr>
      <w:r>
        <w:rPr>
          <w:b/>
          <w:bCs/>
          <w:color w:val="353A7C"/>
          <w:sz w:val="18"/>
          <w:szCs w:val="18"/>
        </w:rPr>
        <w:t xml:space="preserve">Summary 2</w:t>
      </w:r>
      <w:r>
        <w:rPr>
          <w:color w:val="6B7280"/>
          <w:sz w:val="16"/>
          <w:szCs w:val="16"/>
        </w:rPr>
        <w:t xml:space="preserve">      gaps 12–19</w:t>
      </w:r>
    </w:p>
    <w:p>
      <w:pPr>
        <w:spacing w:before="20" w:after="20" w:line="360" w:lineRule="auto"/>
        <w:ind w:left="200"/>
      </w:pPr>
      <w:r>
        <w:rPr>
          <w:sz w:val="19"/>
          <w:szCs w:val="19"/>
        </w:rPr>
        <w:t xml:space="preserve">Investments by owners, such as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new shares,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equity. </w:t>
      </w:r>
      <w:r>
        <w:rPr>
          <w:sz w:val="19"/>
          <w:szCs w:val="19"/>
        </w:rPr>
        <w:t xml:space="preserve"/>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 owners, such as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decrease equity. </w:t>
      </w:r>
      <w:r>
        <w:rPr>
          <w:sz w:val="19"/>
          <w:szCs w:val="19"/>
        </w:rPr>
        <w:t xml:space="preserve"/>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income is the total change in equity from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other than owners. </w:t>
      </w:r>
      <w:r>
        <w:rPr>
          <w:sz w:val="19"/>
          <w:szCs w:val="19"/>
        </w:rPr>
        <w:t xml:space="preserve">The IFRS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Framework (2018) defines an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as a present economic resource controlled by the entity as a result of past events. </w:t>
      </w:r>
      <w:r>
        <w:rPr>
          <w:sz w:val="19"/>
          <w:szCs w:val="19"/>
        </w:rPr>
        <w:t xml:space="preserve">The idea is the same as in U.S. GAAP; only the wording is different. </w:t>
      </w:r>
      <w:r>
        <w:rPr>
          <w:sz w:val="19"/>
          <w:szCs w:val="19"/>
        </w:rPr>
        <w:t xml:space="preserve">IFRS also uses the word income for both revenue and gains, while U.S. GAAP keeps revenues and gains apart. </w:t>
      </w:r>
      <w:r>
        <w:rPr>
          <w:sz w:val="19"/>
          <w:szCs w:val="19"/>
        </w:rPr>
        <w:t xml:space="preserve">You may also know these IFRS names: statement of financial position (balance sheet), share capital (common stock) and share premium (additional paid-in capital).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buying   ·   sources   ·   accounting equation   ·   Distributions   ·   Conceptual   ·   asset   ·   dividends   ·   Comprehensive   ·   increase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asset</w:t>
            </w:r>
          </w:p>
        </w:tc>
        <w:tc>
          <w:tcPr>
            <w:tcW w:type="pct" w:w="2600"/>
            <w:tcMar>
              <w:top w:type="dxa" w:w="50"/>
              <w:left w:type="dxa" w:w="110"/>
              <w:bottom w:type="dxa" w:w="50"/>
              <w:right w:type="dxa" w:w="110"/>
            </w:tcMar>
          </w:tcPr>
          <w:p>
            <w:pPr>
              <w:spacing w:before="26" w:after="26"/>
            </w:pPr>
            <w:r>
              <w:rPr>
                <w:color w:val="232733"/>
                <w:sz w:val="16"/>
                <w:szCs w:val="16"/>
              </w:rPr>
              <w:t xml:space="preserve">أصل (أصول)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liability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التزام (التزامات)</w:t>
            </w:r>
          </w:p>
        </w:tc>
      </w:tr>
      <w:tr>
        <w:tc>
          <w:tcPr>
            <w:tcW w:type="pct" w:w="2400"/>
            <w:tcMar>
              <w:top w:type="dxa" w:w="50"/>
              <w:left w:type="dxa" w:w="110"/>
              <w:bottom w:type="dxa" w:w="50"/>
              <w:right w:type="dxa" w:w="110"/>
            </w:tcMar>
          </w:tcPr>
          <w:p>
            <w:pPr>
              <w:spacing w:before="26" w:after="26"/>
            </w:pPr>
            <w:r>
              <w:rPr>
                <w:color w:val="232733"/>
                <w:sz w:val="16"/>
                <w:szCs w:val="16"/>
              </w:rPr>
              <w:t xml:space="preserve">equity</w:t>
            </w:r>
          </w:p>
        </w:tc>
        <w:tc>
          <w:tcPr>
            <w:tcW w:type="pct" w:w="2600"/>
            <w:tcMar>
              <w:top w:type="dxa" w:w="50"/>
              <w:left w:type="dxa" w:w="110"/>
              <w:bottom w:type="dxa" w:w="50"/>
              <w:right w:type="dxa" w:w="110"/>
            </w:tcMar>
          </w:tcPr>
          <w:p>
            <w:pPr>
              <w:spacing w:before="26" w:after="26"/>
            </w:pPr>
            <w:r>
              <w:rPr>
                <w:color w:val="232733"/>
                <w:sz w:val="16"/>
                <w:szCs w:val="16"/>
              </w:rPr>
              <w:t xml:space="preserve">حقوق الملكية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revenue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إيراد (إيرادات)</w:t>
            </w:r>
          </w:p>
        </w:tc>
      </w:tr>
      <w:tr>
        <w:tc>
          <w:tcPr>
            <w:tcW w:type="pct" w:w="2400"/>
            <w:tcMar>
              <w:top w:type="dxa" w:w="50"/>
              <w:left w:type="dxa" w:w="110"/>
              <w:bottom w:type="dxa" w:w="50"/>
              <w:right w:type="dxa" w:w="110"/>
            </w:tcMar>
          </w:tcPr>
          <w:p>
            <w:pPr>
              <w:spacing w:before="26" w:after="26"/>
            </w:pPr>
            <w:r>
              <w:rPr>
                <w:color w:val="232733"/>
                <w:sz w:val="16"/>
                <w:szCs w:val="16"/>
              </w:rPr>
              <w:t xml:space="preserve">expense</w:t>
            </w:r>
          </w:p>
        </w:tc>
        <w:tc>
          <w:tcPr>
            <w:tcW w:type="pct" w:w="2600"/>
            <w:tcMar>
              <w:top w:type="dxa" w:w="50"/>
              <w:left w:type="dxa" w:w="110"/>
              <w:bottom w:type="dxa" w:w="50"/>
              <w:right w:type="dxa" w:w="110"/>
            </w:tcMar>
          </w:tcPr>
          <w:p>
            <w:pPr>
              <w:spacing w:before="26" w:after="26"/>
            </w:pPr>
            <w:r>
              <w:rPr>
                <w:color w:val="232733"/>
                <w:sz w:val="16"/>
                <w:szCs w:val="16"/>
              </w:rPr>
              <w:t xml:space="preserve">مصروف (مصروفات)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gain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مكسب (مكاسب)</w:t>
            </w:r>
          </w:p>
        </w:tc>
      </w:tr>
      <w:tr>
        <w:tc>
          <w:tcPr>
            <w:tcW w:type="pct" w:w="2400"/>
            <w:tcMar>
              <w:top w:type="dxa" w:w="50"/>
              <w:left w:type="dxa" w:w="110"/>
              <w:bottom w:type="dxa" w:w="50"/>
              <w:right w:type="dxa" w:w="110"/>
            </w:tcMar>
          </w:tcPr>
          <w:p>
            <w:pPr>
              <w:spacing w:before="26" w:after="26"/>
            </w:pPr>
            <w:r>
              <w:rPr>
                <w:color w:val="232733"/>
                <w:sz w:val="16"/>
                <w:szCs w:val="16"/>
              </w:rPr>
              <w:t xml:space="preserve">loss</w:t>
            </w:r>
          </w:p>
        </w:tc>
        <w:tc>
          <w:tcPr>
            <w:tcW w:type="pct" w:w="2600"/>
            <w:tcMar>
              <w:top w:type="dxa" w:w="50"/>
              <w:left w:type="dxa" w:w="110"/>
              <w:bottom w:type="dxa" w:w="50"/>
              <w:right w:type="dxa" w:w="110"/>
            </w:tcMar>
          </w:tcPr>
          <w:p>
            <w:pPr>
              <w:spacing w:before="26" w:after="26"/>
            </w:pPr>
            <w:r>
              <w:rPr>
                <w:color w:val="232733"/>
                <w:sz w:val="16"/>
                <w:szCs w:val="16"/>
              </w:rPr>
              <w:t xml:space="preserve">خسارة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net income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صافي الدخل</w:t>
            </w:r>
          </w:p>
        </w:tc>
      </w:tr>
      <w:tr>
        <w:tc>
          <w:tcPr>
            <w:tcW w:type="pct" w:w="2400"/>
            <w:tcMar>
              <w:top w:type="dxa" w:w="50"/>
              <w:left w:type="dxa" w:w="110"/>
              <w:bottom w:type="dxa" w:w="50"/>
              <w:right w:type="dxa" w:w="110"/>
            </w:tcMar>
          </w:tcPr>
          <w:p>
            <w:pPr>
              <w:spacing w:before="26" w:after="26"/>
            </w:pPr>
            <w:r>
              <w:rPr>
                <w:color w:val="232733"/>
                <w:sz w:val="16"/>
                <w:szCs w:val="16"/>
              </w:rPr>
              <w:t xml:space="preserve">retained earnings</w:t>
            </w:r>
          </w:p>
        </w:tc>
        <w:tc>
          <w:tcPr>
            <w:tcW w:type="pct" w:w="2600"/>
            <w:tcMar>
              <w:top w:type="dxa" w:w="50"/>
              <w:left w:type="dxa" w:w="110"/>
              <w:bottom w:type="dxa" w:w="50"/>
              <w:right w:type="dxa" w:w="110"/>
            </w:tcMar>
          </w:tcPr>
          <w:p>
            <w:pPr>
              <w:spacing w:before="26" w:after="26"/>
            </w:pPr>
            <w:r>
              <w:rPr>
                <w:color w:val="232733"/>
                <w:sz w:val="16"/>
                <w:szCs w:val="16"/>
              </w:rPr>
              <w:t xml:space="preserve">الأرباح المحتجزة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common stock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الأسهم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additional paid-in capital</w:t>
            </w:r>
          </w:p>
        </w:tc>
        <w:tc>
          <w:tcPr>
            <w:tcW w:type="pct" w:w="2600"/>
            <w:tcMar>
              <w:top w:type="dxa" w:w="50"/>
              <w:left w:type="dxa" w:w="110"/>
              <w:bottom w:type="dxa" w:w="50"/>
              <w:right w:type="dxa" w:w="110"/>
            </w:tcMar>
          </w:tcPr>
          <w:p>
            <w:pPr>
              <w:spacing w:before="26" w:after="26"/>
            </w:pPr>
            <w:r>
              <w:rPr>
                <w:color w:val="232733"/>
                <w:sz w:val="16"/>
                <w:szCs w:val="16"/>
              </w:rPr>
              <w:t xml:space="preserve">علاوة إصدار الأسهم (رأس المال الإضافي المدفوع)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par value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القيمة الاسمية</w:t>
            </w:r>
          </w:p>
        </w:tc>
      </w:tr>
      <w:tr>
        <w:tc>
          <w:tcPr>
            <w:tcW w:type="pct" w:w="2400"/>
            <w:tcMar>
              <w:top w:type="dxa" w:w="50"/>
              <w:left w:type="dxa" w:w="110"/>
              <w:bottom w:type="dxa" w:w="50"/>
              <w:right w:type="dxa" w:w="110"/>
            </w:tcMar>
          </w:tcPr>
          <w:p>
            <w:pPr>
              <w:spacing w:before="26" w:after="26"/>
            </w:pPr>
            <w:r>
              <w:rPr>
                <w:color w:val="232733"/>
                <w:sz w:val="16"/>
                <w:szCs w:val="16"/>
              </w:rPr>
              <w:t xml:space="preserve">dividend</w:t>
            </w:r>
          </w:p>
        </w:tc>
        <w:tc>
          <w:tcPr>
            <w:tcW w:type="pct" w:w="2600"/>
            <w:tcMar>
              <w:top w:type="dxa" w:w="50"/>
              <w:left w:type="dxa" w:w="110"/>
              <w:bottom w:type="dxa" w:w="50"/>
              <w:right w:type="dxa" w:w="110"/>
            </w:tcMar>
          </w:tcPr>
          <w:p>
            <w:pPr>
              <w:spacing w:before="26" w:after="26"/>
            </w:pPr>
            <w:r>
              <w:rPr>
                <w:color w:val="232733"/>
                <w:sz w:val="16"/>
                <w:szCs w:val="16"/>
              </w:rPr>
              <w:t xml:space="preserve">توزيعات الأرباح</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equation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المعادلة المحاسبية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1.2  The building blocks: elements and the accounting equation</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FASB</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increase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asset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Distributions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liability</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Comprehensive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Equity</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sources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Conceptual</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operations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asset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revenue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Every amount in the financial statements belongs to an element. The FASB conceptual framework defines ten elements. Three of them describe the balance sheet at one date. An asset is a present right of an entity to an economic benefit. Examples: cash, accounts receivable, inventory and equipment. A liability is a present obligation of an entity to transfer an economic benefit. Examples: accounts payable, notes payable and wages payable. Equity is the residual interest in the assets after the liabilities are deducted. The other elements describe changes during a period. Revenues and expenses come from the company's central, ongoing operations. When Orontes sells olive oil, it earns revenue. When it pays plant workers, it has an expense. Gains and losses come from peripheral or incidental events. If Orontes sells an old delivery truck for more than its carrying amount, it has a gain.</w:t>
      </w:r>
    </w:p>
    <w:p>
      <w:pPr>
        <w:spacing w:before="20" w:after="20"/>
        <w:ind w:left="240" w:hanging="240"/>
      </w:pPr>
      <w:r>
        <w:rPr>
          <w:b/>
          <w:bCs/>
          <w:color w:val="353A7C"/>
          <w:sz w:val="15"/>
          <w:szCs w:val="15"/>
        </w:rPr>
        <w:t xml:space="preserve">Summary 2   </w:t>
      </w:r>
      <w:r>
        <w:rPr>
          <w:color w:val="6B7280"/>
          <w:sz w:val="15"/>
          <w:szCs w:val="15"/>
        </w:rPr>
        <w:t xml:space="preserve">Investments by owners, such as buying new shares, increase equity. Distributions to owners, such as dividends, decrease equity. Comprehensive income is the total change in equity from sources other than owners. The IFRS Conceptual Framework (2018) defines an asset as a present economic resource controlled by the entity as a result of past events. The idea is the same as in U.S. GAAP; only the wording is different. IFRS also uses the word income for both revenue and gains, while U.S. GAAP keeps revenues and gains apart. You may also know these IFRS names: statement of financial position (balance sheet), share capital (common stock) and share premium (additional paid-in capital).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1.3  Double entry: debits and credits</w:t>
            </w:r>
          </w:p>
          <w:p>
            <w:pPr>
              <w:spacing w:before="0" w:after="46"/>
            </w:pPr>
            <w:r>
              <w:rPr>
                <w:color w:val="E8EAF6"/>
                <w:sz w:val="16"/>
                <w:szCs w:val="16"/>
              </w:rPr>
              <w:t xml:space="preserve">Chapter 1 · section 1.3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Accountants record every transaction with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system. </w:t>
      </w:r>
      <w:r>
        <w:rPr>
          <w:sz w:val="19"/>
          <w:szCs w:val="19"/>
        </w:rPr>
        <w:t xml:space="preserve">Each transaction affects at least two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total debits always equal total credits. </w:t>
      </w:r>
      <w:r>
        <w:rPr>
          <w:sz w:val="19"/>
          <w:szCs w:val="19"/>
        </w:rPr>
        <w:t xml:space="preserve">This is why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equation always balances. </w:t>
      </w:r>
      <w:r>
        <w:rPr>
          <w:sz w:val="19"/>
          <w:szCs w:val="19"/>
        </w:rPr>
        <w:t xml:space="preserve">A contra account reduces a related account, so it has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normal balance. </w:t>
      </w:r>
      <w:r>
        <w:rPr>
          <w:sz w:val="19"/>
          <w:szCs w:val="19"/>
        </w:rPr>
        <w:t xml:space="preserve">For example, accumulated depreciation reduces equipment. </w:t>
      </w:r>
      <w:r>
        <w:rPr>
          <w:sz w:val="19"/>
          <w:szCs w:val="19"/>
        </w:rPr>
        <w:t xml:space="preserve">It has a credit balance, but it belongs with the assets.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opposite   ·   double-entry   ·   accounting   ·   T-account   ·   accounts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January</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Orontes Foods, Inc. makes olive oil and tahini in Amman, Jordan, and frozen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 Dubai. </w:t>
      </w:r>
      <w:r>
        <w:rPr>
          <w:sz w:val="19"/>
          <w:szCs w:val="19"/>
        </w:rPr>
        <w:t xml:space="preserve">Its shares are listed on a U.S. stock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it reports under U.S. GAAP. </w:t>
      </w:r>
      <w:r>
        <w:rPr>
          <w:sz w:val="19"/>
          <w:szCs w:val="19"/>
        </w:rPr>
        <w:t xml:space="preserve">Here are its journal entries for six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 January 2025.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pastries   ·   exchange   ·   transactions   ·   accounts receivable</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138"/>
        <w:gridCol w:w="1138"/>
        <w:gridCol w:w="5050"/>
        <w:gridCol w:w="1138"/>
        <w:gridCol w:w="1138"/>
      </w:tblGrid>
      <w:tr>
        <w:tc>
          <w:tcPr>
            <w:tcW w:type="pct" w:w="5000"/>
            <w:gridSpan w:val="5"/>
            <w:shd w:fill="353A7C" w:val="clear"/>
            <w:tcMar>
              <w:top w:type="dxa" w:w="60"/>
              <w:left w:type="dxa" w:w="120"/>
              <w:bottom w:type="dxa" w:w="60"/>
              <w:right w:type="dxa" w:w="120"/>
            </w:tcMar>
          </w:tcPr>
          <w:p>
            <w:pPr>
              <w:spacing w:before="40" w:after="40"/>
            </w:pPr>
            <w:r>
              <w:rPr>
                <w:b/>
                <w:bCs/>
                <w:color w:val="FFFFFF"/>
                <w:sz w:val="17"/>
                <w:szCs w:val="17"/>
              </w:rPr>
              <w:t xml:space="preserve">Orontes Foods in January</w:t>
            </w:r>
          </w:p>
        </w:tc>
      </w:tr>
      <w:tr>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Date</w:t>
            </w:r>
          </w:p>
        </w:tc>
        <w:tc>
          <w:tcPr>
            <w:tcW w:type="pct" w:w="2630"/>
            <w:shd w:fill="353A7C" w:val="clear"/>
            <w:tcMar>
              <w:top w:type="dxa" w:w="50"/>
              <w:left w:type="dxa" w:w="110"/>
              <w:bottom w:type="dxa" w:w="50"/>
              <w:right w:type="dxa" w:w="110"/>
            </w:tcMar>
          </w:tcPr>
          <w:p>
            <w:pPr>
              <w:spacing w:before="30" w:after="30"/>
            </w:pPr>
            <w:r>
              <w:rPr>
                <w:b/>
                <w:bCs/>
                <w:color w:val="FFFFFF"/>
                <w:sz w:val="15"/>
                <w:szCs w:val="15"/>
              </w:rPr>
              <w:t xml:space="preserve">Account and explanation</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592"/>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592"/>
            <w:tcMar>
              <w:top w:type="dxa" w:w="50"/>
              <w:left w:type="dxa" w:w="110"/>
              <w:bottom w:type="dxa" w:w="50"/>
              <w:right w:type="dxa" w:w="110"/>
            </w:tcMar>
          </w:tcPr>
          <w:p>
            <w:pPr>
              <w:spacing w:before="28" w:after="28"/>
            </w:pPr>
            <w:r>
              <w:rPr>
                <w:sz w:val="15"/>
                <w:szCs w:val="15"/>
              </w:rPr>
              <w:t xml:space="preserve">1</w:t>
            </w:r>
          </w:p>
        </w:tc>
        <w:tc>
          <w:tcPr>
            <w:tcW w:type="pct" w:w="592"/>
            <w:tcMar>
              <w:top w:type="dxa" w:w="50"/>
              <w:left w:type="dxa" w:w="110"/>
              <w:bottom w:type="dxa" w:w="50"/>
              <w:right w:type="dxa" w:w="110"/>
            </w:tcMar>
          </w:tcPr>
          <w:p>
            <w:pPr>
              <w:spacing w:before="28" w:after="28"/>
            </w:pPr>
            <w:r>
              <w:rPr>
                <w:sz w:val="15"/>
                <w:szCs w:val="15"/>
              </w:rPr>
              <w:t xml:space="preserve">Jan 2</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1,500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1,400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Issued 100,000 new shares of $1 par common stock for $15 per share, in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2</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800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Notes payable (long-term)</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800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Borrowed cash from Levant Commerce Bank on a 5-year note at 6% interest.</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3</w:t>
            </w:r>
          </w:p>
        </w:tc>
        <w:tc>
          <w:tcPr>
            <w:tcW w:type="pct" w:w="592"/>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92"/>
            <w:shd w:fill="FBFAF6" w:val="clear"/>
            <w:tcMar>
              <w:top w:type="dxa" w:w="50"/>
              <w:left w:type="dxa" w:w="110"/>
              <w:bottom w:type="dxa" w:w="50"/>
              <w:right w:type="dxa" w:w="110"/>
            </w:tcMar>
          </w:tcPr>
          <w:p>
            <w:pPr>
              <w:spacing w:before="28" w:after="28"/>
            </w:pPr>
            <w:r>
              <w:rPr>
                <w:sz w:val="15"/>
                <w:szCs w:val="15"/>
              </w:rPr>
              <w:t xml:space="preserve">1,200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1,200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Bought a new bottling line for the Amman plant and paid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4</w:t>
            </w:r>
          </w:p>
        </w:tc>
        <w:tc>
          <w:tcPr>
            <w:tcW w:type="pct" w:w="592"/>
            <w:tcMar>
              <w:top w:type="dxa" w:w="50"/>
              <w:left w:type="dxa" w:w="110"/>
              <w:bottom w:type="dxa" w:w="50"/>
              <w:right w:type="dxa" w:w="110"/>
            </w:tcMar>
          </w:tcPr>
          <w:p>
            <w:pPr>
              <w:spacing w:before="28" w:after="28"/>
            </w:pPr>
            <w:r>
              <w:rPr>
                <w:sz w:val="15"/>
                <w:szCs w:val="15"/>
              </w:rPr>
              <w:t xml:space="preserve">Jan 18</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92"/>
            <w:tcMar>
              <w:top w:type="dxa" w:w="50"/>
              <w:left w:type="dxa" w:w="110"/>
              <w:bottom w:type="dxa" w:w="50"/>
              <w:right w:type="dxa" w:w="110"/>
            </w:tcMar>
          </w:tcPr>
          <w:p>
            <w:pPr>
              <w:spacing w:before="28" w:after="28"/>
            </w:pPr>
            <w:r>
              <w:rPr>
                <w:sz w:val="15"/>
                <w:szCs w:val="15"/>
              </w:rPr>
              <w:t xml:space="preserve">300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300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92"/>
            <w:tcMar>
              <w:top w:type="dxa" w:w="50"/>
              <w:left w:type="dxa" w:w="110"/>
              <w:bottom w:type="dxa" w:w="50"/>
              <w:right w:type="dxa" w:w="110"/>
            </w:tcMar>
          </w:tcPr>
          <w:p>
            <w:pPr>
              <w:spacing w:before="28" w:after="28"/>
            </w:pPr>
            <w:r>
              <w:rPr>
                <w:sz w:val="15"/>
                <w:szCs w:val="15"/>
              </w:rPr>
              <w:t xml:space="preserve">180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Inventory</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180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Sold olive oil to GreenBasket Supermarkets on credit. The goods had cost Orontes less than the selling price.</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5</w:t>
            </w:r>
          </w:p>
        </w:tc>
        <w:tc>
          <w:tcPr>
            <w:tcW w:type="pct" w:w="592"/>
            <w:shd w:fill="FBFAF6" w:val="clear"/>
            <w:tcMar>
              <w:top w:type="dxa" w:w="50"/>
              <w:left w:type="dxa" w:w="110"/>
              <w:bottom w:type="dxa" w:w="50"/>
              <w:right w:type="dxa" w:w="110"/>
            </w:tcMar>
          </w:tcPr>
          <w:p>
            <w:pPr>
              <w:spacing w:before="28" w:after="28"/>
            </w:pPr>
            <w:r>
              <w:rPr>
                <w:sz w:val="15"/>
                <w:szCs w:val="15"/>
              </w:rPr>
              <w:t xml:space="preserve">Jan 31</w:t>
            </w:r>
          </w:p>
        </w:tc>
        <w:tc>
          <w:tcPr>
            <w:tcW w:type="pct" w:w="263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592"/>
            <w:shd w:fill="FBFAF6" w:val="clear"/>
            <w:tcMar>
              <w:top w:type="dxa" w:w="50"/>
              <w:left w:type="dxa" w:w="110"/>
              <w:bottom w:type="dxa" w:w="50"/>
              <w:right w:type="dxa" w:w="110"/>
            </w:tcMar>
          </w:tcPr>
          <w:p>
            <w:pPr>
              <w:spacing w:before="28" w:after="28"/>
            </w:pPr>
            <w:r>
              <w:rPr>
                <w:sz w:val="15"/>
                <w:szCs w:val="15"/>
              </w:rPr>
              <w:t xml:space="preserve">40</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Cash</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40</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BFAF6" w:val="clear"/>
            <w:tcMar>
              <w:top w:type="dxa" w:w="50"/>
              <w:left w:type="dxa" w:w="110"/>
              <w:bottom w:type="dxa" w:w="50"/>
              <w:right w:type="dxa" w:w="110"/>
            </w:tcMar>
          </w:tcPr>
          <w:p>
            <w:pPr>
              <w:spacing w:before="28" w:after="28"/>
            </w:pPr>
            <w:r>
              <w:rPr>
                <w:sz w:val="15"/>
                <w:szCs w:val="15"/>
              </w:rPr>
              <w:t xml:space="preserve">Paid January wages to plant workers in cash.</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r>
      <w:tr>
        <w:tc>
          <w:tcPr>
            <w:tcW w:type="pct" w:w="592"/>
            <w:tcMar>
              <w:top w:type="dxa" w:w="50"/>
              <w:left w:type="dxa" w:w="110"/>
              <w:bottom w:type="dxa" w:w="50"/>
              <w:right w:type="dxa" w:w="110"/>
            </w:tcMar>
          </w:tcPr>
          <w:p>
            <w:pPr>
              <w:spacing w:before="28" w:after="28"/>
            </w:pPr>
            <w:r>
              <w:rPr>
                <w:sz w:val="15"/>
                <w:szCs w:val="15"/>
              </w:rPr>
              <w:t xml:space="preserve">6</w:t>
            </w:r>
          </w:p>
        </w:tc>
        <w:tc>
          <w:tcPr>
            <w:tcW w:type="pct" w:w="592"/>
            <w:tcMar>
              <w:top w:type="dxa" w:w="50"/>
              <w:left w:type="dxa" w:w="110"/>
              <w:bottom w:type="dxa" w:w="50"/>
              <w:right w:type="dxa" w:w="110"/>
            </w:tcMar>
          </w:tcPr>
          <w:p>
            <w:pPr>
              <w:spacing w:before="28" w:after="28"/>
            </w:pPr>
            <w:r>
              <w:rPr>
                <w:sz w:val="15"/>
                <w:szCs w:val="15"/>
              </w:rPr>
              <w:t xml:space="preserve">Jan 31</w:t>
            </w:r>
          </w:p>
        </w:tc>
        <w:tc>
          <w:tcPr>
            <w:tcW w:type="pct" w:w="2630"/>
            <w:tcMar>
              <w:top w:type="dxa" w:w="50"/>
              <w:left w:type="dxa" w:w="110"/>
              <w:bottom w:type="dxa" w:w="50"/>
              <w:right w:type="dxa" w:w="110"/>
            </w:tcMar>
          </w:tcPr>
          <w:p>
            <w:pPr>
              <w:spacing w:before="28" w:after="28"/>
            </w:pPr>
            <w:r>
              <w:rPr>
                <w:sz w:val="15"/>
                <w:szCs w:val="15"/>
              </w:rPr>
              <w:t xml:space="preserve">Retained earnings (dividends declared)</w:t>
            </w:r>
          </w:p>
        </w:tc>
        <w:tc>
          <w:tcPr>
            <w:tcW w:type="pct" w:w="592"/>
            <w:tcMar>
              <w:top w:type="dxa" w:w="50"/>
              <w:left w:type="dxa" w:w="110"/>
              <w:bottom w:type="dxa" w:w="50"/>
              <w:right w:type="dxa" w:w="110"/>
            </w:tcMar>
          </w:tcPr>
          <w:p>
            <w:pPr>
              <w:spacing w:before="28" w:after="28"/>
            </w:pPr>
            <w:r>
              <w:rPr>
                <w:sz w:val="15"/>
                <w:szCs w:val="15"/>
              </w:rPr>
              <w:t xml:space="preserve">50</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50</w:t>
            </w:r>
          </w:p>
        </w:tc>
      </w:tr>
      <w:tr>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2630"/>
            <w:tcMar>
              <w:top w:type="dxa" w:w="50"/>
              <w:left w:type="dxa" w:w="110"/>
              <w:bottom w:type="dxa" w:w="50"/>
              <w:right w:type="dxa" w:w="110"/>
            </w:tcMar>
          </w:tcPr>
          <w:p>
            <w:pPr>
              <w:spacing w:before="28" w:after="28"/>
            </w:pPr>
            <w:r>
              <w:rPr>
                <w:sz w:val="15"/>
                <w:szCs w:val="15"/>
              </w:rPr>
              <w:t xml:space="preserve">The board declared a cash dividend, payable on February 15.</w:t>
            </w:r>
          </w:p>
        </w:tc>
        <w:tc>
          <w:tcPr>
            <w:tcW w:type="pct" w:w="592"/>
            <w:tcMar>
              <w:top w:type="dxa" w:w="50"/>
              <w:left w:type="dxa" w:w="110"/>
              <w:bottom w:type="dxa" w:w="50"/>
              <w:right w:type="dxa" w:w="110"/>
            </w:tcMar>
          </w:tcPr>
          <w:p>
            <w:pPr>
              <w:spacing w:before="28" w:after="28"/>
            </w:pPr>
            <w:r>
              <w:rPr>
                <w:sz w:val="15"/>
                <w:szCs w:val="15"/>
              </w:rPr>
              <w:t xml:space="preserve"> </w:t>
            </w:r>
          </w:p>
        </w:tc>
        <w:tc>
          <w:tcPr>
            <w:tcW w:type="pct" w:w="592"/>
            <w:tcMar>
              <w:top w:type="dxa" w:w="50"/>
              <w:left w:type="dxa" w:w="110"/>
              <w:bottom w:type="dxa" w:w="50"/>
              <w:right w:type="dxa" w:w="110"/>
            </w:tcMar>
          </w:tcPr>
          <w:p>
            <w:pPr>
              <w:spacing w:before="28" w:after="28"/>
            </w:pPr>
            <w:r>
              <w:rPr>
                <w:sz w:val="15"/>
                <w:szCs w:val="15"/>
              </w:rPr>
              <w:t xml:space="preserve"> </w:t>
            </w:r>
          </w:p>
        </w:tc>
      </w:tr>
      <w:tr>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592"/>
            <w:shd w:fill="FBFAF6" w:val="clear"/>
            <w:tcMar>
              <w:top w:type="dxa" w:w="50"/>
              <w:left w:type="dxa" w:w="110"/>
              <w:bottom w:type="dxa" w:w="50"/>
              <w:right w:type="dxa" w:w="110"/>
            </w:tcMar>
          </w:tcPr>
          <w:p>
            <w:pPr>
              <w:spacing w:before="28" w:after="28"/>
            </w:pPr>
            <w:r>
              <w:rPr>
                <w:sz w:val="15"/>
                <w:szCs w:val="15"/>
              </w:rPr>
              <w:t xml:space="preserve"> </w:t>
            </w:r>
          </w:p>
        </w:tc>
        <w:tc>
          <w:tcPr>
            <w:tcW w:type="pct" w:w="263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c>
          <w:tcPr>
            <w:tcW w:type="pct" w:w="592"/>
            <w:shd w:fill="FBFAF6" w:val="clear"/>
            <w:tcMar>
              <w:top w:type="dxa" w:w="50"/>
              <w:left w:type="dxa" w:w="110"/>
              <w:bottom w:type="dxa" w:w="50"/>
              <w:right w:type="dxa" w:w="110"/>
            </w:tcMar>
          </w:tcPr>
          <w:p>
            <w:pPr>
              <w:spacing w:before="28" w:after="28"/>
            </w:pPr>
            <w:r>
              <w:rPr>
                <w:sz w:val="15"/>
                <w:szCs w:val="15"/>
              </w:rPr>
              <w:t xml:space="preserve">4,070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receivable   ·   Additional paid-in capital   ·   Cost of goods sold   ·   Inventory   ·   Totals   ·   Dividends payable   ·   Jan 10   ·   Equipment   ·   Jan 5</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16–21</w:t>
      </w:r>
    </w:p>
    <w:p>
      <w:pPr>
        <w:spacing w:before="20" w:after="20" w:line="360" w:lineRule="auto"/>
        <w:ind w:left="200"/>
      </w:pPr>
      <w:r>
        <w:rPr>
          <w:sz w:val="19"/>
          <w:szCs w:val="19"/>
        </w:rPr>
        <w:t xml:space="preserve">Three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matter for the exam. </w:t>
      </w:r>
      <w:r>
        <w:rPr>
          <w:sz w:val="19"/>
          <w:szCs w:val="19"/>
        </w:rPr>
        <w:t xml:space="preserve">Rows 1 and 2 bring in cash of 2,300 in total, but no revenue. </w:t>
      </w:r>
      <w:r>
        <w:rPr>
          <w:sz w:val="19"/>
          <w:szCs w:val="19"/>
        </w:rPr>
        <w:t xml:space="preserve">Money from owners and lenders is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Row 4 creates revenue of 300 but no cash. </w:t>
      </w:r>
      <w:r>
        <w:rPr>
          <w:sz w:val="19"/>
          <w:szCs w:val="19"/>
        </w:rPr>
        <w:t xml:space="preserve">Orontes records revenue when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the goods, not when the customer pays. </w:t>
      </w:r>
      <w:r>
        <w:rPr>
          <w:sz w:val="19"/>
          <w:szCs w:val="19"/>
        </w:rPr>
        <w:t xml:space="preserve">Row 6 reduces retained earnings by 50 and creates a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cash moves until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net income does not change. </w:t>
      </w:r>
      <w:r>
        <w:rPr>
          <w:sz w:val="19"/>
          <w:szCs w:val="19"/>
        </w:rPr>
        <w:t xml:space="preserve">The totals prove the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Assets rose by 2,380, liabilities rose by 850 and equity rose by 1,530.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equation   ·   liability   ·   delivers   ·   February   ·   points   ·   accumulated depreciation   ·   financing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Three classic mistakes</w:t>
            </w:r>
          </w:p>
        </w:tc>
      </w:tr>
    </w:tbl>
    <w:p/>
    <w:p>
      <w:pPr>
        <w:spacing w:before="44" w:after="14"/>
      </w:pPr>
      <w:r>
        <w:rPr>
          <w:b/>
          <w:bCs/>
          <w:color w:val="353A7C"/>
          <w:sz w:val="18"/>
          <w:szCs w:val="18"/>
        </w:rPr>
        <w:t xml:space="preserve">Summary 4</w:t>
      </w:r>
      <w:r>
        <w:rPr>
          <w:color w:val="6B7280"/>
          <w:sz w:val="16"/>
          <w:szCs w:val="16"/>
        </w:rPr>
        <w:t xml:space="preserve">      gaps 22–24</w:t>
      </w:r>
    </w:p>
    <w:p>
      <w:pPr>
        <w:spacing w:before="20" w:after="20" w:line="360" w:lineRule="auto"/>
        <w:ind w:left="200"/>
      </w:pPr>
      <w:r>
        <w:rPr>
          <w:sz w:val="19"/>
          <w:szCs w:val="19"/>
        </w:rPr>
        <w:t xml:space="preserve">It reduces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earnings, not net income. </w:t>
      </w:r>
      <w:r>
        <w:rPr>
          <w:sz w:val="19"/>
          <w:szCs w:val="19"/>
        </w:rPr>
        <w:t xml:space="preserve">Cash from borrowing or from issuing shares is not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equipment for cash is not an expense today. </w:t>
      </w:r>
      <w:r>
        <w:rPr>
          <w:sz w:val="19"/>
          <w:szCs w:val="19"/>
        </w:rPr>
        <w:t xml:space="preserve">One asset (cash) becomes another asset (equipment). </w:t>
      </w:r>
      <w:r>
        <w:rPr>
          <w:sz w:val="19"/>
          <w:szCs w:val="19"/>
        </w:rPr>
        <w:t xml:space="preserve">The cost becomes an expense later, through depreciation.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accumulated depreciation   ·   Buying   ·   revenue   ·   retained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Foods in February</w:t>
            </w:r>
          </w:p>
        </w:tc>
      </w:tr>
    </w:tbl>
    <w:p/>
    <w:p>
      <w:pPr>
        <w:spacing w:before="20" w:after="20" w:line="360" w:lineRule="auto"/>
        <w:ind w:left="200"/>
      </w:pPr>
      <w:r>
        <w:rPr>
          <w:sz w:val="19"/>
          <w:szCs w:val="19"/>
        </w:rPr>
        <w:t xml:space="preserve">Here are six transactions from February (USD 000).</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Describing the effect of a transaction</w:t>
            </w:r>
          </w:p>
        </w:tc>
      </w:tr>
    </w:tbl>
    <w:p/>
    <w:p>
      <w:pPr>
        <w:spacing w:before="44" w:after="14"/>
      </w:pPr>
      <w:r>
        <w:rPr>
          <w:b/>
          <w:bCs/>
          <w:color w:val="353A7C"/>
          <w:sz w:val="18"/>
          <w:szCs w:val="18"/>
        </w:rPr>
        <w:t xml:space="preserve">Summary 5</w:t>
      </w:r>
      <w:r>
        <w:rPr>
          <w:color w:val="6B7280"/>
          <w:sz w:val="16"/>
          <w:szCs w:val="16"/>
        </w:rPr>
        <w:t xml:space="preserve">      gaps 25–26</w:t>
      </w:r>
    </w:p>
    <w:p>
      <w:pPr>
        <w:spacing w:before="20" w:after="20" w:line="360" w:lineRule="auto"/>
        <w:ind w:left="200"/>
      </w:pPr>
      <w:r>
        <w:rPr>
          <w:sz w:val="19"/>
          <w:szCs w:val="19"/>
        </w:rPr>
        <w:t xml:space="preserve">X is debited (or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for an amount: Cash is debited for 1,500. </w:t>
      </w:r>
      <w:r>
        <w:rPr>
          <w:sz w:val="19"/>
          <w:szCs w:val="19"/>
        </w:rPr>
        <w:t xml:space="preserve">Exam stems often say: The effect of this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is to increase ...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credited   ·   T-account   ·   transaction</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double-entry system</w:t>
            </w:r>
          </w:p>
        </w:tc>
        <w:tc>
          <w:tcPr>
            <w:tcW w:type="pct" w:w="2600"/>
            <w:tcMar>
              <w:top w:type="dxa" w:w="50"/>
              <w:left w:type="dxa" w:w="110"/>
              <w:bottom w:type="dxa" w:w="50"/>
              <w:right w:type="dxa" w:w="110"/>
            </w:tcMar>
          </w:tcPr>
          <w:p>
            <w:pPr>
              <w:spacing w:before="26" w:after="26"/>
            </w:pPr>
            <w:r>
              <w:rPr>
                <w:color w:val="232733"/>
                <w:sz w:val="16"/>
                <w:szCs w:val="16"/>
              </w:rPr>
              <w:t xml:space="preserve">نظام القيد المزدوج</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debit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مدين</w:t>
            </w:r>
          </w:p>
        </w:tc>
      </w:tr>
      <w:tr>
        <w:tc>
          <w:tcPr>
            <w:tcW w:type="pct" w:w="2400"/>
            <w:tcMar>
              <w:top w:type="dxa" w:w="50"/>
              <w:left w:type="dxa" w:w="110"/>
              <w:bottom w:type="dxa" w:w="50"/>
              <w:right w:type="dxa" w:w="110"/>
            </w:tcMar>
          </w:tcPr>
          <w:p>
            <w:pPr>
              <w:spacing w:before="26" w:after="26"/>
            </w:pPr>
            <w:r>
              <w:rPr>
                <w:color w:val="232733"/>
                <w:sz w:val="16"/>
                <w:szCs w:val="16"/>
              </w:rPr>
              <w:t xml:space="preserve">credit</w:t>
            </w:r>
          </w:p>
        </w:tc>
        <w:tc>
          <w:tcPr>
            <w:tcW w:type="pct" w:w="2600"/>
            <w:tcMar>
              <w:top w:type="dxa" w:w="50"/>
              <w:left w:type="dxa" w:w="110"/>
              <w:bottom w:type="dxa" w:w="50"/>
              <w:right w:type="dxa" w:w="110"/>
            </w:tcMar>
          </w:tcPr>
          <w:p>
            <w:pPr>
              <w:spacing w:before="26" w:after="26"/>
            </w:pPr>
            <w:r>
              <w:rPr>
                <w:color w:val="232733"/>
                <w:sz w:val="16"/>
                <w:szCs w:val="16"/>
              </w:rPr>
              <w:t xml:space="preserve">دائن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balance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الرصيد الطبيعي</w:t>
            </w:r>
          </w:p>
        </w:tc>
      </w:tr>
      <w:tr>
        <w:tc>
          <w:tcPr>
            <w:tcW w:type="pct" w:w="2400"/>
            <w:tcMar>
              <w:top w:type="dxa" w:w="50"/>
              <w:left w:type="dxa" w:w="110"/>
              <w:bottom w:type="dxa" w:w="50"/>
              <w:right w:type="dxa" w:w="110"/>
            </w:tcMar>
          </w:tcPr>
          <w:p>
            <w:pPr>
              <w:spacing w:before="26" w:after="26"/>
            </w:pPr>
            <w:r>
              <w:rPr>
                <w:color w:val="232733"/>
                <w:sz w:val="16"/>
                <w:szCs w:val="16"/>
              </w:rPr>
              <w:t xml:space="preserve">journal entry</w:t>
            </w:r>
          </w:p>
        </w:tc>
        <w:tc>
          <w:tcPr>
            <w:tcW w:type="pct" w:w="2600"/>
            <w:tcMar>
              <w:top w:type="dxa" w:w="50"/>
              <w:left w:type="dxa" w:w="110"/>
              <w:bottom w:type="dxa" w:w="50"/>
              <w:right w:type="dxa" w:w="110"/>
            </w:tcMar>
          </w:tcPr>
          <w:p>
            <w:pPr>
              <w:spacing w:before="26" w:after="26"/>
            </w:pPr>
            <w:r>
              <w:rPr>
                <w:color w:val="232733"/>
                <w:sz w:val="16"/>
                <w:szCs w:val="16"/>
              </w:rPr>
              <w:t xml:space="preserve">قيد اليومية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على شكل حرف T</w:t>
            </w:r>
          </w:p>
        </w:tc>
      </w:tr>
      <w:tr>
        <w:tc>
          <w:tcPr>
            <w:tcW w:type="pct" w:w="2400"/>
            <w:tcMar>
              <w:top w:type="dxa" w:w="50"/>
              <w:left w:type="dxa" w:w="110"/>
              <w:bottom w:type="dxa" w:w="50"/>
              <w:right w:type="dxa" w:w="110"/>
            </w:tcMar>
          </w:tcPr>
          <w:p>
            <w:pPr>
              <w:spacing w:before="26" w:after="26"/>
            </w:pPr>
            <w:r>
              <w:rPr>
                <w:color w:val="232733"/>
                <w:sz w:val="16"/>
                <w:szCs w:val="16"/>
              </w:rPr>
              <w:t xml:space="preserve">trial balance</w:t>
            </w:r>
          </w:p>
        </w:tc>
        <w:tc>
          <w:tcPr>
            <w:tcW w:type="pct" w:w="2600"/>
            <w:tcMar>
              <w:top w:type="dxa" w:w="50"/>
              <w:left w:type="dxa" w:w="110"/>
              <w:bottom w:type="dxa" w:w="50"/>
              <w:right w:type="dxa" w:w="110"/>
            </w:tcMar>
          </w:tcPr>
          <w:p>
            <w:pPr>
              <w:spacing w:before="26" w:after="26"/>
            </w:pPr>
            <w:r>
              <w:rPr>
                <w:color w:val="232733"/>
                <w:sz w:val="16"/>
                <w:szCs w:val="16"/>
              </w:rPr>
              <w:t xml:space="preserve">ميزان المراجعة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contra account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حساب مقابل (حساب عكسي)</w:t>
            </w:r>
          </w:p>
        </w:tc>
      </w:tr>
      <w:tr>
        <w:tc>
          <w:tcPr>
            <w:tcW w:type="pct" w:w="2400"/>
            <w:tcMar>
              <w:top w:type="dxa" w:w="50"/>
              <w:left w:type="dxa" w:w="110"/>
              <w:bottom w:type="dxa" w:w="50"/>
              <w:right w:type="dxa" w:w="110"/>
            </w:tcMar>
          </w:tcPr>
          <w:p>
            <w:pPr>
              <w:spacing w:before="26" w:after="26"/>
            </w:pPr>
            <w:r>
              <w:rPr>
                <w:color w:val="232733"/>
                <w:sz w:val="16"/>
                <w:szCs w:val="16"/>
              </w:rPr>
              <w:t xml:space="preserve">accumulated depreciation</w:t>
            </w:r>
          </w:p>
        </w:tc>
        <w:tc>
          <w:tcPr>
            <w:tcW w:type="pct" w:w="2600"/>
            <w:tcMar>
              <w:top w:type="dxa" w:w="50"/>
              <w:left w:type="dxa" w:w="110"/>
              <w:bottom w:type="dxa" w:w="50"/>
              <w:right w:type="dxa" w:w="110"/>
            </w:tcMar>
          </w:tcPr>
          <w:p>
            <w:pPr>
              <w:spacing w:before="26" w:after="26"/>
            </w:pPr>
            <w:r>
              <w:rPr>
                <w:color w:val="232733"/>
                <w:sz w:val="16"/>
                <w:szCs w:val="16"/>
              </w:rPr>
              <w:t xml:space="preserve">مجمع الإهلاك (مجمع الاستهلاك / الاهتلاك)</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allowance for credit losses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مخصص الخسائر الائتمانية</w:t>
            </w:r>
          </w:p>
        </w:tc>
      </w:tr>
      <w:tr>
        <w:tc>
          <w:tcPr>
            <w:tcW w:type="pct" w:w="2400"/>
            <w:tcMar>
              <w:top w:type="dxa" w:w="50"/>
              <w:left w:type="dxa" w:w="110"/>
              <w:bottom w:type="dxa" w:w="50"/>
              <w:right w:type="dxa" w:w="110"/>
            </w:tcMar>
          </w:tcPr>
          <w:p>
            <w:pPr>
              <w:spacing w:before="26" w:after="26"/>
            </w:pPr>
            <w:r>
              <w:rPr>
                <w:color w:val="232733"/>
                <w:sz w:val="16"/>
                <w:szCs w:val="16"/>
              </w:rPr>
              <w:t xml:space="preserve">accounts receivable</w:t>
            </w:r>
          </w:p>
        </w:tc>
        <w:tc>
          <w:tcPr>
            <w:tcW w:type="pct" w:w="2600"/>
            <w:tcMar>
              <w:top w:type="dxa" w:w="50"/>
              <w:left w:type="dxa" w:w="110"/>
              <w:bottom w:type="dxa" w:w="50"/>
              <w:right w:type="dxa" w:w="110"/>
            </w:tcMar>
          </w:tcPr>
          <w:p>
            <w:pPr>
              <w:spacing w:before="26" w:after="26"/>
            </w:pPr>
            <w:r>
              <w:rPr>
                <w:color w:val="232733"/>
                <w:sz w:val="16"/>
                <w:szCs w:val="16"/>
              </w:rPr>
              <w:t xml:space="preserve">الذمم المدينة (المدينون)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accounts payable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الذمم الدائنة (الدائنون)</w:t>
            </w:r>
          </w:p>
        </w:tc>
      </w:tr>
      <w:tr>
        <w:tc>
          <w:tcPr>
            <w:tcW w:type="pct" w:w="2400"/>
            <w:tcMar>
              <w:top w:type="dxa" w:w="50"/>
              <w:left w:type="dxa" w:w="110"/>
              <w:bottom w:type="dxa" w:w="50"/>
              <w:right w:type="dxa" w:w="110"/>
            </w:tcMar>
          </w:tcPr>
          <w:p>
            <w:pPr>
              <w:spacing w:before="26" w:after="26"/>
            </w:pPr>
            <w:r>
              <w:rPr>
                <w:color w:val="232733"/>
                <w:sz w:val="16"/>
                <w:szCs w:val="16"/>
              </w:rPr>
              <w:t xml:space="preserve">inventory</w:t>
            </w:r>
          </w:p>
        </w:tc>
        <w:tc>
          <w:tcPr>
            <w:tcW w:type="pct" w:w="2600"/>
            <w:tcMar>
              <w:top w:type="dxa" w:w="50"/>
              <w:left w:type="dxa" w:w="110"/>
              <w:bottom w:type="dxa" w:w="50"/>
              <w:right w:type="dxa" w:w="110"/>
            </w:tcMar>
          </w:tcPr>
          <w:p>
            <w:pPr>
              <w:spacing w:before="26" w:after="26"/>
            </w:pPr>
            <w:r>
              <w:rPr>
                <w:color w:val="232733"/>
                <w:sz w:val="16"/>
                <w:szCs w:val="16"/>
              </w:rPr>
              <w:t xml:space="preserve">المخزون</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 of goods sold</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البضاعة المباعة</w:t>
            </w:r>
          </w:p>
        </w:tc>
      </w:tr>
      <w:tr>
        <w:tc>
          <w:tcPr>
            <w:tcW w:type="pct" w:w="2400"/>
            <w:tcMar>
              <w:top w:type="dxa" w:w="50"/>
              <w:left w:type="dxa" w:w="110"/>
              <w:bottom w:type="dxa" w:w="50"/>
              <w:right w:type="dxa" w:w="110"/>
            </w:tcMar>
          </w:tcPr>
          <w:p>
            <w:pPr>
              <w:spacing w:before="26" w:after="26"/>
            </w:pPr>
            <w:r>
              <w:rPr>
                <w:color w:val="232733"/>
                <w:sz w:val="16"/>
                <w:szCs w:val="16"/>
              </w:rPr>
              <w:t xml:space="preserve">notes payable</w:t>
            </w:r>
          </w:p>
        </w:tc>
        <w:tc>
          <w:tcPr>
            <w:tcW w:type="pct" w:w="2600"/>
            <w:tcMar>
              <w:top w:type="dxa" w:w="50"/>
              <w:left w:type="dxa" w:w="110"/>
              <w:bottom w:type="dxa" w:w="50"/>
              <w:right w:type="dxa" w:w="110"/>
            </w:tcMar>
          </w:tcPr>
          <w:p>
            <w:pPr>
              <w:spacing w:before="26" w:after="26"/>
            </w:pPr>
            <w:r>
              <w:rPr>
                <w:color w:val="232733"/>
                <w:sz w:val="16"/>
                <w:szCs w:val="16"/>
              </w:rPr>
              <w:t xml:space="preserve">أوراق الدفع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1.3  Double entry: debits and credits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double-entry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accounting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points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opposite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financing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pastries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delivers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exchange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February</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Additional paid-in capital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equation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Jan 5</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retained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Jan 10</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Equipment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Buying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credited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Cost of goods sold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transaction</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Accountants record every transaction with the double-entry system. Each transaction affects at least two accounts, and total debits always equal total credits. This is why the accounting equation always balances. A contra account reduces a related account, so it has the opposite normal balance. For example, accumulated depreciation reduces equipment. It has a credit balance, but it belongs with the assets.</w:t>
      </w:r>
    </w:p>
    <w:p>
      <w:pPr>
        <w:spacing w:before="20" w:after="20"/>
        <w:ind w:left="240" w:hanging="240"/>
      </w:pPr>
      <w:r>
        <w:rPr>
          <w:b/>
          <w:bCs/>
          <w:color w:val="353A7C"/>
          <w:sz w:val="15"/>
          <w:szCs w:val="15"/>
        </w:rPr>
        <w:t xml:space="preserve">Summary 2   </w:t>
      </w:r>
      <w:r>
        <w:rPr>
          <w:color w:val="6B7280"/>
          <w:sz w:val="15"/>
          <w:szCs w:val="15"/>
        </w:rPr>
        <w:t xml:space="preserve">Orontes Foods, Inc. makes olive oil and tahini in Amman, Jordan, and frozen pastries in Dubai. Its shares are listed on a U.S. stock exchange, and it reports under U.S. GAAP. Here are its journal entries for six transactions in January 2025.</w:t>
      </w:r>
    </w:p>
    <w:p>
      <w:pPr>
        <w:spacing w:before="20" w:after="20"/>
        <w:ind w:left="240" w:hanging="240"/>
      </w:pPr>
      <w:r>
        <w:rPr>
          <w:b/>
          <w:bCs/>
          <w:color w:val="353A7C"/>
          <w:sz w:val="15"/>
          <w:szCs w:val="15"/>
        </w:rPr>
        <w:t xml:space="preserve">Summary 3   </w:t>
      </w:r>
      <w:r>
        <w:rPr>
          <w:color w:val="6B7280"/>
          <w:sz w:val="15"/>
          <w:szCs w:val="15"/>
        </w:rPr>
        <w:t xml:space="preserve">Three points matter for the exam. Rows 1 and 2 bring in cash of 2,300 in total, but no revenue. Money from owners and lenders is financing. Row 4 creates revenue of 300 but no cash. Orontes records revenue when it delivers the goods, not when the customer pays. Row 6 reduces retained earnings by 50 and creates a liability. No cash moves until February, and net income does not change. The totals prove the equation. Assets rose by 2,380, liabilities rose by 850 and equity rose by 1,530.</w:t>
      </w:r>
    </w:p>
    <w:p>
      <w:pPr>
        <w:spacing w:before="20" w:after="20"/>
        <w:ind w:left="240" w:hanging="240"/>
      </w:pPr>
      <w:r>
        <w:rPr>
          <w:b/>
          <w:bCs/>
          <w:color w:val="353A7C"/>
          <w:sz w:val="15"/>
          <w:szCs w:val="15"/>
        </w:rPr>
        <w:t xml:space="preserve">Summary 4   </w:t>
      </w:r>
      <w:r>
        <w:rPr>
          <w:color w:val="6B7280"/>
          <w:sz w:val="15"/>
          <w:szCs w:val="15"/>
        </w:rPr>
        <w:t xml:space="preserve">It reduces retained earnings, not net income. Cash from borrowing or from issuing shares is not revenue. Buying equipment for cash is not an expense today. One asset (cash) becomes another asset (equipment). The cost becomes an expense later, through depreciation.</w:t>
      </w:r>
    </w:p>
    <w:p>
      <w:pPr>
        <w:spacing w:before="20" w:after="20"/>
        <w:ind w:left="240" w:hanging="240"/>
      </w:pPr>
      <w:r>
        <w:rPr>
          <w:b/>
          <w:bCs/>
          <w:color w:val="353A7C"/>
          <w:sz w:val="15"/>
          <w:szCs w:val="15"/>
        </w:rPr>
        <w:t xml:space="preserve">Summary 5   </w:t>
      </w:r>
      <w:r>
        <w:rPr>
          <w:color w:val="6B7280"/>
          <w:sz w:val="15"/>
          <w:szCs w:val="15"/>
        </w:rPr>
        <w:t xml:space="preserve">X is debited (or credited) for an amount: Cash is debited for 1,500. Exam stems often say: The effect of this transaction is to increase ...</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1.4  The accrual basis and the matching principle</w:t>
            </w:r>
          </w:p>
          <w:p>
            <w:pPr>
              <w:spacing w:before="0" w:after="46"/>
            </w:pPr>
            <w:r>
              <w:rPr>
                <w:color w:val="E8EAF6"/>
                <w:sz w:val="16"/>
                <w:szCs w:val="16"/>
              </w:rPr>
              <w:t xml:space="preserve">Chapter 1 · section 1.4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When should a company record revenues and expenses? U.S. GAAP financial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use the accrual basis. </w:t>
      </w:r>
      <w:r>
        <w:rPr>
          <w:sz w:val="19"/>
          <w:szCs w:val="19"/>
        </w:rPr>
        <w:t xml:space="preserve">Under the accrual basis, a company records revenue when it earns it, that is, when it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 goods or services. </w:t>
      </w:r>
      <w:r>
        <w:rPr>
          <w:sz w:val="19"/>
          <w:szCs w:val="19"/>
        </w:rPr>
        <w:t xml:space="preserve">It records expenses when it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them. </w:t>
      </w:r>
      <w:r>
        <w:rPr>
          <w:sz w:val="19"/>
          <w:szCs w:val="19"/>
        </w:rPr>
        <w:t xml:space="preserve">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the cash does not decide the period. </w:t>
      </w:r>
      <w:r>
        <w:rPr>
          <w:sz w:val="19"/>
          <w:szCs w:val="19"/>
        </w:rPr>
        <w:t xml:space="preserve">The cash basis records items only when cash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 paid. </w:t>
      </w:r>
      <w:r>
        <w:rPr>
          <w:sz w:val="19"/>
          <w:szCs w:val="19"/>
        </w:rPr>
        <w:t xml:space="preserve">The cash basis is simple, but it is not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under U.S. GAAP. </w:t>
      </w:r>
      <w:r>
        <w:rPr>
          <w:sz w:val="19"/>
          <w:szCs w:val="19"/>
        </w:rPr>
        <w:t xml:space="preserve">Under the accrual basis, Orontes records the revenue and the cost of goods sold in fiscal 2025, the year it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goods. </w:t>
      </w:r>
      <w:r>
        <w:rPr>
          <w:sz w:val="19"/>
          <w:szCs w:val="19"/>
        </w:rPr>
        <w:t xml:space="preserve">The gross profit of 36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to 2025. </w:t>
      </w:r>
      <w:r>
        <w:rPr>
          <w:sz w:val="19"/>
          <w:szCs w:val="19"/>
        </w:rPr>
        <w:t xml:space="preserve">In January, the cash receipt only changes one asset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into another asset (cash). </w:t>
      </w:r>
      <w:r>
        <w:rPr>
          <w:sz w:val="19"/>
          <w:szCs w:val="19"/>
        </w:rPr>
        <w:t xml:space="preserve">Under the cash basis, the revenue would fall in 2026, which is the wrong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timing   ·   delivered   ·   receivable   ·   incurs   ·   cash basis   ·   statements   ·   belongs   ·   delivers   ·   acceptable</w:t>
            </w:r>
          </w:p>
        </w:tc>
      </w:tr>
    </w:tbl>
    <w:p/>
    <w:p>
      <w:pPr>
        <w:spacing w:before="44" w:after="14"/>
      </w:pPr>
      <w:r>
        <w:rPr>
          <w:b/>
          <w:bCs/>
          <w:color w:val="353A7C"/>
          <w:sz w:val="18"/>
          <w:szCs w:val="18"/>
        </w:rPr>
        <w:t xml:space="preserve">Summary 2</w:t>
      </w:r>
      <w:r>
        <w:rPr>
          <w:color w:val="6B7280"/>
          <w:sz w:val="16"/>
          <w:szCs w:val="16"/>
        </w:rPr>
        <w:t xml:space="preserve">      gaps 10–18</w:t>
      </w:r>
    </w:p>
    <w:p>
      <w:pPr>
        <w:spacing w:before="20" w:after="20" w:line="360" w:lineRule="auto"/>
        <w:ind w:left="200"/>
      </w:pPr>
      <w:r>
        <w:rPr>
          <w:sz w:val="19"/>
          <w:szCs w:val="19"/>
        </w:rPr>
        <w:t xml:space="preserve">The matching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says: record expenses in the same period as the revenues they help to produce. </w:t>
      </w:r>
      <w:r>
        <w:rPr>
          <w:sz w:val="19"/>
          <w:szCs w:val="19"/>
        </w:rPr>
        <w:t xml:space="preserve">There are three ways to apply it. </w:t>
      </w:r>
      <w:r>
        <w:rPr>
          <w:sz w:val="19"/>
          <w:szCs w:val="19"/>
        </w:rPr>
        <w:t xml:space="preserve">Some costs link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a sale. </w:t>
      </w:r>
      <w:r>
        <w:rPr>
          <w:sz w:val="19"/>
          <w:szCs w:val="19"/>
        </w:rPr>
        <w:t xml:space="preserve">Cost of goods sold is the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example: Orontes records it at the same time as the sales revenue.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rational allocation. </w:t>
      </w:r>
      <w:r>
        <w:rPr>
          <w:sz w:val="19"/>
          <w:szCs w:val="19"/>
        </w:rPr>
        <w:t xml:space="preserve">Some costs help many periods, such as a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line. </w:t>
      </w:r>
      <w:r>
        <w:rPr>
          <w:sz w:val="19"/>
          <w:szCs w:val="19"/>
        </w:rPr>
        <w:t xml:space="preserve"/>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spreads the cost over the years of use. </w:t>
      </w:r>
      <w:r>
        <w:rPr>
          <w:sz w:val="19"/>
          <w:szCs w:val="19"/>
        </w:rPr>
        <w:t xml:space="preserve">Some costs have no clear link to future revenue, such as most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and office salaries. </w:t>
      </w:r>
      <w:r>
        <w:rPr>
          <w:sz w:val="19"/>
          <w:szCs w:val="19"/>
        </w:rPr>
        <w:t xml:space="preserve">They are expenses in the period in which they are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The accrual basis creates four common types of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You met three of them in the February transactions.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prepaid expense   ·   incurred   ·   bottling   ·   advertising   ·   directly   ·   adjustment   ·   classic   ·   Depreciation   ·   Systematic   ·   principle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314"/>
        <w:gridCol w:w="3022"/>
        <w:gridCol w:w="2394"/>
        <w:gridCol w:w="87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Timeline of a December sale collected in January: accrual basis versus cash basis</w:t>
            </w:r>
          </w:p>
        </w:tc>
      </w:tr>
      <w:tr>
        <w:tc>
          <w:tcPr>
            <w:tcW w:type="pct" w:w="1726"/>
            <w:shd w:fill="353A7C" w:val="clear"/>
            <w:tcMar>
              <w:top w:type="dxa" w:w="50"/>
              <w:left w:type="dxa" w:w="110"/>
              <w:bottom w:type="dxa" w:w="50"/>
              <w:right w:type="dxa" w:w="110"/>
            </w:tcMar>
          </w:tcPr>
          <w:p>
            <w:pPr>
              <w:spacing w:before="30" w:after="30"/>
            </w:pPr>
            <w:r>
              <w:rPr>
                <w:b/>
                <w:bCs/>
                <w:color w:val="FFFFFF"/>
                <w:sz w:val="15"/>
                <w:szCs w:val="15"/>
              </w:rPr>
              <w:t xml:space="preserve">Type</w:t>
            </w:r>
          </w:p>
        </w:tc>
        <w:tc>
          <w:tcPr>
            <w:tcW w:type="pct" w:w="1574"/>
            <w:shd w:fill="353A7C" w:val="clear"/>
            <w:tcMar>
              <w:top w:type="dxa" w:w="50"/>
              <w:left w:type="dxa" w:w="110"/>
              <w:bottom w:type="dxa" w:w="50"/>
              <w:right w:type="dxa" w:w="110"/>
            </w:tcMar>
          </w:tcPr>
          <w:p>
            <w:pPr>
              <w:spacing w:before="30" w:after="30"/>
            </w:pPr>
            <w:r>
              <w:rPr>
                <w:b/>
                <w:bCs/>
                <w:color w:val="FFFFFF"/>
                <w:sz w:val="15"/>
                <w:szCs w:val="15"/>
              </w:rPr>
              <w:t xml:space="preserve">What happens</w:t>
            </w:r>
          </w:p>
        </w:tc>
        <w:tc>
          <w:tcPr>
            <w:tcW w:type="pct" w:w="1247"/>
            <w:shd w:fill="353A7C" w:val="clear"/>
            <w:tcMar>
              <w:top w:type="dxa" w:w="50"/>
              <w:left w:type="dxa" w:w="110"/>
              <w:bottom w:type="dxa" w:w="50"/>
              <w:right w:type="dxa" w:w="110"/>
            </w:tcMar>
          </w:tcPr>
          <w:p>
            <w:pPr>
              <w:spacing w:before="30" w:after="30"/>
            </w:pPr>
            <w:r>
              <w:rPr>
                <w:b/>
                <w:bCs/>
                <w:color w:val="FFFFFF"/>
                <w:sz w:val="15"/>
                <w:szCs w:val="15"/>
              </w:rPr>
              <w:t xml:space="preserve">Orontes example</w:t>
            </w:r>
          </w:p>
        </w:tc>
        <w:tc>
          <w:tcPr>
            <w:tcW w:type="pct" w:w="454"/>
            <w:shd w:fill="353A7C" w:val="clear"/>
            <w:tcMar>
              <w:top w:type="dxa" w:w="50"/>
              <w:left w:type="dxa" w:w="110"/>
              <w:bottom w:type="dxa" w:w="50"/>
              <w:right w:type="dxa" w:w="110"/>
            </w:tcMar>
          </w:tcPr>
          <w:p>
            <w:pPr>
              <w:spacing w:before="30" w:after="30"/>
            </w:pPr>
            <w:r>
              <w:rPr>
                <w:b/>
                <w:bCs/>
                <w:color w:val="FFFFFF"/>
                <w:sz w:val="15"/>
                <w:szCs w:val="15"/>
              </w:rPr>
              <w:t xml:space="preserve">Creates</w:t>
            </w:r>
          </w:p>
        </w:tc>
      </w:tr>
      <w:tr>
        <w:tc>
          <w:tcPr>
            <w:tcW w:type="pct" w:w="1726"/>
            <w:tcMar>
              <w:top w:type="dxa" w:w="50"/>
              <w:left w:type="dxa" w:w="110"/>
              <w:bottom w:type="dxa" w:w="50"/>
              <w:right w:type="dxa" w:w="110"/>
            </w:tcMar>
          </w:tcPr>
          <w:p>
            <w:pPr>
              <w:spacing w:before="28" w:after="28"/>
            </w:pPr>
            <w:r>
              <w:rPr>
                <w:sz w:val="15"/>
                <w:szCs w:val="15"/>
              </w:rPr>
              <w:t xml:space="preserve">Prepaid expense (deferral)</w:t>
            </w:r>
          </w:p>
        </w:tc>
        <w:tc>
          <w:tcPr>
            <w:tcW w:type="pct" w:w="1574"/>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247"/>
            <w:tcMar>
              <w:top w:type="dxa" w:w="50"/>
              <w:left w:type="dxa" w:w="110"/>
              <w:bottom w:type="dxa" w:w="50"/>
              <w:right w:type="dxa" w:w="110"/>
            </w:tcMar>
          </w:tcPr>
          <w:p>
            <w:pPr>
              <w:spacing w:before="28" w:after="28"/>
            </w:pPr>
            <w:r>
              <w:rPr>
                <w:sz w:val="15"/>
                <w:szCs w:val="15"/>
              </w:rPr>
              <w:t xml:space="preserve">Rent paid in advance (February, row 3)</w:t>
            </w:r>
          </w:p>
        </w:tc>
        <w:tc>
          <w:tcPr>
            <w:tcW w:type="pct" w:w="454"/>
            <w:tcMar>
              <w:top w:type="dxa" w:w="50"/>
              <w:left w:type="dxa" w:w="110"/>
              <w:bottom w:type="dxa" w:w="50"/>
              <w:right w:type="dxa" w:w="110"/>
            </w:tcMar>
          </w:tcPr>
          <w:p>
            <w:pPr>
              <w:spacing w:before="28" w:after="28"/>
            </w:pPr>
            <w:r>
              <w:rPr>
                <w:sz w:val="15"/>
                <w:szCs w:val="15"/>
              </w:rPr>
              <w:t xml:space="preserve">an asset</w:t>
            </w:r>
          </w:p>
        </w:tc>
      </w:tr>
      <w:tr>
        <w:tc>
          <w:tcPr>
            <w:tcW w:type="pct" w:w="1726"/>
            <w:shd w:fill="FBFAF6" w:val="clear"/>
            <w:tcMar>
              <w:top w:type="dxa" w:w="50"/>
              <w:left w:type="dxa" w:w="110"/>
              <w:bottom w:type="dxa" w:w="50"/>
              <w:right w:type="dxa" w:w="110"/>
            </w:tcMar>
          </w:tcPr>
          <w:p>
            <w:pPr>
              <w:spacing w:before="28" w:after="28"/>
            </w:pPr>
            <w:r>
              <w:rPr>
                <w:sz w:val="15"/>
                <w:szCs w:val="15"/>
              </w:rPr>
              <w:t xml:space="preserve">Contract liability, or unearned revenue (deferral)</w:t>
            </w:r>
          </w:p>
        </w:tc>
        <w:tc>
          <w:tcPr>
            <w:tcW w:type="pct" w:w="1574"/>
            <w:shd w:fill="FBFAF6" w:val="clear"/>
            <w:tcMar>
              <w:top w:type="dxa" w:w="50"/>
              <w:left w:type="dxa" w:w="110"/>
              <w:bottom w:type="dxa" w:w="50"/>
              <w:right w:type="dxa" w:w="110"/>
            </w:tcMar>
          </w:tcPr>
          <w:p>
            <w:pPr>
              <w:spacing w:before="28" w:after="28"/>
            </w:pPr>
            <w:r>
              <w:rPr>
                <w:sz w:val="15"/>
                <w:szCs w:val="15"/>
              </w:rPr>
              <w:t xml:space="preserve">Cash is received before the revenue is earned.</w:t>
            </w:r>
          </w:p>
        </w:tc>
        <w:tc>
          <w:tcPr>
            <w:tcW w:type="pct" w:w="1247"/>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454"/>
            <w:shd w:fill="FBFAF6" w:val="clear"/>
            <w:tcMar>
              <w:top w:type="dxa" w:w="50"/>
              <w:left w:type="dxa" w:w="110"/>
              <w:bottom w:type="dxa" w:w="50"/>
              <w:right w:type="dxa" w:w="110"/>
            </w:tcMar>
          </w:tcPr>
          <w:p>
            <w:pPr>
              <w:spacing w:before="28" w:after="28"/>
            </w:pPr>
            <w:r>
              <w:rPr>
                <w:sz w:val="15"/>
                <w:szCs w:val="15"/>
              </w:rPr>
              <w:t xml:space="preserve">a liability</w:t>
            </w:r>
          </w:p>
        </w:tc>
      </w:tr>
      <w:tr>
        <w:tc>
          <w:tcPr>
            <w:tcW w:type="pct" w:w="1726"/>
            <w:tcMar>
              <w:top w:type="dxa" w:w="50"/>
              <w:left w:type="dxa" w:w="110"/>
              <w:bottom w:type="dxa" w:w="50"/>
              <w:right w:type="dxa" w:w="110"/>
            </w:tcMar>
          </w:tcPr>
          <w:p>
            <w:pPr>
              <w:spacing w:before="28" w:after="28"/>
            </w:pPr>
            <w:r>
              <w:rPr>
                <w:sz w:val="15"/>
                <w:szCs w:val="15"/>
              </w:rPr>
              <w:t xml:space="preserve">Accrued expense</w:t>
            </w:r>
          </w:p>
        </w:tc>
        <w:tc>
          <w:tcPr>
            <w:tcW w:type="pct" w:w="1574"/>
            <w:tcMar>
              <w:top w:type="dxa" w:w="50"/>
              <w:left w:type="dxa" w:w="110"/>
              <w:bottom w:type="dxa" w:w="50"/>
              <w:right w:type="dxa" w:w="110"/>
            </w:tcMar>
          </w:tcPr>
          <w:p>
            <w:pPr>
              <w:spacing w:before="28" w:after="28"/>
            </w:pPr>
            <w:r>
              <w:rPr>
                <w:sz w:val="15"/>
                <w:szCs w:val="15"/>
              </w:rPr>
              <w:t xml:space="preserve">The expense is incurred before cash is paid.</w:t>
            </w:r>
          </w:p>
        </w:tc>
        <w:tc>
          <w:tcPr>
            <w:tcW w:type="pct" w:w="1247"/>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454"/>
            <w:tcMar>
              <w:top w:type="dxa" w:w="50"/>
              <w:left w:type="dxa" w:w="110"/>
              <w:bottom w:type="dxa" w:w="50"/>
              <w:right w:type="dxa" w:w="110"/>
            </w:tcMar>
          </w:tcPr>
          <w:p>
            <w:pPr>
              <w:spacing w:before="28" w:after="28"/>
            </w:pPr>
            <w:r>
              <w:rPr>
                <w:sz w:val="15"/>
                <w:szCs w:val="15"/>
              </w:rPr>
              <w:t xml:space="preserve">a liability</w:t>
            </w:r>
          </w:p>
        </w:tc>
      </w:tr>
      <w:tr>
        <w:tc>
          <w:tcPr>
            <w:tcW w:type="pct" w:w="1726"/>
            <w:shd w:fill="FBFAF6" w:val="clear"/>
            <w:tcMar>
              <w:top w:type="dxa" w:w="50"/>
              <w:left w:type="dxa" w:w="110"/>
              <w:bottom w:type="dxa" w:w="50"/>
              <w:right w:type="dxa" w:w="110"/>
            </w:tcMar>
          </w:tcPr>
          <w:p>
            <w:pPr>
              <w:spacing w:before="28" w:after="28"/>
            </w:pPr>
            <w:r>
              <w:rPr>
                <w:sz w:val="15"/>
                <w:szCs w:val="15"/>
              </w:rPr>
              <w:t xml:space="preserve">Accrued revenue</w:t>
            </w:r>
          </w:p>
        </w:tc>
        <w:tc>
          <w:tcPr>
            <w:tcW w:type="pct" w:w="1574"/>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247"/>
            <w:shd w:fill="FBFAF6" w:val="clear"/>
            <w:tcMar>
              <w:top w:type="dxa" w:w="50"/>
              <w:left w:type="dxa" w:w="110"/>
              <w:bottom w:type="dxa" w:w="50"/>
              <w:right w:type="dxa" w:w="110"/>
            </w:tcMar>
          </w:tcPr>
          <w:p>
            <w:pPr>
              <w:spacing w:before="28" w:after="28"/>
            </w:pPr>
            <w:r>
              <w:rPr>
                <w:sz w:val="15"/>
                <w:szCs w:val="15"/>
              </w:rPr>
              <w:t xml:space="preserve">Studied in Chapter 11</w:t>
            </w:r>
          </w:p>
        </w:tc>
        <w:tc>
          <w:tcPr>
            <w:tcW w:type="pct" w:w="454"/>
            <w:shd w:fill="FBFAF6" w:val="clear"/>
            <w:tcMar>
              <w:top w:type="dxa" w:w="50"/>
              <w:left w:type="dxa" w:w="110"/>
              <w:bottom w:type="dxa" w:w="50"/>
              <w:right w:type="dxa" w:w="110"/>
            </w:tcMar>
          </w:tcPr>
          <w:p>
            <w:pPr>
              <w:spacing w:before="28" w:after="28"/>
            </w:pPr>
            <w:r>
              <w:rPr>
                <w:sz w:val="15"/>
                <w:szCs w:val="15"/>
              </w:rPr>
              <w:t xml:space="preserve">an asset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is paid before the expense is incurred.   ·   Rent paid in advance (February, row 3)   ·   Interest owed on the bank note (February, row 6)   ·   Hotel pays in advance (February, row 4)   ·   Revenue is earned before cash is received or billed.</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23–25</w:t>
      </w:r>
    </w:p>
    <w:p>
      <w:pPr>
        <w:spacing w:before="20" w:after="20" w:line="360" w:lineRule="auto"/>
        <w:ind w:left="200"/>
      </w:pPr>
      <w:r>
        <w:rPr>
          <w:sz w:val="19"/>
          <w:szCs w:val="19"/>
        </w:rPr>
        <w:t xml:space="preserve">Two of these names are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for the exam. </w:t>
      </w:r>
      <w:r>
        <w:rPr>
          <w:sz w:val="19"/>
          <w:szCs w:val="19"/>
        </w:rPr>
        <w:t xml:space="preserve">A prepaid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is an asset: the company has paid for a future benefit. </w:t>
      </w:r>
      <w:r>
        <w:rPr>
          <w:sz w:val="19"/>
          <w:szCs w:val="19"/>
        </w:rPr>
        <w:t xml:space="preserve">A contract liability (unearned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is a liability: the company must still deliver the goods or services.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basis   ·   expense   ·   important   ·   revenue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Cash is not the trigger</w:t>
            </w:r>
          </w:p>
        </w:tc>
      </w:tr>
    </w:tbl>
    <w:p/>
    <w:p>
      <w:pPr>
        <w:spacing w:before="44" w:after="14"/>
      </w:pPr>
      <w:r>
        <w:rPr>
          <w:b/>
          <w:bCs/>
          <w:color w:val="353A7C"/>
          <w:sz w:val="18"/>
          <w:szCs w:val="18"/>
        </w:rPr>
        <w:t xml:space="preserve">Summary 4</w:t>
      </w:r>
      <w:r>
        <w:rPr>
          <w:color w:val="6B7280"/>
          <w:sz w:val="16"/>
          <w:szCs w:val="16"/>
        </w:rPr>
        <w:t xml:space="preserve">      gaps 26–27</w:t>
      </w:r>
    </w:p>
    <w:p>
      <w:pPr>
        <w:spacing w:before="20" w:after="20" w:line="360" w:lineRule="auto"/>
        <w:ind w:left="200"/>
      </w:pPr>
      <w:r>
        <w:rPr>
          <w:sz w:val="19"/>
          <w:szCs w:val="19"/>
        </w:rPr>
        <w:t xml:space="preserve">Cash received in advance is a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not revenue. </w:t>
      </w:r>
      <w:r>
        <w:rPr>
          <w:sz w:val="19"/>
          <w:szCs w:val="19"/>
        </w:rPr>
        <w:t xml:space="preserve">Cash paid in advance is an asset, not an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w:t>
      </w:r>
      <w:r>
        <w:rPr>
          <w:sz w:val="19"/>
          <w:szCs w:val="19"/>
        </w:rPr>
        <w:t xml:space="preserve">Matching means matching expenses to revenues, not to cash payments.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matching principle   ·   expense   ·   liability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24"/>
        <w:gridCol w:w="4676"/>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6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3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65"/>
            <w:tcMar>
              <w:top w:type="dxa" w:w="50"/>
              <w:left w:type="dxa" w:w="110"/>
              <w:bottom w:type="dxa" w:w="50"/>
              <w:right w:type="dxa" w:w="110"/>
            </w:tcMar>
          </w:tcPr>
          <w:p>
            <w:pPr>
              <w:spacing w:before="26" w:after="26"/>
            </w:pPr>
            <w:r>
              <w:rPr>
                <w:color w:val="232733"/>
                <w:sz w:val="16"/>
                <w:szCs w:val="16"/>
              </w:rPr>
              <w:t xml:space="preserve">accrual basis</w:t>
            </w:r>
          </w:p>
        </w:tc>
        <w:tc>
          <w:tcPr>
            <w:tcW w:type="pct" w:w="2435"/>
            <w:tcMar>
              <w:top w:type="dxa" w:w="50"/>
              <w:left w:type="dxa" w:w="110"/>
              <w:bottom w:type="dxa" w:w="50"/>
              <w:right w:type="dxa" w:w="110"/>
            </w:tcMar>
          </w:tcPr>
          <w:p>
            <w:pPr>
              <w:spacing w:before="26" w:after="26"/>
            </w:pPr>
            <w:r>
              <w:rPr>
                <w:color w:val="232733"/>
                <w:sz w:val="16"/>
                <w:szCs w:val="16"/>
              </w:rPr>
              <w:t xml:space="preserve">أساس الاستحقاق</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cash basis</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الأساس النقدي</w:t>
            </w:r>
          </w:p>
        </w:tc>
      </w:tr>
      <w:tr>
        <w:tc>
          <w:tcPr>
            <w:tcW w:type="pct" w:w="2565"/>
            <w:tcMar>
              <w:top w:type="dxa" w:w="50"/>
              <w:left w:type="dxa" w:w="110"/>
              <w:bottom w:type="dxa" w:w="50"/>
              <w:right w:type="dxa" w:w="110"/>
            </w:tcMar>
          </w:tcPr>
          <w:p>
            <w:pPr>
              <w:spacing w:before="26" w:after="26"/>
            </w:pPr>
            <w:r>
              <w:rPr>
                <w:color w:val="232733"/>
                <w:sz w:val="16"/>
                <w:szCs w:val="16"/>
              </w:rPr>
              <w:t xml:space="preserve">matching principle</w:t>
            </w:r>
          </w:p>
        </w:tc>
        <w:tc>
          <w:tcPr>
            <w:tcW w:type="pct" w:w="2435"/>
            <w:tcMar>
              <w:top w:type="dxa" w:w="50"/>
              <w:left w:type="dxa" w:w="110"/>
              <w:bottom w:type="dxa" w:w="50"/>
              <w:right w:type="dxa" w:w="110"/>
            </w:tcMar>
          </w:tcPr>
          <w:p>
            <w:pPr>
              <w:spacing w:before="26" w:after="26"/>
            </w:pPr>
            <w:r>
              <w:rPr>
                <w:color w:val="232733"/>
                <w:sz w:val="16"/>
                <w:szCs w:val="16"/>
              </w:rPr>
              <w:t xml:space="preserve">مبدأ مقابلة الإيرادات بالمصروفات</w:t>
            </w:r>
          </w:p>
        </w:tc>
      </w:tr>
      <w:tr>
        <w:tc>
          <w:tcPr>
            <w:tcW w:type="pct" w:w="2565"/>
            <w:shd w:fill="FBFAF6" w:val="clear"/>
            <w:tcMar>
              <w:top w:type="dxa" w:w="50"/>
              <w:left w:type="dxa" w:w="110"/>
              <w:bottom w:type="dxa" w:w="50"/>
              <w:right w:type="dxa" w:w="110"/>
            </w:tcMar>
          </w:tcPr>
          <w:p>
            <w:pPr>
              <w:spacing w:before="26" w:after="26"/>
            </w:pPr>
            <w:r>
              <w:rPr>
                <w:color w:val="232733"/>
                <w:sz w:val="16"/>
                <w:szCs w:val="16"/>
              </w:rPr>
              <w:t xml:space="preserve">prepaid expense</w:t>
            </w:r>
          </w:p>
        </w:tc>
        <w:tc>
          <w:tcPr>
            <w:tcW w:type="pct" w:w="2435"/>
            <w:shd w:fill="FBFAF6" w:val="clear"/>
            <w:tcMar>
              <w:top w:type="dxa" w:w="50"/>
              <w:left w:type="dxa" w:w="110"/>
              <w:bottom w:type="dxa" w:w="50"/>
              <w:right w:type="dxa" w:w="110"/>
            </w:tcMar>
          </w:tcPr>
          <w:p>
            <w:pPr>
              <w:spacing w:before="26" w:after="26"/>
            </w:pPr>
            <w:r>
              <w:rPr>
                <w:color w:val="232733"/>
                <w:sz w:val="16"/>
                <w:szCs w:val="16"/>
              </w:rPr>
              <w:t xml:space="preserve">مصروف مدفوع مقدماً</w:t>
            </w:r>
          </w:p>
        </w:tc>
      </w:tr>
      <w:tr>
        <w:tc>
          <w:tcPr>
            <w:tcW w:type="pct" w:w="2565"/>
            <w:tcMar>
              <w:top w:type="dxa" w:w="50"/>
              <w:left w:type="dxa" w:w="110"/>
              <w:bottom w:type="dxa" w:w="50"/>
              <w:right w:type="dxa" w:w="110"/>
            </w:tcMar>
          </w:tcPr>
          <w:p>
            <w:pPr>
              <w:spacing w:before="26" w:after="26"/>
            </w:pPr>
            <w:r>
              <w:rPr>
                <w:color w:val="232733"/>
                <w:sz w:val="16"/>
                <w:szCs w:val="16"/>
              </w:rPr>
              <w:t xml:space="preserve">contract liability (unearned revenue)</w:t>
            </w:r>
          </w:p>
        </w:tc>
        <w:tc>
          <w:tcPr>
            <w:tcW w:type="pct" w:w="2435"/>
            <w:tcMar>
              <w:top w:type="dxa" w:w="50"/>
              <w:left w:type="dxa" w:w="110"/>
              <w:bottom w:type="dxa" w:w="50"/>
              <w:right w:type="dxa" w:w="110"/>
            </w:tcMar>
          </w:tcPr>
          <w:p>
            <w:pPr>
              <w:spacing w:before="26" w:after="26"/>
            </w:pPr>
            <w:r>
              <w:rPr>
                <w:color w:val="232733"/>
                <w:sz w:val="16"/>
                <w:szCs w:val="16"/>
              </w:rPr>
              <w:t xml:space="preserve">التزام العقد (إيراد مقبوض مقدماً)</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1.4  The accrual basis and the matching principle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delivers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advertising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incurs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timing</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adjustment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received</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Cash is paid before the expense is incurred.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acceptable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Hotel pays in advance (February, row 4)</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Interest owed on the bank note (February, row 6)</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belongs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Revenue is earned before cash is received or billed.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important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principle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directly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revenue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classic</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liability</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Systematic</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bottling</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When should a company record revenues and expenses? U.S. GAAP financial statements use the accrual basis. Under the accrual basis, a company records revenue when it earns it, that is, when it delivers the goods or services. It records expenses when it incurs them. The timing of the cash does not decide the period. The cash basis records items only when cash is received or paid. The cash basis is simple, but it is not acceptable under U.S. GAAP. Under the accrual basis, Orontes records the revenue and the cost of goods sold in fiscal 2025, the year it delivered the goods. The gross profit of 36 belongs to 2025. In January, the cash receipt only changes one asset (the receivable) into another asset (cash). Under the cash basis, the revenue would fall in 2026, which is the wrong period.</w:t>
      </w:r>
    </w:p>
    <w:p>
      <w:pPr>
        <w:spacing w:before="20" w:after="20"/>
        <w:ind w:left="240" w:hanging="240"/>
      </w:pPr>
      <w:r>
        <w:rPr>
          <w:b/>
          <w:bCs/>
          <w:color w:val="353A7C"/>
          <w:sz w:val="15"/>
          <w:szCs w:val="15"/>
        </w:rPr>
        <w:t xml:space="preserve">Summary 2   </w:t>
      </w:r>
      <w:r>
        <w:rPr>
          <w:color w:val="6B7280"/>
          <w:sz w:val="15"/>
          <w:szCs w:val="15"/>
        </w:rPr>
        <w:t xml:space="preserve">The matching principle says: record expenses in the same period as the revenues they help to produce. There are three ways to apply it. Some costs link directly to a sale. Cost of goods sold is the classic example: Orontes records it at the same time as the sales revenue. Systematic and rational allocation. Some costs help many periods, such as a bottling line. Depreciation spreads the cost over the years of use. Some costs have no clear link to future revenue, such as most advertising and office salaries. They are expenses in the period in which they are incurred. The accrual basis creates four common types of adjustment. You met three of them in the February transactions.</w:t>
      </w:r>
    </w:p>
    <w:p>
      <w:pPr>
        <w:spacing w:before="20" w:after="20"/>
        <w:ind w:left="240" w:hanging="240"/>
      </w:pPr>
      <w:r>
        <w:rPr>
          <w:b/>
          <w:bCs/>
          <w:color w:val="353A7C"/>
          <w:sz w:val="15"/>
          <w:szCs w:val="15"/>
        </w:rPr>
        <w:t xml:space="preserve">Summary 3   </w:t>
      </w:r>
      <w:r>
        <w:rPr>
          <w:color w:val="6B7280"/>
          <w:sz w:val="15"/>
          <w:szCs w:val="15"/>
        </w:rPr>
        <w:t xml:space="preserve">Two of these names are important for the exam. A prepaid expense is an asset: the company has paid for a future benefit. A contract liability (unearned revenue) is a liability: the company must still deliver the goods or services.</w:t>
      </w:r>
    </w:p>
    <w:p>
      <w:pPr>
        <w:spacing w:before="20" w:after="20"/>
        <w:ind w:left="240" w:hanging="240"/>
      </w:pPr>
      <w:r>
        <w:rPr>
          <w:b/>
          <w:bCs/>
          <w:color w:val="353A7C"/>
          <w:sz w:val="15"/>
          <w:szCs w:val="15"/>
        </w:rPr>
        <w:t xml:space="preserve">Summary 4   </w:t>
      </w:r>
      <w:r>
        <w:rPr>
          <w:color w:val="6B7280"/>
          <w:sz w:val="15"/>
          <w:szCs w:val="15"/>
        </w:rPr>
        <w:t xml:space="preserve">Cash received in advance is a liability, not revenue. Cash paid in advance is an asset, not an expense. Matching means matching expenses to revenues, not to cash payments.</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1.5  Who writes the rules? U.S. GAAP and IFRS</w:t>
            </w:r>
          </w:p>
          <w:p>
            <w:pPr>
              <w:spacing w:before="0" w:after="46"/>
            </w:pPr>
            <w:r>
              <w:rPr>
                <w:color w:val="E8EAF6"/>
                <w:sz w:val="16"/>
                <w:szCs w:val="16"/>
              </w:rPr>
              <w:t xml:space="preserve">Chapter 1 · section 1.5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In the United States, the accounting rules are called U.S. GAAP (generally accepted accounting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The FASB (Financial Accounting Standards Board)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them. </w:t>
      </w:r>
      <w:r>
        <w:rPr>
          <w:sz w:val="19"/>
          <w:szCs w:val="19"/>
        </w:rPr>
        <w:t xml:space="preserve">The FASB is a private, independent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keeps all U.S. GAAP in one place: the Accounting Standards Codification (ASC). </w:t>
      </w:r>
      <w:r>
        <w:rPr>
          <w:sz w:val="19"/>
          <w:szCs w:val="19"/>
        </w:rPr>
        <w:t xml:space="preserve">The ASC is the single source of authoritative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U.S. GAAP. </w:t>
      </w:r>
      <w:r>
        <w:rPr>
          <w:sz w:val="19"/>
          <w:szCs w:val="19"/>
        </w:rPr>
        <w:t xml:space="preserve">It is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by topic numbers. </w:t>
      </w:r>
      <w:r>
        <w:rPr>
          <w:sz w:val="19"/>
          <w:szCs w:val="19"/>
        </w:rPr>
        <w:t xml:space="preserve">For example, ASC 606 covers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and ASC 842 covers leases. </w:t>
      </w:r>
      <w:r>
        <w:rPr>
          <w:sz w:val="19"/>
          <w:szCs w:val="19"/>
        </w:rPr>
        <w:t xml:space="preserve">When the FASB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 rule, it issues an Accounting Standards Update (ASU), which amends the Codification. </w:t>
      </w:r>
      <w:r>
        <w:rPr>
          <w:sz w:val="19"/>
          <w:szCs w:val="19"/>
        </w:rPr>
        <w:t xml:space="preserve">The SEC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Exchange Commission) is a U.S. government agency. </w:t>
      </w:r>
      <w:r>
        <w:rPr>
          <w:sz w:val="19"/>
          <w:szCs w:val="19"/>
        </w:rPr>
        <w:t xml:space="preserve">It has legal authority over the financial reporting of public companies, and it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FASB as the standard setter. </w:t>
      </w:r>
      <w:r>
        <w:rPr>
          <w:sz w:val="19"/>
          <w:szCs w:val="19"/>
        </w:rPr>
        <w:t xml:space="preserve">For companies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to the SEC, SEC rules are also part of authoritative GAAP. </w:t>
      </w:r>
      <w:r>
        <w:rPr>
          <w:sz w:val="19"/>
          <w:szCs w:val="19"/>
        </w:rPr>
        <w:t xml:space="preserve">Do not confuse these bodies with the PCAOB, which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the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principles   ·   recognizes   ·   Securities   ·   report   ·   organized   ·   oversees   ·   writes   ·   organization   ·   nongovernmental   ·   U.S. GAAP   ·   changes   ·   revenue</w:t>
            </w:r>
          </w:p>
        </w:tc>
      </w:tr>
    </w:tbl>
    <w:p/>
    <w:p>
      <w:pPr>
        <w:spacing w:before="44" w:after="14"/>
      </w:pPr>
      <w:r>
        <w:rPr>
          <w:b/>
          <w:bCs/>
          <w:color w:val="353A7C"/>
          <w:sz w:val="18"/>
          <w:szCs w:val="18"/>
        </w:rPr>
        <w:t xml:space="preserve">Summary 2</w:t>
      </w:r>
      <w:r>
        <w:rPr>
          <w:color w:val="6B7280"/>
          <w:sz w:val="16"/>
          <w:szCs w:val="16"/>
        </w:rPr>
        <w:t xml:space="preserve">      gaps 12–17</w:t>
      </w:r>
    </w:p>
    <w:p>
      <w:pPr>
        <w:spacing w:before="20" w:after="20" w:line="360" w:lineRule="auto"/>
        <w:ind w:left="200"/>
      </w:pPr>
      <w:r>
        <w:rPr>
          <w:sz w:val="19"/>
          <w:szCs w:val="19"/>
        </w:rPr>
        <w:t xml:space="preserve">The PCAOB sets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standards, not accounting standards. </w:t>
      </w:r>
      <w:r>
        <w:rPr>
          <w:sz w:val="19"/>
          <w:szCs w:val="19"/>
        </w:rPr>
        <w:t xml:space="preserve">However, Section A also asks about the main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between U.S. GAAP and IFRS (Chapter 17). </w:t>
      </w:r>
      <w:r>
        <w:rPr>
          <w:sz w:val="19"/>
          <w:szCs w:val="19"/>
        </w:rPr>
        <w:t xml:space="preserve">If you learned accounting under IFRS, this is good news: most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are the same. </w:t>
      </w:r>
      <w:r>
        <w:rPr>
          <w:sz w:val="19"/>
          <w:szCs w:val="19"/>
        </w:rPr>
        <w:t xml:space="preserve">Every chapter has an IFRS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box, so Chapter 17 will be revision for you. </w:t>
      </w:r>
      <w:r>
        <w:rPr>
          <w:sz w:val="19"/>
          <w:szCs w:val="19"/>
        </w:rPr>
        <w:t xml:space="preserve">Both systems rest on a conceptual framework: the basic ideas behind the standards, such as the users, the elements and the qualities of useful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You studied the U.S. version in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1.1 and 1.2.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Contrast   ·   auditing   ·   U.S. GAAP   ·   concepts   ·   information   ·   Sections   ·   differences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809"/>
        <w:gridCol w:w="479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U.S. GAAP (used on the exam) — IFRS</w:t>
            </w:r>
          </w:p>
        </w:tc>
      </w:tr>
      <w:tr>
        <w:tc>
          <w:tcPr>
            <w:tcW w:type="pct" w:w="2505"/>
            <w:shd w:fill="353A7C" w:val="clear"/>
            <w:tcMar>
              <w:top w:type="dxa" w:w="50"/>
              <w:left w:type="dxa" w:w="110"/>
              <w:bottom w:type="dxa" w:w="50"/>
              <w:right w:type="dxa" w:w="110"/>
            </w:tcMar>
          </w:tcPr>
          <w:p>
            <w:pPr>
              <w:spacing w:before="30" w:after="30"/>
            </w:pPr>
            <w:r>
              <w:rPr>
                <w:b/>
                <w:bCs/>
                <w:color w:val="FFFFFF"/>
                <w:sz w:val="15"/>
                <w:szCs w:val="15"/>
              </w:rPr>
              <w:t xml:space="preserve">■ U.S. GAAP (used on the exam)</w:t>
            </w:r>
          </w:p>
        </w:tc>
        <w:tc>
          <w:tcPr>
            <w:tcW w:type="pct" w:w="2495"/>
            <w:shd w:fill="353A7C" w:val="clear"/>
            <w:tcMar>
              <w:top w:type="dxa" w:w="50"/>
              <w:left w:type="dxa" w:w="110"/>
              <w:bottom w:type="dxa" w:w="50"/>
              <w:right w:type="dxa" w:w="110"/>
            </w:tcMar>
          </w:tcPr>
          <w:p>
            <w:pPr>
              <w:spacing w:before="30" w:after="30"/>
            </w:pPr>
            <w:r>
              <w:rPr>
                <w:b/>
                <w:bCs/>
                <w:color w:val="FFFFFF"/>
                <w:sz w:val="15"/>
                <w:szCs w:val="15"/>
              </w:rPr>
              <w:t xml:space="preserve">● IFRS</w:t>
            </w:r>
          </w:p>
        </w:tc>
      </w:tr>
      <w:tr>
        <w:tc>
          <w:tcPr>
            <w:tcW w:type="pct" w:w="2505"/>
            <w:tcMar>
              <w:top w:type="dxa" w:w="50"/>
              <w:left w:type="dxa" w:w="110"/>
              <w:bottom w:type="dxa" w:w="50"/>
              <w:right w:type="dxa" w:w="110"/>
            </w:tcMar>
          </w:tcPr>
          <w:p>
            <w:pPr>
              <w:spacing w:before="28" w:after="28"/>
            </w:pPr>
            <w:r>
              <w:rPr>
                <w:sz w:val="15"/>
                <w:szCs w:val="15"/>
              </w:rPr>
              <w:t xml:space="preserve">balance sheet</w:t>
            </w:r>
          </w:p>
        </w:tc>
        <w:tc>
          <w:tcPr>
            <w:tcW w:type="pct" w:w="2495"/>
            <w:shd w:fill="FFFFFF" w:val="clear"/>
            <w:tcMar>
              <w:top w:type="dxa" w:w="50"/>
              <w:left w:type="dxa" w:w="110"/>
              <w:bottom w:type="dxa" w:w="50"/>
              <w:right w:type="dxa" w:w="110"/>
            </w:tcMar>
          </w:tcPr>
          <w:p>
            <w:pPr>
              <w:spacing w:before="46" w:after="46"/>
            </w:pPr>
            <w:r>
              <w:rPr>
                <w:b/>
                <w:bCs/>
                <w:color w:val="8186EF"/>
                <w:sz w:val="14"/>
                <w:szCs w:val="14"/>
              </w:rPr>
              <w:t xml:space="preserve">(18)</w:t>
            </w:r>
          </w:p>
        </w:tc>
      </w:tr>
      <w:tr>
        <w:tc>
          <w:tcPr>
            <w:tcW w:type="pct" w:w="2505"/>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495"/>
            <w:shd w:fill="FBFAF6" w:val="clear"/>
            <w:tcMar>
              <w:top w:type="dxa" w:w="50"/>
              <w:left w:type="dxa" w:w="110"/>
              <w:bottom w:type="dxa" w:w="50"/>
              <w:right w:type="dxa" w:w="110"/>
            </w:tcMar>
          </w:tcPr>
          <w:p>
            <w:pPr>
              <w:spacing w:before="28" w:after="28"/>
            </w:pPr>
            <w:r>
              <w:rPr>
                <w:sz w:val="15"/>
                <w:szCs w:val="15"/>
              </w:rPr>
              <w:t xml:space="preserve">statement of profit or loss</w:t>
            </w:r>
          </w:p>
        </w:tc>
      </w:tr>
      <w:tr>
        <w:tc>
          <w:tcPr>
            <w:tcW w:type="pct" w:w="2505"/>
            <w:tcMar>
              <w:top w:type="dxa" w:w="50"/>
              <w:left w:type="dxa" w:w="110"/>
              <w:bottom w:type="dxa" w:w="50"/>
              <w:right w:type="dxa" w:w="110"/>
            </w:tcMar>
          </w:tcPr>
          <w:p>
            <w:pPr>
              <w:spacing w:before="28" w:after="28"/>
            </w:pPr>
            <w:r>
              <w:rPr>
                <w:sz w:val="15"/>
                <w:szCs w:val="15"/>
              </w:rPr>
              <w:t xml:space="preserve">common stock</w:t>
            </w:r>
          </w:p>
        </w:tc>
        <w:tc>
          <w:tcPr>
            <w:tcW w:type="pct" w:w="2495"/>
            <w:tcMar>
              <w:top w:type="dxa" w:w="50"/>
              <w:left w:type="dxa" w:w="110"/>
              <w:bottom w:type="dxa" w:w="50"/>
              <w:right w:type="dxa" w:w="110"/>
            </w:tcMar>
          </w:tcPr>
          <w:p>
            <w:pPr>
              <w:spacing w:before="28" w:after="28"/>
            </w:pPr>
            <w:r>
              <w:rPr>
                <w:sz w:val="15"/>
                <w:szCs w:val="15"/>
              </w:rPr>
              <w:t xml:space="preserve">share capital (ordinary shares)</w:t>
            </w:r>
          </w:p>
        </w:tc>
      </w:tr>
      <w:tr>
        <w:tc>
          <w:tcPr>
            <w:tcW w:type="pct" w:w="2505"/>
            <w:shd w:fill="FBFAF6" w:val="clear"/>
            <w:tcMar>
              <w:top w:type="dxa" w:w="50"/>
              <w:left w:type="dxa" w:w="110"/>
              <w:bottom w:type="dxa" w:w="50"/>
              <w:right w:type="dxa" w:w="110"/>
            </w:tcMar>
          </w:tcPr>
          <w:p>
            <w:pPr>
              <w:spacing w:before="28" w:after="28"/>
            </w:pPr>
            <w:r>
              <w:rPr>
                <w:sz w:val="15"/>
                <w:szCs w:val="15"/>
              </w:rPr>
              <w:t xml:space="preserve">additional paid-in capital</w:t>
            </w:r>
          </w:p>
        </w:tc>
        <w:tc>
          <w:tcPr>
            <w:tcW w:type="pct" w:w="2495"/>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505"/>
            <w:tcMar>
              <w:top w:type="dxa" w:w="50"/>
              <w:left w:type="dxa" w:w="110"/>
              <w:bottom w:type="dxa" w:w="50"/>
              <w:right w:type="dxa" w:w="110"/>
            </w:tcMar>
          </w:tcPr>
          <w:p>
            <w:pPr>
              <w:spacing w:before="28" w:after="28"/>
            </w:pPr>
            <w:r>
              <w:rPr>
                <w:sz w:val="15"/>
                <w:szCs w:val="15"/>
              </w:rPr>
              <w:t xml:space="preserve">accounts receivable</w:t>
            </w:r>
          </w:p>
        </w:tc>
        <w:tc>
          <w:tcPr>
            <w:tcW w:type="pct" w:w="2495"/>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505"/>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95"/>
            <w:shd w:fill="FBFAF6" w:val="clear"/>
            <w:tcMar>
              <w:top w:type="dxa" w:w="50"/>
              <w:left w:type="dxa" w:w="110"/>
              <w:bottom w:type="dxa" w:w="50"/>
              <w:right w:type="dxa" w:w="110"/>
            </w:tcMar>
          </w:tcPr>
          <w:p>
            <w:pPr>
              <w:spacing w:before="28" w:after="28"/>
            </w:pPr>
            <w:r>
              <w:rPr>
                <w:sz w:val="15"/>
                <w:szCs w:val="15"/>
              </w:rPr>
              <w:t xml:space="preserve">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financial position   ·   share premium   ·   trade receivables   ·   statement of profit or loss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Four bodies, four jobs</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FASB: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U.S. GAAP (the ASC). </w:t>
      </w:r>
      <w:r>
        <w:rPr>
          <w:sz w:val="19"/>
          <w:szCs w:val="19"/>
        </w:rPr>
        <w:t xml:space="preserve">SEC: U.S.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agency with legal authority over public company reporting. </w:t>
      </w:r>
      <w:r>
        <w:rPr>
          <w:sz w:val="19"/>
          <w:szCs w:val="19"/>
        </w:rPr>
        <w:t xml:space="preserve">PCAOB: sets auditing standards for audits of public companies.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U.S. GAAP   ·   writes   ·   government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U.S. GAAP</w:t>
            </w:r>
          </w:p>
        </w:tc>
        <w:tc>
          <w:tcPr>
            <w:tcW w:type="pct" w:w="2600"/>
            <w:tcMar>
              <w:top w:type="dxa" w:w="50"/>
              <w:left w:type="dxa" w:w="110"/>
              <w:bottom w:type="dxa" w:w="50"/>
              <w:right w:type="dxa" w:w="110"/>
            </w:tcMar>
          </w:tcPr>
          <w:p>
            <w:pPr>
              <w:spacing w:before="26" w:after="26"/>
            </w:pPr>
            <w:r>
              <w:rPr>
                <w:color w:val="232733"/>
                <w:sz w:val="16"/>
                <w:szCs w:val="16"/>
              </w:rPr>
              <w:t xml:space="preserve">المبادئ المحاسبية المقبولة عموماً في الولايات المتحدة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IFRS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المعايير الدولية لإعداد التقارير المالية</w:t>
            </w:r>
          </w:p>
        </w:tc>
      </w:tr>
      <w:tr>
        <w:tc>
          <w:tcPr>
            <w:tcW w:type="pct" w:w="2400"/>
            <w:tcMar>
              <w:top w:type="dxa" w:w="50"/>
              <w:left w:type="dxa" w:w="110"/>
              <w:bottom w:type="dxa" w:w="50"/>
              <w:right w:type="dxa" w:w="110"/>
            </w:tcMar>
          </w:tcPr>
          <w:p>
            <w:pPr>
              <w:spacing w:before="26" w:after="26"/>
            </w:pPr>
            <w:r>
              <w:rPr>
                <w:color w:val="232733"/>
                <w:sz w:val="16"/>
                <w:szCs w:val="16"/>
              </w:rPr>
              <w:t xml:space="preserve">FASB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المالية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Accounting Standards Codification (ASC)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تقنين معايير المحاسبة</w:t>
            </w:r>
          </w:p>
        </w:tc>
      </w:tr>
      <w:tr>
        <w:tc>
          <w:tcPr>
            <w:tcW w:type="pct" w:w="2400"/>
            <w:tcMar>
              <w:top w:type="dxa" w:w="50"/>
              <w:left w:type="dxa" w:w="110"/>
              <w:bottom w:type="dxa" w:w="50"/>
              <w:right w:type="dxa" w:w="110"/>
            </w:tcMar>
          </w:tcPr>
          <w:p>
            <w:pPr>
              <w:spacing w:before="26" w:after="26"/>
            </w:pPr>
            <w:r>
              <w:rPr>
                <w:color w:val="232733"/>
                <w:sz w:val="16"/>
                <w:szCs w:val="16"/>
              </w:rPr>
              <w:t xml:space="preserve">IASB</w:t>
            </w:r>
          </w:p>
        </w:tc>
        <w:tc>
          <w:tcPr>
            <w:tcW w:type="pct" w:w="2600"/>
            <w:tcMar>
              <w:top w:type="dxa" w:w="50"/>
              <w:left w:type="dxa" w:w="110"/>
              <w:bottom w:type="dxa" w:w="50"/>
              <w:right w:type="dxa" w:w="110"/>
            </w:tcMar>
          </w:tcPr>
          <w:p>
            <w:pPr>
              <w:spacing w:before="26" w:after="26"/>
            </w:pPr>
            <w:r>
              <w:rPr>
                <w:color w:val="232733"/>
                <w:sz w:val="16"/>
                <w:szCs w:val="16"/>
              </w:rPr>
              <w:t xml:space="preserve">مجلس معايير المحاسبة الدولية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SEC</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هيئة الأوراق المالية والبورصات الأمريكية</w:t>
            </w:r>
          </w:p>
        </w:tc>
      </w:tr>
      <w:tr>
        <w:tc>
          <w:tcPr>
            <w:tcW w:type="pct" w:w="2400"/>
            <w:tcMar>
              <w:top w:type="dxa" w:w="50"/>
              <w:left w:type="dxa" w:w="110"/>
              <w:bottom w:type="dxa" w:w="50"/>
              <w:right w:type="dxa" w:w="110"/>
            </w:tcMar>
          </w:tcPr>
          <w:p>
            <w:pPr>
              <w:spacing w:before="26" w:after="26"/>
            </w:pPr>
            <w:r>
              <w:rPr>
                <w:color w:val="232733"/>
                <w:sz w:val="16"/>
                <w:szCs w:val="16"/>
              </w:rPr>
              <w:t xml:space="preserve">conceptual framework</w:t>
            </w:r>
          </w:p>
        </w:tc>
        <w:tc>
          <w:tcPr>
            <w:tcW w:type="pct" w:w="2600"/>
            <w:tcMar>
              <w:top w:type="dxa" w:w="50"/>
              <w:left w:type="dxa" w:w="110"/>
              <w:bottom w:type="dxa" w:w="50"/>
              <w:right w:type="dxa" w:w="110"/>
            </w:tcMar>
          </w:tcPr>
          <w:p>
            <w:pPr>
              <w:spacing w:before="26" w:after="26"/>
            </w:pPr>
            <w:r>
              <w:rPr>
                <w:color w:val="232733"/>
                <w:sz w:val="16"/>
                <w:szCs w:val="16"/>
              </w:rPr>
              <w:t xml:space="preserve">الإطار المفاهيمي</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1.5  Who writes the rules? U.S. GAAP and IFRS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principles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auditing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writes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differences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organization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concepts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nongovernmental</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Contrast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organized</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information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changes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statement of financial position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share premium</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recognizes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trade receivables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writes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oversees</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government</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 the United States, the accounting rules are called U.S. GAAP (generally accepted accounting principles). The FASB (Financial Accounting Standards Board) writes them. The FASB is a private, independent organization. It keeps all U.S. GAAP in one place: the Accounting Standards Codification (ASC). The ASC is the single source of authoritative nongovernmental U.S. GAAP. It is organized by topic numbers. For example, ASC 606 covers revenue and ASC 842 covers leases. When the FASB changes a rule, it issues an Accounting Standards Update (ASU), which amends the Codification. The SEC (Securities and Exchange Commission) is a U.S. government agency. It has legal authority over the financial reporting of public companies, and it recognizes the FASB as the standard setter. For companies that report to the SEC, SEC rules are also part of authoritative GAAP. Do not confuse these bodies with the PCAOB, which oversees the audits of public companies.</w:t>
      </w:r>
    </w:p>
    <w:p>
      <w:pPr>
        <w:spacing w:before="20" w:after="20"/>
        <w:ind w:left="240" w:hanging="240"/>
      </w:pPr>
      <w:r>
        <w:rPr>
          <w:b/>
          <w:bCs/>
          <w:color w:val="353A7C"/>
          <w:sz w:val="15"/>
          <w:szCs w:val="15"/>
        </w:rPr>
        <w:t xml:space="preserve">Summary 2   </w:t>
      </w:r>
      <w:r>
        <w:rPr>
          <w:color w:val="6B7280"/>
          <w:sz w:val="15"/>
          <w:szCs w:val="15"/>
        </w:rPr>
        <w:t xml:space="preserve">The PCAOB sets auditing standards, not accounting standards. However, Section A also asks about the main differences between U.S. GAAP and IFRS (Chapter 17). If you learned accounting under IFRS, this is good news: most concepts are the same. Every chapter has an IFRS Contrast box, so Chapter 17 will be revision for you. Both systems rest on a conceptual framework: the basic ideas behind the standards, such as the users, the elements and the qualities of useful information. You studied the U.S. version in Sections 1.1 and 1.2.</w:t>
      </w:r>
    </w:p>
    <w:p>
      <w:pPr>
        <w:spacing w:before="20" w:after="20"/>
        <w:ind w:left="240" w:hanging="240"/>
      </w:pPr>
      <w:r>
        <w:rPr>
          <w:b/>
          <w:bCs/>
          <w:color w:val="353A7C"/>
          <w:sz w:val="15"/>
          <w:szCs w:val="15"/>
        </w:rPr>
        <w:t xml:space="preserve">Summary 3   </w:t>
      </w:r>
      <w:r>
        <w:rPr>
          <w:color w:val="6B7280"/>
          <w:sz w:val="15"/>
          <w:szCs w:val="15"/>
        </w:rPr>
        <w:t xml:space="preserve">FASB: writes U.S. GAAP (the ASC). SEC: U.S. government agency with legal authority over public company reporting. PCAOB: sets auditing standards for audits of public companies.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  A first look at the four statements</w:t>
            </w:r>
          </w:p>
          <w:p>
            <w:pPr>
              <w:spacing w:before="0" w:after="46"/>
            </w:pPr>
            <w:r>
              <w:rPr>
                <w:color w:val="E8EAF6"/>
                <w:sz w:val="16"/>
                <w:szCs w:val="16"/>
              </w:rPr>
              <w:t xml:space="preserve">Chapter 1 · section 1.6</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Each statement answers a different question for users.</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671"/>
        <w:gridCol w:w="4992"/>
        <w:gridCol w:w="1073"/>
        <w:gridCol w:w="86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Statement — Question it answers</w:t>
            </w:r>
          </w:p>
        </w:tc>
      </w:tr>
      <w:tr>
        <w:tc>
          <w:tcPr>
            <w:tcW w:type="pct" w:w="1391"/>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Question it answers</w:t>
            </w:r>
          </w:p>
        </w:tc>
        <w:tc>
          <w:tcPr>
            <w:tcW w:type="pct" w:w="559"/>
            <w:shd w:fill="353A7C" w:val="clear"/>
            <w:tcMar>
              <w:top w:type="dxa" w:w="50"/>
              <w:left w:type="dxa" w:w="110"/>
              <w:bottom w:type="dxa" w:w="50"/>
              <w:right w:type="dxa" w:w="110"/>
            </w:tcMar>
          </w:tcPr>
          <w:p>
            <w:pPr>
              <w:spacing w:before="30" w:after="30"/>
            </w:pPr>
            <w:r>
              <w:rPr>
                <w:b/>
                <w:bCs/>
                <w:color w:val="FFFFFF"/>
                <w:sz w:val="15"/>
                <w:szCs w:val="15"/>
              </w:rPr>
              <w:t xml:space="preserve">Time</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Chapter</w:t>
            </w:r>
          </w:p>
        </w:tc>
      </w:tr>
      <w:tr>
        <w:tc>
          <w:tcPr>
            <w:tcW w:type="pct" w:w="1391"/>
            <w:tcMar>
              <w:top w:type="dxa" w:w="50"/>
              <w:left w:type="dxa" w:w="110"/>
              <w:bottom w:type="dxa" w:w="50"/>
              <w:right w:type="dxa" w:w="110"/>
            </w:tcMar>
          </w:tcPr>
          <w:p>
            <w:pPr>
              <w:spacing w:before="28" w:after="28"/>
            </w:pPr>
            <w:r>
              <w:rPr>
                <w:sz w:val="15"/>
                <w:szCs w:val="15"/>
              </w:rPr>
              <w:t xml:space="preserve">Balance sheet</w:t>
            </w:r>
          </w:p>
        </w:tc>
        <w:tc>
          <w:tcPr>
            <w:tcW w:type="pct" w:w="2600"/>
            <w:tcMar>
              <w:top w:type="dxa" w:w="50"/>
              <w:left w:type="dxa" w:w="110"/>
              <w:bottom w:type="dxa" w:w="50"/>
              <w:right w:type="dxa" w:w="110"/>
            </w:tcMar>
          </w:tcPr>
          <w:p>
            <w:pPr>
              <w:spacing w:before="28" w:after="28"/>
            </w:pPr>
            <w:r>
              <w:rPr>
                <w:sz w:val="15"/>
                <w:szCs w:val="15"/>
              </w:rPr>
              <w:t xml:space="preserve">What does the company have and owe, and what is the owners' claim?</w:t>
            </w:r>
          </w:p>
        </w:tc>
        <w:tc>
          <w:tcPr>
            <w:tcW w:type="pct" w:w="559"/>
            <w:shd w:fill="FFFFFF" w:val="clear"/>
            <w:tcMar>
              <w:top w:type="dxa" w:w="50"/>
              <w:left w:type="dxa" w:w="110"/>
              <w:bottom w:type="dxa" w:w="50"/>
              <w:right w:type="dxa" w:w="110"/>
            </w:tcMar>
          </w:tcPr>
          <w:p>
            <w:pPr>
              <w:spacing w:before="46" w:after="46"/>
            </w:pPr>
            <w:r>
              <w:rPr>
                <w:b/>
                <w:bCs/>
                <w:color w:val="8186EF"/>
                <w:sz w:val="14"/>
                <w:szCs w:val="14"/>
              </w:rPr>
              <w:t xml:space="preserve">(1)</w:t>
            </w:r>
          </w:p>
        </w:tc>
        <w:tc>
          <w:tcPr>
            <w:tcW w:type="pct" w:w="450"/>
            <w:tcMar>
              <w:top w:type="dxa" w:w="50"/>
              <w:left w:type="dxa" w:w="110"/>
              <w:bottom w:type="dxa" w:w="50"/>
              <w:right w:type="dxa" w:w="110"/>
            </w:tcMar>
          </w:tcPr>
          <w:p>
            <w:pPr>
              <w:spacing w:before="28" w:after="28"/>
            </w:pPr>
            <w:r>
              <w:rPr>
                <w:sz w:val="15"/>
                <w:szCs w:val="15"/>
              </w:rPr>
              <w:t xml:space="preserve">2</w:t>
            </w:r>
          </w:p>
        </w:tc>
      </w:tr>
      <w:tr>
        <w:tc>
          <w:tcPr>
            <w:tcW w:type="pct" w:w="1391"/>
            <w:shd w:fill="FBFAF6" w:val="clear"/>
            <w:tcMar>
              <w:top w:type="dxa" w:w="50"/>
              <w:left w:type="dxa" w:w="110"/>
              <w:bottom w:type="dxa" w:w="50"/>
              <w:right w:type="dxa" w:w="110"/>
            </w:tcMar>
          </w:tcPr>
          <w:p>
            <w:pPr>
              <w:spacing w:before="28" w:after="28"/>
            </w:pPr>
            <w:r>
              <w:rPr>
                <w:sz w:val="15"/>
                <w:szCs w:val="15"/>
              </w:rPr>
              <w:t xml:space="preserve">Income statement</w:t>
            </w:r>
          </w:p>
        </w:tc>
        <w:tc>
          <w:tcPr>
            <w:tcW w:type="pct" w:w="2600"/>
            <w:shd w:fill="FBFAF6" w:val="clear"/>
            <w:tcMar>
              <w:top w:type="dxa" w:w="50"/>
              <w:left w:type="dxa" w:w="110"/>
              <w:bottom w:type="dxa" w:w="50"/>
              <w:right w:type="dxa" w:w="110"/>
            </w:tcMar>
          </w:tcPr>
          <w:p>
            <w:pPr>
              <w:spacing w:before="28" w:after="28"/>
            </w:pPr>
            <w:r>
              <w:rPr>
                <w:sz w:val="15"/>
                <w:szCs w:val="15"/>
              </w:rPr>
              <w:t xml:space="preserve">How did the company perform?</w:t>
            </w:r>
          </w:p>
        </w:tc>
        <w:tc>
          <w:tcPr>
            <w:tcW w:type="pct" w:w="559"/>
            <w:shd w:fill="FBFAF6" w:val="clear"/>
            <w:tcMar>
              <w:top w:type="dxa" w:w="50"/>
              <w:left w:type="dxa" w:w="110"/>
              <w:bottom w:type="dxa" w:w="50"/>
              <w:right w:type="dxa" w:w="110"/>
            </w:tcMar>
          </w:tcPr>
          <w:p>
            <w:pPr>
              <w:spacing w:before="28" w:after="28"/>
            </w:pPr>
            <w:r>
              <w:rPr>
                <w:sz w:val="15"/>
                <w:szCs w:val="15"/>
              </w:rPr>
              <w:t xml:space="preserve">for a period</w:t>
            </w:r>
          </w:p>
        </w:tc>
        <w:tc>
          <w:tcPr>
            <w:tcW w:type="pct" w:w="450"/>
            <w:shd w:fill="FBFAF6" w:val="clear"/>
            <w:tcMar>
              <w:top w:type="dxa" w:w="50"/>
              <w:left w:type="dxa" w:w="110"/>
              <w:bottom w:type="dxa" w:w="50"/>
              <w:right w:type="dxa" w:w="110"/>
            </w:tcMar>
          </w:tcPr>
          <w:p>
            <w:pPr>
              <w:spacing w:before="28" w:after="28"/>
            </w:pPr>
            <w:r>
              <w:rPr>
                <w:sz w:val="15"/>
                <w:szCs w:val="15"/>
              </w:rPr>
              <w:t xml:space="preserve">3</w:t>
            </w:r>
          </w:p>
        </w:tc>
      </w:tr>
      <w:tr>
        <w:tc>
          <w:tcPr>
            <w:tcW w:type="pct" w:w="1391"/>
            <w:tcMar>
              <w:top w:type="dxa" w:w="50"/>
              <w:left w:type="dxa" w:w="110"/>
              <w:bottom w:type="dxa" w:w="50"/>
              <w:right w:type="dxa" w:w="110"/>
            </w:tcMar>
          </w:tcPr>
          <w:p>
            <w:pPr>
              <w:spacing w:before="28" w:after="28"/>
            </w:pPr>
            <w:r>
              <w:rPr>
                <w:sz w:val="15"/>
                <w:szCs w:val="15"/>
              </w:rPr>
              <w:t xml:space="preserve">Statement of changes in equity</w:t>
            </w:r>
          </w:p>
        </w:tc>
        <w:tc>
          <w:tcPr>
            <w:tcW w:type="pct" w:w="2600"/>
            <w:tcMar>
              <w:top w:type="dxa" w:w="50"/>
              <w:left w:type="dxa" w:w="110"/>
              <w:bottom w:type="dxa" w:w="50"/>
              <w:right w:type="dxa" w:w="110"/>
            </w:tcMar>
          </w:tcPr>
          <w:p>
            <w:pPr>
              <w:spacing w:before="28" w:after="28"/>
            </w:pPr>
            <w:r>
              <w:rPr>
                <w:sz w:val="15"/>
                <w:szCs w:val="15"/>
              </w:rPr>
              <w:t xml:space="preserve">Why did each equity account change?</w:t>
            </w:r>
          </w:p>
        </w:tc>
        <w:tc>
          <w:tcPr>
            <w:tcW w:type="pct" w:w="559"/>
            <w:tcMar>
              <w:top w:type="dxa" w:w="50"/>
              <w:left w:type="dxa" w:w="110"/>
              <w:bottom w:type="dxa" w:w="50"/>
              <w:right w:type="dxa" w:w="110"/>
            </w:tcMar>
          </w:tcPr>
          <w:p>
            <w:pPr>
              <w:spacing w:before="28" w:after="28"/>
            </w:pPr>
            <w:r>
              <w:rPr>
                <w:sz w:val="15"/>
                <w:szCs w:val="15"/>
              </w:rPr>
              <w:t xml:space="preserve">for a period</w:t>
            </w:r>
          </w:p>
        </w:tc>
        <w:tc>
          <w:tcPr>
            <w:tcW w:type="pct" w:w="450"/>
            <w:tcMar>
              <w:top w:type="dxa" w:w="50"/>
              <w:left w:type="dxa" w:w="110"/>
              <w:bottom w:type="dxa" w:w="50"/>
              <w:right w:type="dxa" w:w="110"/>
            </w:tcMar>
          </w:tcPr>
          <w:p>
            <w:pPr>
              <w:spacing w:before="28" w:after="28"/>
            </w:pPr>
            <w:r>
              <w:rPr>
                <w:sz w:val="15"/>
                <w:szCs w:val="15"/>
              </w:rPr>
              <w:t xml:space="preserve">4</w:t>
            </w:r>
          </w:p>
        </w:tc>
      </w:tr>
      <w:tr>
        <w:tc>
          <w:tcPr>
            <w:tcW w:type="pct" w:w="1391"/>
            <w:shd w:fill="FBFAF6" w:val="clear"/>
            <w:tcMar>
              <w:top w:type="dxa" w:w="50"/>
              <w:left w:type="dxa" w:w="110"/>
              <w:bottom w:type="dxa" w:w="50"/>
              <w:right w:type="dxa" w:w="110"/>
            </w:tcMar>
          </w:tcPr>
          <w:p>
            <w:pPr>
              <w:spacing w:before="28" w:after="28"/>
            </w:pPr>
            <w:r>
              <w:rPr>
                <w:sz w:val="15"/>
                <w:szCs w:val="15"/>
              </w:rPr>
              <w:t xml:space="preserve">Statement of cash flows</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w:t>
            </w:r>
          </w:p>
        </w:tc>
        <w:tc>
          <w:tcPr>
            <w:tcW w:type="pct" w:w="559"/>
            <w:shd w:fill="FBFAF6" w:val="clear"/>
            <w:tcMar>
              <w:top w:type="dxa" w:w="50"/>
              <w:left w:type="dxa" w:w="110"/>
              <w:bottom w:type="dxa" w:w="50"/>
              <w:right w:type="dxa" w:w="110"/>
            </w:tcMar>
          </w:tcPr>
          <w:p>
            <w:pPr>
              <w:spacing w:before="28" w:after="28"/>
            </w:pPr>
            <w:r>
              <w:rPr>
                <w:sz w:val="15"/>
                <w:szCs w:val="15"/>
              </w:rPr>
              <w:t xml:space="preserve">for a period</w:t>
            </w:r>
          </w:p>
        </w:tc>
        <w:tc>
          <w:tcPr>
            <w:tcW w:type="pct" w:w="450"/>
            <w:shd w:fill="FBFAF6" w:val="clear"/>
            <w:tcMar>
              <w:top w:type="dxa" w:w="50"/>
              <w:left w:type="dxa" w:w="110"/>
              <w:bottom w:type="dxa" w:w="50"/>
              <w:right w:type="dxa" w:w="110"/>
            </w:tcMar>
          </w:tcPr>
          <w:p>
            <w:pPr>
              <w:spacing w:before="28" w:after="28"/>
            </w:pPr>
            <w:r>
              <w:rPr>
                <w:sz w:val="15"/>
                <w:szCs w:val="15"/>
              </w:rPr>
              <w:t xml:space="preserve">5</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How did the company perform?   ·   at a date   ·   Where did cash come from, and where did it go?</w:t>
            </w:r>
          </w:p>
        </w:tc>
      </w:tr>
    </w:tbl>
    <w:p/>
    <w:p>
      <w:pPr>
        <w:spacing w:before="44" w:after="14"/>
      </w:pPr>
      <w:r>
        <w:rPr>
          <w:b/>
          <w:bCs/>
          <w:color w:val="353A7C"/>
          <w:sz w:val="18"/>
          <w:szCs w:val="18"/>
        </w:rPr>
        <w:t xml:space="preserve">Summary 1</w:t>
      </w:r>
      <w:r>
        <w:rPr>
          <w:color w:val="6B7280"/>
          <w:sz w:val="16"/>
          <w:szCs w:val="16"/>
        </w:rPr>
        <w:t xml:space="preserve">      gaps 3–8</w:t>
      </w:r>
    </w:p>
    <w:p>
      <w:pPr>
        <w:spacing w:before="20" w:after="20" w:line="360" w:lineRule="auto"/>
        <w:ind w:left="200"/>
      </w:pPr>
      <w:r>
        <w:rPr>
          <w:sz w:val="19"/>
          <w:szCs w:val="19"/>
        </w:rPr>
        <w:t xml:space="preserve">You can see both links in the January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of Orontes. </w:t>
      </w:r>
      <w:r>
        <w:rPr>
          <w:sz w:val="19"/>
          <w:szCs w:val="19"/>
        </w:rPr>
        <w:t xml:space="preserve">Net income was 80: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300, minus cost of goods sold of 180, minus wages of 40.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declared was 50, so retained earnings rose by 30. </w:t>
      </w:r>
      <w:r>
        <w:rPr>
          <w:sz w:val="19"/>
          <w:szCs w:val="19"/>
        </w:rPr>
        <w:t xml:space="preserve">Cash rose by 1,060: 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outflow of 40, an investing outflow of 1,200 and a financing inflow of 2,300. </w:t>
      </w:r>
      <w:r>
        <w:rPr>
          <w:sz w:val="19"/>
          <w:szCs w:val="19"/>
        </w:rPr>
        <w:t xml:space="preserve">Notice that net income and the change in cash are very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numbers. </w:t>
      </w:r>
      <w:r>
        <w:rPr>
          <w:sz w:val="19"/>
          <w:szCs w:val="19"/>
        </w:rPr>
        <w:t xml:space="preserve">This is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basis at work.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dividend   ·   revenue   ·   transactions   ·   income statement   ·   operating   ·   accrual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2306"/>
        <w:gridCol w:w="2302"/>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Barada Wholesale, Inc. — trial balance, December 31, 2025 (USD 000)</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Account</w:t>
            </w:r>
          </w:p>
        </w:tc>
        <w:tc>
          <w:tcPr>
            <w:tcW w:type="pct" w:w="1201"/>
            <w:shd w:fill="353A7C" w:val="clear"/>
            <w:tcMar>
              <w:top w:type="dxa" w:w="50"/>
              <w:left w:type="dxa" w:w="110"/>
              <w:bottom w:type="dxa" w:w="50"/>
              <w:right w:type="dxa" w:w="110"/>
            </w:tcMar>
          </w:tcPr>
          <w:p>
            <w:pPr>
              <w:spacing w:before="30" w:after="30"/>
            </w:pPr>
            <w:r>
              <w:rPr>
                <w:b/>
                <w:bCs/>
                <w:color w:val="FFFFFF"/>
                <w:sz w:val="15"/>
                <w:szCs w:val="15"/>
              </w:rPr>
              <w:t xml:space="preserve">Debit</w:t>
            </w:r>
          </w:p>
        </w:tc>
        <w:tc>
          <w:tcPr>
            <w:tcW w:type="pct" w:w="1199"/>
            <w:shd w:fill="353A7C" w:val="clear"/>
            <w:tcMar>
              <w:top w:type="dxa" w:w="50"/>
              <w:left w:type="dxa" w:w="110"/>
              <w:bottom w:type="dxa" w:w="50"/>
              <w:right w:type="dxa" w:w="110"/>
            </w:tcMar>
          </w:tcPr>
          <w:p>
            <w:pPr>
              <w:spacing w:before="30" w:after="30"/>
            </w:pPr>
            <w:r>
              <w:rPr>
                <w:b/>
                <w:bCs/>
                <w:color w:val="FFFFFF"/>
                <w:sz w:val="15"/>
                <w:szCs w:val="15"/>
              </w:rPr>
              <w:t xml:space="preserve">Credit</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1201"/>
            <w:tcMar>
              <w:top w:type="dxa" w:w="50"/>
              <w:left w:type="dxa" w:w="110"/>
              <w:bottom w:type="dxa" w:w="50"/>
              <w:right w:type="dxa" w:w="110"/>
            </w:tcMar>
          </w:tcPr>
          <w:p>
            <w:pPr>
              <w:spacing w:before="28" w:after="28"/>
            </w:pPr>
            <w:r>
              <w:rPr>
                <w:sz w:val="15"/>
                <w:szCs w:val="15"/>
              </w:rPr>
              <w:t xml:space="preserve">1,050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(10)</w:t>
            </w:r>
          </w:p>
        </w:tc>
        <w:tc>
          <w:tcPr>
            <w:tcW w:type="pct" w:w="1201"/>
            <w:shd w:fill="FBFAF6" w:val="clear"/>
            <w:tcMar>
              <w:top w:type="dxa" w:w="50"/>
              <w:left w:type="dxa" w:w="110"/>
              <w:bottom w:type="dxa" w:w="50"/>
              <w:right w:type="dxa" w:w="110"/>
            </w:tcMar>
          </w:tcPr>
          <w:p>
            <w:pPr>
              <w:spacing w:before="28" w:after="28"/>
            </w:pPr>
            <w:r>
              <w:rPr>
                <w:sz w:val="15"/>
                <w:szCs w:val="15"/>
              </w:rPr>
              <w:t xml:space="preserve">300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20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1201"/>
            <w:shd w:fill="FBFAF6" w:val="clear"/>
            <w:tcMar>
              <w:top w:type="dxa" w:w="50"/>
              <w:left w:type="dxa" w:w="110"/>
              <w:bottom w:type="dxa" w:w="50"/>
              <w:right w:type="dxa" w:w="110"/>
            </w:tcMar>
          </w:tcPr>
          <w:p>
            <w:pPr>
              <w:spacing w:before="28" w:after="28"/>
            </w:pPr>
            <w:r>
              <w:rPr>
                <w:sz w:val="15"/>
                <w:szCs w:val="15"/>
              </w:rPr>
              <w:t xml:space="preserve">420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Prepaid rent</w:t>
            </w:r>
          </w:p>
        </w:tc>
        <w:tc>
          <w:tcPr>
            <w:tcW w:type="pct" w:w="1201"/>
            <w:tcMar>
              <w:top w:type="dxa" w:w="50"/>
              <w:left w:type="dxa" w:w="110"/>
              <w:bottom w:type="dxa" w:w="50"/>
              <w:right w:type="dxa" w:w="110"/>
            </w:tcMar>
          </w:tcPr>
          <w:p>
            <w:pPr>
              <w:spacing w:before="28" w:after="28"/>
            </w:pPr>
            <w:r>
              <w:rPr>
                <w:sz w:val="15"/>
                <w:szCs w:val="15"/>
              </w:rPr>
              <w:t xml:space="preserve">24</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Land</w:t>
            </w:r>
          </w:p>
        </w:tc>
        <w:tc>
          <w:tcPr>
            <w:tcW w:type="pct" w:w="1201"/>
            <w:shd w:fill="FBFAF6" w:val="clear"/>
            <w:tcMar>
              <w:top w:type="dxa" w:w="50"/>
              <w:left w:type="dxa" w:w="110"/>
              <w:bottom w:type="dxa" w:w="50"/>
              <w:right w:type="dxa" w:w="110"/>
            </w:tcMar>
          </w:tcPr>
          <w:p>
            <w:pPr>
              <w:spacing w:before="28" w:after="28"/>
            </w:pPr>
            <w:r>
              <w:rPr>
                <w:sz w:val="15"/>
                <w:szCs w:val="15"/>
              </w:rPr>
              <w:t xml:space="preserve">936</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Equipment</w:t>
            </w:r>
          </w:p>
        </w:tc>
        <w:tc>
          <w:tcPr>
            <w:tcW w:type="pct" w:w="1201"/>
            <w:tcMar>
              <w:top w:type="dxa" w:w="50"/>
              <w:left w:type="dxa" w:w="110"/>
              <w:bottom w:type="dxa" w:w="50"/>
              <w:right w:type="dxa" w:w="110"/>
            </w:tcMar>
          </w:tcPr>
          <w:p>
            <w:pPr>
              <w:spacing w:before="28" w:after="28"/>
            </w:pPr>
            <w:r>
              <w:rPr>
                <w:sz w:val="15"/>
                <w:szCs w:val="15"/>
              </w:rPr>
              <w:t xml:space="preserve">4,200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900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380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00"/>
            <w:tcMar>
              <w:top w:type="dxa" w:w="50"/>
              <w:left w:type="dxa" w:w="110"/>
              <w:bottom w:type="dxa" w:w="50"/>
              <w:right w:type="dxa" w:w="110"/>
            </w:tcMar>
          </w:tcPr>
          <w:p>
            <w:pPr>
              <w:spacing w:before="28" w:after="28"/>
            </w:pPr>
            <w:r>
              <w:rPr>
                <w:sz w:val="15"/>
                <w:szCs w:val="15"/>
              </w:rPr>
              <w:t xml:space="preserve">Notes payable (long-term)</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Common stock</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600</w:t>
            </w:r>
          </w:p>
        </w:tc>
      </w:tr>
      <w:tr>
        <w:tc>
          <w:tcPr>
            <w:tcW w:type="pct" w:w="2600"/>
            <w:tcMar>
              <w:top w:type="dxa" w:w="50"/>
              <w:left w:type="dxa" w:w="110"/>
              <w:bottom w:type="dxa" w:w="50"/>
              <w:right w:type="dxa" w:w="110"/>
            </w:tcMar>
          </w:tcPr>
          <w:p>
            <w:pPr>
              <w:spacing w:before="28" w:after="28"/>
            </w:pPr>
            <w:r>
              <w:rPr>
                <w:sz w:val="15"/>
                <w:szCs w:val="15"/>
              </w:rPr>
              <w:t xml:space="preserve">Additional paid-in capital</w:t>
            </w:r>
          </w:p>
        </w:tc>
        <w:tc>
          <w:tcPr>
            <w:tcW w:type="pct" w:w="1201"/>
            <w:tcMar>
              <w:top w:type="dxa" w:w="50"/>
              <w:left w:type="dxa" w:w="110"/>
              <w:bottom w:type="dxa" w:w="50"/>
              <w:right w:type="dxa" w:w="110"/>
            </w:tcMar>
          </w:tcPr>
          <w:p>
            <w:pPr>
              <w:spacing w:before="28" w:after="28"/>
            </w:pPr>
            <w:r>
              <w:rPr>
                <w:sz w:val="15"/>
                <w:szCs w:val="15"/>
              </w:rPr>
              <w:t xml:space="preserve"> </w:t>
            </w:r>
          </w:p>
        </w:tc>
        <w:tc>
          <w:tcPr>
            <w:tcW w:type="pct" w:w="1199"/>
            <w:tcMar>
              <w:top w:type="dxa" w:w="50"/>
              <w:left w:type="dxa" w:w="110"/>
              <w:bottom w:type="dxa" w:w="50"/>
              <w:right w:type="dxa" w:w="110"/>
            </w:tcMar>
          </w:tcPr>
          <w:p>
            <w:pPr>
              <w:spacing w:before="28" w:after="28"/>
            </w:pPr>
            <w:r>
              <w:rPr>
                <w:sz w:val="15"/>
                <w:szCs w:val="15"/>
              </w:rPr>
              <w:t xml:space="preserve">1,900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Retained earnings, January 1</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1,000</w:t>
            </w:r>
          </w:p>
        </w:tc>
      </w:tr>
      <w:tr>
        <w:tc>
          <w:tcPr>
            <w:tcW w:type="pct" w:w="2600"/>
            <w:tcMar>
              <w:top w:type="dxa" w:w="50"/>
              <w:left w:type="dxa" w:w="110"/>
              <w:bottom w:type="dxa" w:w="50"/>
              <w:right w:type="dxa" w:w="110"/>
            </w:tcMar>
          </w:tcPr>
          <w:p>
            <w:pPr>
              <w:spacing w:before="28" w:after="28"/>
            </w:pPr>
            <w:r>
              <w:rPr>
                <w:sz w:val="15"/>
                <w:szCs w:val="15"/>
              </w:rPr>
              <w:t xml:space="preserve">Dividends declared</w:t>
            </w:r>
          </w:p>
        </w:tc>
        <w:tc>
          <w:tcPr>
            <w:tcW w:type="pct" w:w="1201"/>
            <w:tcMar>
              <w:top w:type="dxa" w:w="50"/>
              <w:left w:type="dxa" w:w="110"/>
              <w:bottom w:type="dxa" w:w="50"/>
              <w:right w:type="dxa" w:w="110"/>
            </w:tcMar>
          </w:tcPr>
          <w:p>
            <w:pPr>
              <w:spacing w:before="28" w:after="28"/>
            </w:pPr>
            <w:r>
              <w:rPr>
                <w:sz w:val="15"/>
                <w:szCs w:val="15"/>
              </w:rPr>
              <w:t xml:space="preserve">50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Sales revenue</w:t>
            </w:r>
          </w:p>
        </w:tc>
        <w:tc>
          <w:tcPr>
            <w:tcW w:type="pct" w:w="1201"/>
            <w:shd w:fill="FBFAF6" w:val="clear"/>
            <w:tcMar>
              <w:top w:type="dxa" w:w="50"/>
              <w:left w:type="dxa" w:w="110"/>
              <w:bottom w:type="dxa" w:w="50"/>
              <w:right w:type="dxa" w:w="110"/>
            </w:tcMar>
          </w:tcPr>
          <w:p>
            <w:pPr>
              <w:spacing w:before="28" w:after="28"/>
            </w:pPr>
            <w:r>
              <w:rPr>
                <w:sz w:val="15"/>
                <w:szCs w:val="15"/>
              </w:rPr>
              <w:t xml:space="preserve"> </w:t>
            </w:r>
          </w:p>
        </w:tc>
        <w:tc>
          <w:tcPr>
            <w:tcW w:type="pct" w:w="1199"/>
            <w:shd w:fill="FBFAF6" w:val="clear"/>
            <w:tcMar>
              <w:top w:type="dxa" w:w="50"/>
              <w:left w:type="dxa" w:w="110"/>
              <w:bottom w:type="dxa" w:w="50"/>
              <w:right w:type="dxa" w:w="110"/>
            </w:tcMar>
          </w:tcPr>
          <w:p>
            <w:pPr>
              <w:spacing w:before="28" w:after="28"/>
            </w:pPr>
            <w:r>
              <w:rPr>
                <w:sz w:val="15"/>
                <w:szCs w:val="15"/>
              </w:rPr>
              <w:t xml:space="preserve">3,100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1201"/>
            <w:tcMar>
              <w:top w:type="dxa" w:w="50"/>
              <w:left w:type="dxa" w:w="110"/>
              <w:bottom w:type="dxa" w:w="50"/>
              <w:right w:type="dxa" w:w="110"/>
            </w:tcMar>
          </w:tcPr>
          <w:p>
            <w:pPr>
              <w:spacing w:before="28" w:after="28"/>
            </w:pPr>
            <w:r>
              <w:rPr>
                <w:sz w:val="15"/>
                <w:szCs w:val="15"/>
              </w:rPr>
              <w:t xml:space="preserve">1,860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Wages expense</w:t>
            </w:r>
          </w:p>
        </w:tc>
        <w:tc>
          <w:tcPr>
            <w:tcW w:type="pct" w:w="1201"/>
            <w:shd w:fill="FBFAF6" w:val="clear"/>
            <w:tcMar>
              <w:top w:type="dxa" w:w="50"/>
              <w:left w:type="dxa" w:w="110"/>
              <w:bottom w:type="dxa" w:w="50"/>
              <w:right w:type="dxa" w:w="110"/>
            </w:tcMar>
          </w:tcPr>
          <w:p>
            <w:pPr>
              <w:spacing w:before="28" w:after="28"/>
            </w:pPr>
            <w:r>
              <w:rPr>
                <w:sz w:val="15"/>
                <w:szCs w:val="15"/>
              </w:rPr>
              <w:t xml:space="preserve">520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tcMar>
              <w:top w:type="dxa" w:w="50"/>
              <w:left w:type="dxa" w:w="110"/>
              <w:bottom w:type="dxa" w:w="50"/>
              <w:right w:type="dxa" w:w="110"/>
            </w:tcMar>
          </w:tcPr>
          <w:p>
            <w:pPr>
              <w:spacing w:before="28" w:after="28"/>
            </w:pPr>
            <w:r>
              <w:rPr>
                <w:sz w:val="15"/>
                <w:szCs w:val="15"/>
              </w:rPr>
              <w:t xml:space="preserve">Depreciation expense</w:t>
            </w:r>
          </w:p>
        </w:tc>
        <w:tc>
          <w:tcPr>
            <w:tcW w:type="pct" w:w="1201"/>
            <w:tcMar>
              <w:top w:type="dxa" w:w="50"/>
              <w:left w:type="dxa" w:w="110"/>
              <w:bottom w:type="dxa" w:w="50"/>
              <w:right w:type="dxa" w:w="110"/>
            </w:tcMar>
          </w:tcPr>
          <w:p>
            <w:pPr>
              <w:spacing w:before="28" w:after="28"/>
            </w:pPr>
            <w:r>
              <w:rPr>
                <w:sz w:val="15"/>
                <w:szCs w:val="15"/>
              </w:rPr>
              <w:t xml:space="preserve">300</w:t>
            </w:r>
          </w:p>
        </w:tc>
        <w:tc>
          <w:tcPr>
            <w:tcW w:type="pct" w:w="1199"/>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201"/>
            <w:shd w:fill="FBFAF6" w:val="clear"/>
            <w:tcMar>
              <w:top w:type="dxa" w:w="50"/>
              <w:left w:type="dxa" w:w="110"/>
              <w:bottom w:type="dxa" w:w="50"/>
              <w:right w:type="dxa" w:w="110"/>
            </w:tcMar>
          </w:tcPr>
          <w:p>
            <w:pPr>
              <w:spacing w:before="28" w:after="28"/>
            </w:pPr>
            <w:r>
              <w:rPr>
                <w:sz w:val="15"/>
                <w:szCs w:val="15"/>
              </w:rPr>
              <w:t xml:space="preserve">90</w:t>
            </w:r>
          </w:p>
        </w:tc>
        <w:tc>
          <w:tcPr>
            <w:tcW w:type="pct" w:w="1199"/>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201"/>
            <w:tcMar>
              <w:top w:type="dxa" w:w="50"/>
              <w:left w:type="dxa" w:w="110"/>
              <w:bottom w:type="dxa" w:w="50"/>
              <w:right w:type="dxa" w:w="110"/>
            </w:tcMar>
          </w:tcPr>
          <w:p>
            <w:pPr>
              <w:spacing w:before="28" w:after="28"/>
            </w:pPr>
            <w:r>
              <w:rPr>
                <w:sz w:val="15"/>
                <w:szCs w:val="15"/>
              </w:rPr>
              <w:t xml:space="preserve">9,750</w:t>
            </w:r>
          </w:p>
        </w:tc>
        <w:tc>
          <w:tcPr>
            <w:tcW w:type="pct" w:w="1199"/>
            <w:tcMar>
              <w:top w:type="dxa" w:w="50"/>
              <w:left w:type="dxa" w:w="110"/>
              <w:bottom w:type="dxa" w:w="50"/>
              <w:right w:type="dxa" w:w="110"/>
            </w:tcMar>
          </w:tcPr>
          <w:p>
            <w:pPr>
              <w:spacing w:before="28" w:after="28"/>
            </w:pPr>
            <w:r>
              <w:rPr>
                <w:sz w:val="15"/>
                <w:szCs w:val="15"/>
              </w:rPr>
              <w:t xml:space="preserve">9,750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Accounts receivable   ·   Accounts payable   ·   Cash   ·   Dividends payable   ·   Allowance for credit losses   ·   Sales revenue   ·   Accumulated depreciation   ·   Totals   ·   Cost of goods sold   ·   Interest expense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Reading exam questions</w:t>
            </w:r>
          </w:p>
        </w:tc>
      </w:tr>
    </w:tbl>
    <w:p/>
    <w:p>
      <w:pPr>
        <w:spacing w:before="44" w:after="14"/>
      </w:pPr>
      <w:r>
        <w:rPr>
          <w:b/>
          <w:bCs/>
          <w:color w:val="353A7C"/>
          <w:sz w:val="18"/>
          <w:szCs w:val="18"/>
        </w:rPr>
        <w:t xml:space="preserve">Summary 2</w:t>
      </w:r>
      <w:r>
        <w:rPr>
          <w:color w:val="6B7280"/>
          <w:sz w:val="16"/>
          <w:szCs w:val="16"/>
        </w:rPr>
        <w:t xml:space="preserve">      gaps 19–20</w:t>
      </w:r>
    </w:p>
    <w:p>
      <w:pPr>
        <w:spacing w:before="20" w:after="20" w:line="360" w:lineRule="auto"/>
        <w:ind w:left="200"/>
      </w:pPr>
      <w:r>
        <w:rPr>
          <w:sz w:val="19"/>
          <w:szCs w:val="19"/>
        </w:rPr>
        <w:t xml:space="preserve">MOST likely or BEST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more than one option may be partly true. </w:t>
      </w:r>
      <w:r>
        <w:rPr>
          <w:sz w:val="19"/>
          <w:szCs w:val="19"/>
        </w:rPr>
        <w:t xml:space="preserve">NOT or EXCEPT: three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are true.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statement   ·   describes   ·   options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1"/>
        <w:gridCol w:w="460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balance sheet</w:t>
            </w:r>
          </w:p>
        </w:tc>
        <w:tc>
          <w:tcPr>
            <w:tcW w:type="pct" w:w="2400"/>
            <w:tcMar>
              <w:top w:type="dxa" w:w="50"/>
              <w:left w:type="dxa" w:w="110"/>
              <w:bottom w:type="dxa" w:w="50"/>
              <w:right w:type="dxa" w:w="110"/>
            </w:tcMar>
          </w:tcPr>
          <w:p>
            <w:pPr>
              <w:spacing w:before="26" w:after="26"/>
            </w:pPr>
            <w:r>
              <w:rPr>
                <w:color w:val="232733"/>
                <w:sz w:val="16"/>
                <w:szCs w:val="16"/>
              </w:rPr>
              <w:t xml:space="preserve">الميزانية العمومية</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financial position</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المركز المالي</w:t>
            </w:r>
          </w:p>
        </w:tc>
      </w:tr>
      <w:tr>
        <w:tc>
          <w:tcPr>
            <w:tcW w:type="pct" w:w="2600"/>
            <w:tcMar>
              <w:top w:type="dxa" w:w="50"/>
              <w:left w:type="dxa" w:w="110"/>
              <w:bottom w:type="dxa" w:w="50"/>
              <w:right w:type="dxa" w:w="110"/>
            </w:tcMar>
          </w:tcPr>
          <w:p>
            <w:pPr>
              <w:spacing w:before="26" w:after="26"/>
            </w:pPr>
            <w:r>
              <w:rPr>
                <w:color w:val="232733"/>
                <w:sz w:val="16"/>
                <w:szCs w:val="16"/>
              </w:rPr>
              <w:t xml:space="preserve">income statement</w:t>
            </w:r>
          </w:p>
        </w:tc>
        <w:tc>
          <w:tcPr>
            <w:tcW w:type="pct" w:w="2400"/>
            <w:tcMar>
              <w:top w:type="dxa" w:w="50"/>
              <w:left w:type="dxa" w:w="110"/>
              <w:bottom w:type="dxa" w:w="50"/>
              <w:right w:type="dxa" w:w="110"/>
            </w:tcMar>
          </w:tcPr>
          <w:p>
            <w:pPr>
              <w:spacing w:before="26" w:after="26"/>
            </w:pPr>
            <w:r>
              <w:rPr>
                <w:color w:val="232733"/>
                <w:sz w:val="16"/>
                <w:szCs w:val="16"/>
              </w:rPr>
              <w:t xml:space="preserve">قائمة الدخل</w:t>
            </w:r>
          </w:p>
        </w:tc>
      </w:tr>
      <w:tr>
        <w:tc>
          <w:tcPr>
            <w:tcW w:type="pct" w:w="2600"/>
            <w:shd w:fill="FBFAF6" w:val="clear"/>
            <w:tcMar>
              <w:top w:type="dxa" w:w="50"/>
              <w:left w:type="dxa" w:w="110"/>
              <w:bottom w:type="dxa" w:w="50"/>
              <w:right w:type="dxa" w:w="110"/>
            </w:tcMar>
          </w:tcPr>
          <w:p>
            <w:pPr>
              <w:spacing w:before="26" w:after="26"/>
            </w:pPr>
            <w:r>
              <w:rPr>
                <w:color w:val="232733"/>
                <w:sz w:val="16"/>
                <w:szCs w:val="16"/>
              </w:rPr>
              <w:t xml:space="preserve">statement of changes in equity</w:t>
            </w:r>
          </w:p>
        </w:tc>
        <w:tc>
          <w:tcPr>
            <w:tcW w:type="pct" w:w="2400"/>
            <w:shd w:fill="FBFAF6" w:val="clear"/>
            <w:tcMar>
              <w:top w:type="dxa" w:w="50"/>
              <w:left w:type="dxa" w:w="110"/>
              <w:bottom w:type="dxa" w:w="50"/>
              <w:right w:type="dxa" w:w="110"/>
            </w:tcMar>
          </w:tcPr>
          <w:p>
            <w:pPr>
              <w:spacing w:before="26" w:after="26"/>
            </w:pPr>
            <w:r>
              <w:rPr>
                <w:color w:val="232733"/>
                <w:sz w:val="16"/>
                <w:szCs w:val="16"/>
              </w:rPr>
              <w:t xml:space="preserve">قائمة التغيرات في حقوق الملكية</w:t>
            </w:r>
          </w:p>
        </w:tc>
      </w:tr>
      <w:tr>
        <w:tc>
          <w:tcPr>
            <w:tcW w:type="pct" w:w="2600"/>
            <w:tcMar>
              <w:top w:type="dxa" w:w="50"/>
              <w:left w:type="dxa" w:w="110"/>
              <w:bottom w:type="dxa" w:w="50"/>
              <w:right w:type="dxa" w:w="110"/>
            </w:tcMar>
          </w:tcPr>
          <w:p>
            <w:pPr>
              <w:spacing w:before="26" w:after="26"/>
            </w:pPr>
            <w:r>
              <w:rPr>
                <w:color w:val="232733"/>
                <w:sz w:val="16"/>
                <w:szCs w:val="16"/>
              </w:rPr>
              <w:t xml:space="preserve">statement of cash flows</w:t>
            </w:r>
          </w:p>
        </w:tc>
        <w:tc>
          <w:tcPr>
            <w:tcW w:type="pct" w:w="2400"/>
            <w:tcMar>
              <w:top w:type="dxa" w:w="50"/>
              <w:left w:type="dxa" w:w="110"/>
              <w:bottom w:type="dxa" w:w="50"/>
              <w:right w:type="dxa" w:w="110"/>
            </w:tcMar>
          </w:tcPr>
          <w:p>
            <w:pPr>
              <w:spacing w:before="26" w:after="26"/>
            </w:pPr>
            <w:r>
              <w:rPr>
                <w:color w:val="232733"/>
                <w:sz w:val="16"/>
                <w:szCs w:val="16"/>
              </w:rPr>
              <w:t xml:space="preserve">قائمة التدفقات النقدية</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  A first look at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at a date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Allowance for credit losses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Where did cash come from, and where did it go?</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transactions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Accumulated 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revenue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Dividends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operating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Interest expense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accrual</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Totals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Cash</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describes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Accounts receivable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options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You can see both links in the January transactions of Orontes. Net income was 80: revenue of 300, minus cost of goods sold of 180, minus wages of 40. The dividend declared was 50, so retained earnings rose by 30. Cash rose by 1,060: an operating outflow of 40, an investing outflow of 1,200 and a financing inflow of 2,300. Notice that net income and the change in cash are very different numbers. This is the accrual basis at work.</w:t>
      </w:r>
    </w:p>
    <w:p>
      <w:pPr>
        <w:spacing w:before="20" w:after="20"/>
        <w:ind w:left="240" w:hanging="240"/>
      </w:pPr>
      <w:r>
        <w:rPr>
          <w:b/>
          <w:bCs/>
          <w:color w:val="353A7C"/>
          <w:sz w:val="15"/>
          <w:szCs w:val="15"/>
        </w:rPr>
        <w:t xml:space="preserve">Summary 2   </w:t>
      </w:r>
      <w:r>
        <w:rPr>
          <w:color w:val="6B7280"/>
          <w:sz w:val="15"/>
          <w:szCs w:val="15"/>
        </w:rPr>
        <w:t xml:space="preserve">MOST likely or BEST describes: more than one option may be partly true. NOT or EXCEPT: three options are true.</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1.1 · Who uses financial statements, and why?</w:t>
          </w:r>
        </w:p>
      </w:tc>
      <w:tc>
        <w:tcPr>
          <w:tcW w:type="pct" w:w="1400"/>
          <w:tcMar>
            <w:top w:type="dxa" w:w="-30"/>
            <w:left w:type="dxa" w:w="30"/>
            <w:bottom w:type="dxa" w:w="-30"/>
            <w:right w:type="dxa" w:w="30"/>
          </w:tcMar>
        </w:tcPr>
        <w:p>
          <w:pPr>
            <w:jc w:val="right"/>
          </w:pPr>
          <w:r>
            <w:rPr>
              <w:color w:val="6B7280"/>
              <w:sz w:val="16"/>
              <w:szCs w:val="16"/>
            </w:rPr>
            <w:t xml:space="preserve">Handout 1.1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1.2 · The building blocks: elements and the accounting equation</w:t>
          </w:r>
        </w:p>
      </w:tc>
      <w:tc>
        <w:tcPr>
          <w:tcW w:type="pct" w:w="1400"/>
          <w:tcMar>
            <w:top w:type="dxa" w:w="-30"/>
            <w:left w:type="dxa" w:w="30"/>
            <w:bottom w:type="dxa" w:w="-30"/>
            <w:right w:type="dxa" w:w="30"/>
          </w:tcMar>
        </w:tcPr>
        <w:p>
          <w:pPr>
            <w:jc w:val="right"/>
          </w:pPr>
          <w:r>
            <w:rPr>
              <w:color w:val="6B7280"/>
              <w:sz w:val="16"/>
              <w:szCs w:val="16"/>
            </w:rPr>
            <w:t xml:space="preserve">Handout 1.2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1.3 · Double entry: debits and credits</w:t>
          </w:r>
        </w:p>
      </w:tc>
      <w:tc>
        <w:tcPr>
          <w:tcW w:type="pct" w:w="1400"/>
          <w:tcMar>
            <w:top w:type="dxa" w:w="-30"/>
            <w:left w:type="dxa" w:w="30"/>
            <w:bottom w:type="dxa" w:w="-30"/>
            <w:right w:type="dxa" w:w="30"/>
          </w:tcMar>
        </w:tcPr>
        <w:p>
          <w:pPr>
            <w:jc w:val="right"/>
          </w:pPr>
          <w:r>
            <w:rPr>
              <w:color w:val="6B7280"/>
              <w:sz w:val="16"/>
              <w:szCs w:val="16"/>
            </w:rPr>
            <w:t xml:space="preserve">Handout 1.3 — Page </w:t>
          </w:r>
          <w:fldSimple w:instr=" PAGE ">
            <w:r>
              <w:rPr>
                <w:b/>
                <w:bCs/>
                <w:color w:val="23265A"/>
                <w:sz w:val="16"/>
                <w:szCs w:val="16"/>
              </w:rPr>
              <w:t xml:space="preserve">1</w:t>
            </w:r>
          </w:fldSimple>
          <w:r>
            <w:rPr>
              <w:color w:val="6B7280"/>
              <w:sz w:val="16"/>
              <w:szCs w:val="16"/>
            </w:rPr>
            <w:t xml:space="preserve"> of 4</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1.4 · The accrual basis and the matching principle</w:t>
          </w:r>
        </w:p>
      </w:tc>
      <w:tc>
        <w:tcPr>
          <w:tcW w:type="pct" w:w="1400"/>
          <w:tcMar>
            <w:top w:type="dxa" w:w="-30"/>
            <w:left w:type="dxa" w:w="30"/>
            <w:bottom w:type="dxa" w:w="-30"/>
            <w:right w:type="dxa" w:w="30"/>
          </w:tcMar>
        </w:tcPr>
        <w:p>
          <w:pPr>
            <w:jc w:val="right"/>
          </w:pPr>
          <w:r>
            <w:rPr>
              <w:color w:val="6B7280"/>
              <w:sz w:val="16"/>
              <w:szCs w:val="16"/>
            </w:rPr>
            <w:t xml:space="preserve">Handout 1.4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1.5 · Who writes the rules? U.S. GAAP and IFRS</w:t>
          </w:r>
        </w:p>
      </w:tc>
      <w:tc>
        <w:tcPr>
          <w:tcW w:type="pct" w:w="1400"/>
          <w:tcMar>
            <w:top w:type="dxa" w:w="-30"/>
            <w:left w:type="dxa" w:w="30"/>
            <w:bottom w:type="dxa" w:w="-30"/>
            <w:right w:type="dxa" w:w="30"/>
          </w:tcMar>
        </w:tcPr>
        <w:p>
          <w:pPr>
            <w:jc w:val="right"/>
          </w:pPr>
          <w:r>
            <w:rPr>
              <w:color w:val="6B7280"/>
              <w:sz w:val="16"/>
              <w:szCs w:val="16"/>
            </w:rPr>
            <w:t xml:space="preserve">Handout 1.5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 · A first look at the four statements</w:t>
          </w:r>
        </w:p>
      </w:tc>
      <w:tc>
        <w:tcPr>
          <w:tcW w:type="pct" w:w="1400"/>
          <w:tcMar>
            <w:top w:type="dxa" w:w="-30"/>
            <w:left w:type="dxa" w:w="30"/>
            <w:bottom w:type="dxa" w:w="-30"/>
            <w:right w:type="dxa" w:w="30"/>
          </w:tcMar>
        </w:tcPr>
        <w:p>
          <w:pPr>
            <w:jc w:val="right"/>
          </w:pPr>
          <w:r>
            <w:rPr>
              <w:color w:val="6B7280"/>
              <w:sz w:val="16"/>
              <w:szCs w:val="16"/>
            </w:rPr>
            <w:t xml:space="preserve">Handout 1.6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1</dc:title>
  <dc:subject>Summary handouts</dc:subject>
  <cp:category>Student Book</cp:category>
</cp:coreProperties>
</file>