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742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The accrual basis and the matching principle   ·   Who uses financial statements, and why?</w:t>
            </w:r>
          </w:p>
        </w:tc>
      </w:tr>
    </w:tbl>
    <w:p/>
    <w:p>
      <w:pPr>
        <w:spacing w:before="44" w:after="14"/>
      </w:pPr>
      <w:r>
        <w:rPr>
          <w:b/>
          <w:bCs/>
          <w:color w:val="353A7C"/>
          <w:sz w:val="18"/>
          <w:szCs w:val="18"/>
        </w:rPr>
        <w:t xml:space="preserve">Summary 1</w:t>
      </w:r>
      <w:r>
        <w:rPr>
          <w:color w:val="6B7280"/>
          <w:sz w:val="16"/>
          <w:szCs w:val="16"/>
        </w:rPr>
        <w:t xml:space="preserve">      gaps 3–11</w:t>
      </w:r>
    </w:p>
    <w:p>
      <w:pPr>
        <w:spacing w:before="20" w:after="20" w:line="360" w:lineRule="auto"/>
        <w:ind w:left="200"/>
      </w:pPr>
      <w:r>
        <w:rPr>
          <w:sz w:val="19"/>
          <w:szCs w:val="19"/>
        </w:rPr>
        <w:t xml:space="preserve">A company collects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facts every day: sales, purchases, salaries and loans. </w:t>
      </w:r>
      <w:r>
        <w:rPr>
          <w:sz w:val="19"/>
          <w:szCs w:val="19"/>
        </w:rPr>
        <w:t xml:space="preserve">Financial statements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these facts in a standard form for people outside the company. </w:t>
      </w:r>
      <w:r>
        <w:rPr>
          <w:sz w:val="19"/>
          <w:szCs w:val="19"/>
        </w:rPr>
        <w:t xml:space="preserve">The four main statements are the balance sheet, the income statement, the statement of changes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framework names the most important readers. </w:t>
      </w:r>
      <w:r>
        <w:rPr>
          <w:sz w:val="19"/>
          <w:szCs w:val="19"/>
        </w:rPr>
        <w:t xml:space="preserve">The primary users are existing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company. </w:t>
      </w:r>
      <w:r>
        <w:rPr>
          <w:sz w:val="19"/>
          <w:szCs w:val="19"/>
        </w:rPr>
        <w:t xml:space="preserve">They usually cannot ask the company for special reports, so they depend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summarize   ·   general-purpose   ·   potential   ·   faithful representation   ·   credit   ·   conceptual   ·   equity   ·   reader   ·   published   ·   thousands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31"/>
        <w:gridCol w:w="1679"/>
        <w:gridCol w:w="3084"/>
        <w:gridCol w:w="260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62"/>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874"/>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606"/>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5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62"/>
            <w:tcMar>
              <w:top w:type="dxa" w:w="50"/>
              <w:left w:type="dxa" w:w="110"/>
              <w:bottom w:type="dxa" w:w="50"/>
              <w:right w:type="dxa" w:w="110"/>
            </w:tcMar>
          </w:tcPr>
          <w:p>
            <w:pPr>
              <w:spacing w:before="28" w:after="28"/>
            </w:pPr>
            <w:r>
              <w:rPr>
                <w:sz w:val="15"/>
                <w:szCs w:val="15"/>
              </w:rPr>
              <w:t xml:space="preserve">Investors (shareholders) — PRIMARY</w:t>
            </w:r>
          </w:p>
        </w:tc>
        <w:tc>
          <w:tcPr>
            <w:tcW w:type="pct" w:w="874"/>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606"/>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5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62"/>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874"/>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606"/>
            <w:shd w:fill="FBFAF6" w:val="clear"/>
            <w:tcMar>
              <w:top w:type="dxa" w:w="50"/>
              <w:left w:type="dxa" w:w="110"/>
              <w:bottom w:type="dxa" w:w="50"/>
              <w:right w:type="dxa" w:w="110"/>
            </w:tcMar>
          </w:tcPr>
          <w:p>
            <w:pPr>
              <w:spacing w:before="28" w:after="28"/>
            </w:pPr>
            <w:r>
              <w:rPr>
                <w:sz w:val="15"/>
                <w:szCs w:val="15"/>
              </w:rPr>
              <w:t xml:space="preserve">Can the company pay interest and repay the principal on time?</w:t>
            </w:r>
          </w:p>
        </w:tc>
        <w:tc>
          <w:tcPr>
            <w:tcW w:type="pct" w:w="135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62"/>
            <w:tcMar>
              <w:top w:type="dxa" w:w="50"/>
              <w:left w:type="dxa" w:w="110"/>
              <w:bottom w:type="dxa" w:w="50"/>
              <w:right w:type="dxa" w:w="110"/>
            </w:tcMar>
          </w:tcPr>
          <w:p>
            <w:pPr>
              <w:spacing w:before="28" w:after="28"/>
            </w:pPr>
            <w:r>
              <w:rPr>
                <w:sz w:val="15"/>
                <w:szCs w:val="15"/>
              </w:rPr>
              <w:t xml:space="preserve">Other creditors (suppliers) — PRIMARY</w:t>
            </w:r>
          </w:p>
        </w:tc>
        <w:tc>
          <w:tcPr>
            <w:tcW w:type="pct" w:w="874"/>
            <w:tcMar>
              <w:top w:type="dxa" w:w="50"/>
              <w:left w:type="dxa" w:w="110"/>
              <w:bottom w:type="dxa" w:w="50"/>
              <w:right w:type="dxa" w:w="110"/>
            </w:tcMar>
          </w:tcPr>
          <w:p>
            <w:pPr>
              <w:spacing w:before="28" w:after="28"/>
            </w:pPr>
            <w:r>
              <w:rPr>
                <w:sz w:val="15"/>
                <w:szCs w:val="15"/>
              </w:rPr>
              <w:t xml:space="preserve">Sell on credit, set credit terms</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5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62"/>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874"/>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35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62"/>
            <w:tcMar>
              <w:top w:type="dxa" w:w="50"/>
              <w:left w:type="dxa" w:w="110"/>
              <w:bottom w:type="dxa" w:w="50"/>
              <w:right w:type="dxa" w:w="110"/>
            </w:tcMar>
          </w:tcPr>
          <w:p>
            <w:pPr>
              <w:spacing w:before="28" w:after="28"/>
            </w:pPr>
            <w:r>
              <w:rPr>
                <w:sz w:val="15"/>
                <w:szCs w:val="15"/>
              </w:rPr>
              <w:t xml:space="preserve">Customers</w:t>
            </w:r>
          </w:p>
        </w:tc>
        <w:tc>
          <w:tcPr>
            <w:tcW w:type="pct" w:w="874"/>
            <w:tcMar>
              <w:top w:type="dxa" w:w="50"/>
              <w:left w:type="dxa" w:w="110"/>
              <w:bottom w:type="dxa" w:w="50"/>
              <w:right w:type="dxa" w:w="110"/>
            </w:tcMar>
          </w:tcPr>
          <w:p>
            <w:pPr>
              <w:spacing w:before="28" w:after="28"/>
            </w:pPr>
            <w:r>
              <w:rPr>
                <w:sz w:val="15"/>
                <w:szCs w:val="15"/>
              </w:rPr>
              <w:t xml:space="preserve">Sign long-term contracts</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35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62"/>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874"/>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606"/>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5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62"/>
            <w:tcMar>
              <w:top w:type="dxa" w:w="50"/>
              <w:left w:type="dxa" w:w="110"/>
              <w:bottom w:type="dxa" w:w="50"/>
              <w:right w:type="dxa" w:w="110"/>
            </w:tcMar>
          </w:tcPr>
          <w:p>
            <w:pPr>
              <w:spacing w:before="28" w:after="28"/>
            </w:pPr>
            <w:r>
              <w:rPr>
                <w:sz w:val="15"/>
                <w:szCs w:val="15"/>
              </w:rPr>
              <w:t xml:space="preserve">Managers (internal)</w:t>
            </w:r>
          </w:p>
        </w:tc>
        <w:tc>
          <w:tcPr>
            <w:tcW w:type="pct" w:w="874"/>
            <w:tcMar>
              <w:top w:type="dxa" w:w="50"/>
              <w:left w:type="dxa" w:w="110"/>
              <w:bottom w:type="dxa" w:w="50"/>
              <w:right w:type="dxa" w:w="110"/>
            </w:tcMar>
          </w:tcPr>
          <w:p>
            <w:pPr>
              <w:spacing w:before="28" w:after="28"/>
            </w:pPr>
            <w:r>
              <w:rPr>
                <w:sz w:val="15"/>
                <w:szCs w:val="15"/>
              </w:rPr>
              <w:t xml:space="preserve">Plan and control operations</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5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Lend, renew or stop a loan   ·   Is the company stable and profitable?   ·   Buy, hold or sell shares   ·   Will the company pay its bills when due?   ·   Will the company continue to supply us?   ·   Not a primary user: can use internal reports   ·   Income statement, cash flows, balance sheet</w:t>
            </w:r>
          </w:p>
        </w:tc>
      </w:tr>
    </w:tbl>
    <w:p/>
    <w:p>
      <w:pPr>
        <w:spacing w:before="44" w:after="14"/>
      </w:pPr>
      <w:r>
        <w:rPr>
          <w:b/>
          <w:bCs/>
          <w:color w:val="353A7C"/>
          <w:sz w:val="18"/>
          <w:szCs w:val="18"/>
        </w:rPr>
        <w:t xml:space="preserve">Summary 2</w:t>
      </w:r>
      <w:r>
        <w:rPr>
          <w:color w:val="6B7280"/>
          <w:sz w:val="16"/>
          <w:szCs w:val="16"/>
        </w:rPr>
        <w:t xml:space="preserve">      gaps 19–27</w:t>
      </w:r>
    </w:p>
    <w:p>
      <w:pPr>
        <w:spacing w:before="20" w:after="20" w:line="360" w:lineRule="auto"/>
        <w:ind w:left="200"/>
      </w:pPr>
      <w:r>
        <w:rPr>
          <w:sz w:val="19"/>
          <w:szCs w:val="19"/>
        </w:rPr>
        <w:t xml:space="preserve">Other groups also read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However, managers are not primary users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perform in the period? The income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   financial   ·   information   ·   Reporting   ·   governments   ·   simple   ·   balance   ·   relevance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28–35</w:t>
      </w:r>
    </w:p>
    <w:p>
      <w:pPr>
        <w:spacing w:before="20" w:after="20" w:line="360" w:lineRule="auto"/>
        <w:ind w:left="200"/>
      </w:pPr>
      <w:r>
        <w:rPr>
          <w:sz w:val="19"/>
          <w:szCs w:val="19"/>
        </w:rPr>
        <w:t xml:space="preserve">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constraint: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statements   ·   representation   ·   conceptual   ·   fundamental   ·   confirmatory   ·   complete   ·   materiality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36–37</w:t>
      </w:r>
    </w:p>
    <w:p>
      <w:pPr>
        <w:spacing w:before="20" w:after="20" w:line="360" w:lineRule="auto"/>
        <w:ind w:left="200"/>
      </w:pPr>
      <w:r>
        <w:rPr>
          <w:sz w:val="19"/>
          <w:szCs w:val="19"/>
        </w:rPr>
        <w:t xml:space="preserve">Primary users are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relevance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recognize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7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478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   ·   disclose   ·   conceptual framework</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40–41</w:t>
      </w:r>
    </w:p>
    <w:p>
      <w:pPr>
        <w:spacing w:before="20" w:after="20" w:line="360" w:lineRule="auto"/>
        <w:ind w:left="200"/>
      </w:pPr>
      <w:r>
        <w:rPr>
          <w:sz w:val="19"/>
          <w:szCs w:val="19"/>
        </w:rPr>
        <w:t xml:space="preserve">Example: Orontes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statement,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users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recognize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published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Lend, renew or stop a loan</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faithful 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information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The other elements describe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Equity   ·   expense   ·   revenue   ·   statements   ·   retained earnings   ·   FASB   ·   liability   ·   changes   ·   operations</w:t>
            </w:r>
          </w:p>
        </w:tc>
      </w:tr>
    </w:tbl>
    <w:p/>
    <w:p>
      <w:pPr>
        <w:spacing w:before="44" w:after="14"/>
      </w:pPr>
      <w:r>
        <w:rPr>
          <w:b/>
          <w:bCs/>
          <w:color w:val="353A7C"/>
          <w:sz w:val="18"/>
          <w:szCs w:val="18"/>
        </w:rPr>
        <w:t xml:space="preserve">Summary 2</w:t>
      </w:r>
      <w:r>
        <w:rPr>
          <w:color w:val="6B7280"/>
          <w:sz w:val="16"/>
          <w:szCs w:val="16"/>
        </w:rPr>
        <w:t xml:space="preserve">      gaps 12–19</w:t>
      </w:r>
    </w:p>
    <w:p>
      <w:pPr>
        <w:spacing w:before="20" w:after="20" w:line="360" w:lineRule="auto"/>
        <w:ind w:left="200"/>
      </w:pPr>
      <w:r>
        <w:rPr>
          <w:sz w:val="19"/>
          <w:szCs w:val="19"/>
        </w:rPr>
        <w:t xml:space="preserve">Investments by owners,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new shares,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decrease equity.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income is the total change in equity from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other than owners. </w:t>
      </w:r>
      <w:r>
        <w:rPr>
          <w:sz w:val="19"/>
          <w:szCs w:val="19"/>
        </w:rPr>
        <w:t xml:space="preserve">The IFRS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Framework (2018) defines an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as a present economic resource controlled by the entity as a result of past events. </w:t>
      </w:r>
      <w:r>
        <w:rPr>
          <w:sz w:val="19"/>
          <w:szCs w:val="19"/>
        </w:rPr>
        <w:t xml:space="preserve">The idea is the same as in U.S. GAAP; only the wording is different. </w:t>
      </w:r>
      <w:r>
        <w:rPr>
          <w:sz w:val="19"/>
          <w:szCs w:val="19"/>
        </w:rPr>
        <w:t xml:space="preserve">IFRS also uses the word income for both revenue and gains, while U.S. GAAP keeps revenues and gains apart. </w:t>
      </w:r>
      <w:r>
        <w:rPr>
          <w:sz w:val="19"/>
          <w:szCs w:val="19"/>
        </w:rPr>
        <w:t xml:space="preserve">You may also know these IFRS names: statement of financial position (balance sheet), share capital (common stock) and share premium (additional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sources   ·   accounting equation   ·   Distributions   ·   Conceptual   ·   asset   ·   dividends   ·   Comprehensive   ·   increase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relevance   ·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sources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IFRS Conceptual Framework (2018) defines an asset as a present economic resource controlled by the entity as a result of past events. 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affects at least two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total debits always equal total credits. </w:t>
      </w:r>
      <w:r>
        <w:rPr>
          <w:sz w:val="19"/>
          <w:szCs w:val="19"/>
        </w:rPr>
        <w:t xml:space="preserve">This is why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equation always balances. </w:t>
      </w:r>
      <w:r>
        <w:rPr>
          <w:sz w:val="19"/>
          <w:szCs w:val="19"/>
        </w:rPr>
        <w:t xml:space="preserve">A contra account reduces a related account, so it has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depreciation reduces equipment. </w:t>
      </w:r>
      <w:r>
        <w:rPr>
          <w:sz w:val="19"/>
          <w:szCs w:val="19"/>
        </w:rPr>
        <w:t xml:space="preserve">It has a credit balance, but it belongs with the assets.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opposite   ·   double-entry   ·   accounting   ·   T-account   ·   accounts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January 2025.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pastries   ·   exchange   ·   transactions   ·   accounts receivable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38"/>
        <w:gridCol w:w="1138"/>
        <w:gridCol w:w="5050"/>
        <w:gridCol w:w="1138"/>
        <w:gridCol w:w="1138"/>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592"/>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592"/>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630"/>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59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592"/>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92"/>
            <w:tcMar>
              <w:top w:type="dxa" w:w="50"/>
              <w:left w:type="dxa" w:w="110"/>
              <w:bottom w:type="dxa" w:w="50"/>
              <w:right w:type="dxa" w:w="110"/>
            </w:tcMar>
          </w:tcPr>
          <w:p>
            <w:pPr>
              <w:spacing w:before="28" w:after="28"/>
            </w:pPr>
            <w:r>
              <w:rPr>
                <w:sz w:val="15"/>
                <w:szCs w:val="15"/>
              </w:rPr>
              <w:t xml:space="preserve">1</w:t>
            </w:r>
          </w:p>
        </w:tc>
        <w:tc>
          <w:tcPr>
            <w:tcW w:type="pct" w:w="592"/>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630"/>
            <w:tcMar>
              <w:top w:type="dxa" w:w="50"/>
              <w:left w:type="dxa" w:w="110"/>
              <w:bottom w:type="dxa" w:w="50"/>
              <w:right w:type="dxa" w:w="110"/>
            </w:tcMar>
          </w:tcPr>
          <w:p>
            <w:pPr>
              <w:spacing w:before="28" w:after="28"/>
            </w:pPr>
            <w:r>
              <w:rPr>
                <w:sz w:val="15"/>
                <w:szCs w:val="15"/>
              </w:rPr>
              <w:t xml:space="preserve">Cash</w:t>
            </w:r>
          </w:p>
        </w:tc>
        <w:tc>
          <w:tcPr>
            <w:tcW w:type="pct" w:w="592"/>
            <w:tcMar>
              <w:top w:type="dxa" w:w="50"/>
              <w:left w:type="dxa" w:w="110"/>
              <w:bottom w:type="dxa" w:w="50"/>
              <w:right w:type="dxa" w:w="110"/>
            </w:tcMar>
          </w:tcPr>
          <w:p>
            <w:pPr>
              <w:spacing w:before="28" w:after="28"/>
            </w:pPr>
            <w:r>
              <w:rPr>
                <w:sz w:val="15"/>
                <w:szCs w:val="15"/>
              </w:rPr>
              <w:t xml:space="preserve">1,500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100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Additional paid-in capital</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1,400</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2</w:t>
            </w:r>
          </w:p>
        </w:tc>
        <w:tc>
          <w:tcPr>
            <w:tcW w:type="pct" w:w="592"/>
            <w:tcMar>
              <w:top w:type="dxa" w:w="50"/>
              <w:left w:type="dxa" w:w="110"/>
              <w:bottom w:type="dxa" w:w="50"/>
              <w:right w:type="dxa" w:w="110"/>
            </w:tcMar>
          </w:tcPr>
          <w:p>
            <w:pPr>
              <w:spacing w:before="28" w:after="28"/>
            </w:pPr>
            <w:r>
              <w:rPr>
                <w:sz w:val="15"/>
                <w:szCs w:val="15"/>
              </w:rPr>
              <w:t xml:space="preserve">Jan 5</w:t>
            </w:r>
          </w:p>
        </w:tc>
        <w:tc>
          <w:tcPr>
            <w:tcW w:type="pct" w:w="2630"/>
            <w:tcMar>
              <w:top w:type="dxa" w:w="50"/>
              <w:left w:type="dxa" w:w="110"/>
              <w:bottom w:type="dxa" w:w="50"/>
              <w:right w:type="dxa" w:w="110"/>
            </w:tcMar>
          </w:tcPr>
          <w:p>
            <w:pPr>
              <w:spacing w:before="28" w:after="28"/>
            </w:pPr>
            <w:r>
              <w:rPr>
                <w:sz w:val="15"/>
                <w:szCs w:val="15"/>
              </w:rPr>
              <w:t xml:space="preserve">Cash</w:t>
            </w:r>
          </w:p>
        </w:tc>
        <w:tc>
          <w:tcPr>
            <w:tcW w:type="pct" w:w="592"/>
            <w:tcMar>
              <w:top w:type="dxa" w:w="50"/>
              <w:left w:type="dxa" w:w="110"/>
              <w:bottom w:type="dxa" w:w="50"/>
              <w:right w:type="dxa" w:w="110"/>
            </w:tcMar>
          </w:tcPr>
          <w:p>
            <w:pPr>
              <w:spacing w:before="28" w:after="28"/>
            </w:pPr>
            <w:r>
              <w:rPr>
                <w:sz w:val="15"/>
                <w:szCs w:val="15"/>
              </w:rPr>
              <w:t xml:space="preserve">800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800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Borrowed cash from Levant Commerce Bank on a 5-year note at 6% interest.</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3</w:t>
            </w:r>
          </w:p>
        </w:tc>
        <w:tc>
          <w:tcPr>
            <w:tcW w:type="pct" w:w="592"/>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630"/>
            <w:shd w:fill="FBFAF6" w:val="clear"/>
            <w:tcMar>
              <w:top w:type="dxa" w:w="50"/>
              <w:left w:type="dxa" w:w="110"/>
              <w:bottom w:type="dxa" w:w="50"/>
              <w:right w:type="dxa" w:w="110"/>
            </w:tcMar>
          </w:tcPr>
          <w:p>
            <w:pPr>
              <w:spacing w:before="28" w:after="28"/>
            </w:pPr>
            <w:r>
              <w:rPr>
                <w:sz w:val="15"/>
                <w:szCs w:val="15"/>
              </w:rPr>
              <w:t xml:space="preserve">Equipment</w:t>
            </w:r>
          </w:p>
        </w:tc>
        <w:tc>
          <w:tcPr>
            <w:tcW w:type="pct" w:w="592"/>
            <w:shd w:fill="FBFAF6" w:val="clear"/>
            <w:tcMar>
              <w:top w:type="dxa" w:w="50"/>
              <w:left w:type="dxa" w:w="110"/>
              <w:bottom w:type="dxa" w:w="50"/>
              <w:right w:type="dxa" w:w="110"/>
            </w:tcMar>
          </w:tcPr>
          <w:p>
            <w:pPr>
              <w:spacing w:before="28" w:after="28"/>
            </w:pPr>
            <w:r>
              <w:rPr>
                <w:sz w:val="15"/>
                <w:szCs w:val="15"/>
              </w:rPr>
              <w:t xml:space="preserve">1,200</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Cash</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1,200</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Bought a new bottling line for the Amman plant and paid cash.</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4</w:t>
            </w:r>
          </w:p>
        </w:tc>
        <w:tc>
          <w:tcPr>
            <w:tcW w:type="pct" w:w="59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630"/>
            <w:tcMar>
              <w:top w:type="dxa" w:w="50"/>
              <w:left w:type="dxa" w:w="110"/>
              <w:bottom w:type="dxa" w:w="50"/>
              <w:right w:type="dxa" w:w="110"/>
            </w:tcMar>
          </w:tcPr>
          <w:p>
            <w:pPr>
              <w:spacing w:before="28" w:after="28"/>
            </w:pPr>
            <w:r>
              <w:rPr>
                <w:sz w:val="15"/>
                <w:szCs w:val="15"/>
              </w:rPr>
              <w:t xml:space="preserve">Accounts receivable</w:t>
            </w:r>
          </w:p>
        </w:tc>
        <w:tc>
          <w:tcPr>
            <w:tcW w:type="pct" w:w="592"/>
            <w:tcMar>
              <w:top w:type="dxa" w:w="50"/>
              <w:left w:type="dxa" w:w="110"/>
              <w:bottom w:type="dxa" w:w="50"/>
              <w:right w:type="dxa" w:w="110"/>
            </w:tcMar>
          </w:tcPr>
          <w:p>
            <w:pPr>
              <w:spacing w:before="28" w:after="28"/>
            </w:pPr>
            <w:r>
              <w:rPr>
                <w:sz w:val="15"/>
                <w:szCs w:val="15"/>
              </w:rPr>
              <w:t xml:space="preserve">300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300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Cost of goods sold</w:t>
            </w:r>
          </w:p>
        </w:tc>
        <w:tc>
          <w:tcPr>
            <w:tcW w:type="pct" w:w="592"/>
            <w:tcMar>
              <w:top w:type="dxa" w:w="50"/>
              <w:left w:type="dxa" w:w="110"/>
              <w:bottom w:type="dxa" w:w="50"/>
              <w:right w:type="dxa" w:w="110"/>
            </w:tcMar>
          </w:tcPr>
          <w:p>
            <w:pPr>
              <w:spacing w:before="28" w:after="28"/>
            </w:pPr>
            <w:r>
              <w:rPr>
                <w:sz w:val="15"/>
                <w:szCs w:val="15"/>
              </w:rPr>
              <w:t xml:space="preserve">180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Inventory</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180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5</w:t>
            </w:r>
          </w:p>
        </w:tc>
        <w:tc>
          <w:tcPr>
            <w:tcW w:type="pct" w:w="592"/>
            <w:shd w:fill="FBFAF6" w:val="clear"/>
            <w:tcMar>
              <w:top w:type="dxa" w:w="50"/>
              <w:left w:type="dxa" w:w="110"/>
              <w:bottom w:type="dxa" w:w="50"/>
              <w:right w:type="dxa" w:w="110"/>
            </w:tcMar>
          </w:tcPr>
          <w:p>
            <w:pPr>
              <w:spacing w:before="28" w:after="28"/>
            </w:pPr>
            <w:r>
              <w:rPr>
                <w:sz w:val="15"/>
                <w:szCs w:val="15"/>
              </w:rPr>
              <w:t xml:space="preserve">Jan 31</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592"/>
            <w:shd w:fill="FBFAF6" w:val="clear"/>
            <w:tcMar>
              <w:top w:type="dxa" w:w="50"/>
              <w:left w:type="dxa" w:w="110"/>
              <w:bottom w:type="dxa" w:w="50"/>
              <w:right w:type="dxa" w:w="110"/>
            </w:tcMar>
          </w:tcPr>
          <w:p>
            <w:pPr>
              <w:spacing w:before="28" w:after="28"/>
            </w:pPr>
            <w:r>
              <w:rPr>
                <w:sz w:val="15"/>
                <w:szCs w:val="15"/>
              </w:rPr>
              <w:t xml:space="preserve">40</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Cash</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40</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6</w:t>
            </w:r>
          </w:p>
        </w:tc>
        <w:tc>
          <w:tcPr>
            <w:tcW w:type="pct" w:w="592"/>
            <w:tcMar>
              <w:top w:type="dxa" w:w="50"/>
              <w:left w:type="dxa" w:w="110"/>
              <w:bottom w:type="dxa" w:w="50"/>
              <w:right w:type="dxa" w:w="110"/>
            </w:tcMar>
          </w:tcPr>
          <w:p>
            <w:pPr>
              <w:spacing w:before="28" w:after="28"/>
            </w:pPr>
            <w:r>
              <w:rPr>
                <w:sz w:val="15"/>
                <w:szCs w:val="15"/>
              </w:rPr>
              <w:t xml:space="preserve">Jan 31</w:t>
            </w:r>
          </w:p>
        </w:tc>
        <w:tc>
          <w:tcPr>
            <w:tcW w:type="pct" w:w="2630"/>
            <w:tcMar>
              <w:top w:type="dxa" w:w="50"/>
              <w:left w:type="dxa" w:w="110"/>
              <w:bottom w:type="dxa" w:w="50"/>
              <w:right w:type="dxa" w:w="110"/>
            </w:tcMar>
          </w:tcPr>
          <w:p>
            <w:pPr>
              <w:spacing w:before="28" w:after="28"/>
            </w:pPr>
            <w:r>
              <w:rPr>
                <w:sz w:val="15"/>
                <w:szCs w:val="15"/>
              </w:rPr>
              <w:t xml:space="preserve">Retained earnings (dividends declared)</w:t>
            </w:r>
          </w:p>
        </w:tc>
        <w:tc>
          <w:tcPr>
            <w:tcW w:type="pct" w:w="592"/>
            <w:tcMar>
              <w:top w:type="dxa" w:w="50"/>
              <w:left w:type="dxa" w:w="110"/>
              <w:bottom w:type="dxa" w:w="50"/>
              <w:right w:type="dxa" w:w="110"/>
            </w:tcMar>
          </w:tcPr>
          <w:p>
            <w:pPr>
              <w:spacing w:before="28" w:after="28"/>
            </w:pPr>
            <w:r>
              <w:rPr>
                <w:sz w:val="15"/>
                <w:szCs w:val="15"/>
              </w:rPr>
              <w:t xml:space="preserve">50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50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592"/>
            <w:shd w:fill="FBFAF6" w:val="clear"/>
            <w:tcMar>
              <w:top w:type="dxa" w:w="50"/>
              <w:left w:type="dxa" w:w="110"/>
              <w:bottom w:type="dxa" w:w="50"/>
              <w:right w:type="dxa" w:w="110"/>
            </w:tcMar>
          </w:tcPr>
          <w:p>
            <w:pPr>
              <w:spacing w:before="28" w:after="28"/>
            </w:pPr>
            <w:r>
              <w:rPr>
                <w:sz w:val="15"/>
                <w:szCs w:val="15"/>
              </w:rPr>
              <w:t xml:space="preserve">4,070</w:t>
            </w:r>
          </w:p>
        </w:tc>
        <w:tc>
          <w:tcPr>
            <w:tcW w:type="pct" w:w="592"/>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Common stock   ·   Sales revenue   ·   Jan 2   ·   Jan 10   ·   Dividends payable   ·   Paid January wages to plant workers in cash.   ·   Totals   ·   Wages expense   ·   Jan 18</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16–21</w:t>
      </w:r>
    </w:p>
    <w:p>
      <w:pPr>
        <w:spacing w:before="20" w:after="20" w:line="360" w:lineRule="auto"/>
        <w:ind w:left="200"/>
      </w:pPr>
      <w:r>
        <w:rPr>
          <w:sz w:val="19"/>
          <w:szCs w:val="19"/>
        </w:rPr>
        <w:t xml:space="preserve">Three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owners and lenders is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equity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equation   ·   liability   ·   delivers   ·   February   ·   points   ·   accumulated depreciation   ·   financing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22–24</w:t>
      </w:r>
    </w:p>
    <w:p>
      <w:pPr>
        <w:spacing w:before="20" w:after="20" w:line="360" w:lineRule="auto"/>
        <w:ind w:left="200"/>
      </w:pPr>
      <w:r>
        <w:rPr>
          <w:sz w:val="19"/>
          <w:szCs w:val="19"/>
        </w:rPr>
        <w:t xml:space="preserve">It reduces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depreciation   ·   Buying   ·   revenue   ·   retained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20" w:after="20" w:line="360" w:lineRule="auto"/>
        <w:ind w:left="200"/>
      </w:pPr>
      <w:r>
        <w:rPr>
          <w:sz w:val="19"/>
          <w:szCs w:val="19"/>
        </w:rPr>
        <w:t xml:space="preserve">Here are six transactions from February (USD 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spacing w:before="44" w:after="14"/>
      </w:pPr>
      <w:r>
        <w:rPr>
          <w:b/>
          <w:bCs/>
          <w:color w:val="353A7C"/>
          <w:sz w:val="18"/>
          <w:szCs w:val="18"/>
        </w:rPr>
        <w:t xml:space="preserve">Summary 5</w:t>
      </w:r>
      <w:r>
        <w:rPr>
          <w:color w:val="6B7280"/>
          <w:sz w:val="16"/>
          <w:szCs w:val="16"/>
        </w:rPr>
        <w:t xml:space="preserve">      gaps 25–26</w:t>
      </w:r>
    </w:p>
    <w:p>
      <w:pPr>
        <w:spacing w:before="20" w:after="20" w:line="360" w:lineRule="auto"/>
        <w:ind w:left="200"/>
      </w:pPr>
      <w:r>
        <w:rPr>
          <w:sz w:val="19"/>
          <w:szCs w:val="19"/>
        </w:rPr>
        <w:t xml:space="preserve">X is debited (or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to increase ...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credited   ·   T-account   ·   transaction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debit   ·   asset   ·   double-entry system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Jan 2</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Common stock</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Jan 10</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Jan 18</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Wages expense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Paid January wages to plant workers in cash.</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debit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A contra account reduces a related account, so it has the opposite normal balance. For example, accumulated depreciation reduces equipment. It has a credit balance, but it belongs with the assets.</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w:t>
      </w:r>
    </w:p>
    <w:p>
      <w:pPr>
        <w:spacing w:before="20" w:after="20"/>
        <w:ind w:left="240" w:hanging="240"/>
      </w:pPr>
      <w:r>
        <w:rPr>
          <w:b/>
          <w:bCs/>
          <w:color w:val="353A7C"/>
          <w:sz w:val="15"/>
          <w:szCs w:val="15"/>
        </w:rPr>
        <w:t xml:space="preserve">Summary 3   </w:t>
      </w:r>
      <w:r>
        <w:rPr>
          <w:color w:val="6B7280"/>
          <w:sz w:val="15"/>
          <w:szCs w:val="15"/>
        </w:rPr>
        <w:t xml:space="preserve">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X is debited (or credited) for an amount: Cash is debited for 1,500. Exam stems often say: The effect of this transaction is to increase ...</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When should a company record revenues and expenses? U.S. GAAP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goods or services. </w:t>
      </w:r>
      <w:r>
        <w:rPr>
          <w:sz w:val="19"/>
          <w:szCs w:val="19"/>
        </w:rPr>
        <w:t xml:space="preserve">It records expenses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the cash does not decide the period. </w:t>
      </w:r>
      <w:r>
        <w:rPr>
          <w:sz w:val="19"/>
          <w:szCs w:val="19"/>
        </w:rPr>
        <w:t xml:space="preserve">The cash basis records items only when cash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simple, but it is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Under the accrual basis, Orontes records the revenue and the cost of goods sold in fiscal 2025, the year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goods. </w:t>
      </w:r>
      <w:r>
        <w:rPr>
          <w:sz w:val="19"/>
          <w:szCs w:val="19"/>
        </w:rPr>
        <w:t xml:space="preserve">The gross profit of 36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2025. </w:t>
      </w:r>
      <w:r>
        <w:rPr>
          <w:sz w:val="19"/>
          <w:szCs w:val="19"/>
        </w:rPr>
        <w:t xml:space="preserve">In January, the cash receipt only changes one asset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into another asset (cash). </w:t>
      </w:r>
      <w:r>
        <w:rPr>
          <w:sz w:val="19"/>
          <w:szCs w:val="19"/>
        </w:rPr>
        <w:t xml:space="preserve">Under the cash basis, the revenue would fall in 2026, which is the wrong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received   ·   timing   ·   delivered   ·   receivable   ·   incurs   ·   cash basis   ·   statements   ·   belongs   ·   delivers   ·   acceptable</w:t>
            </w:r>
          </w:p>
        </w:tc>
      </w:tr>
    </w:tbl>
    <w:p/>
    <w:p>
      <w:pPr>
        <w:spacing w:before="44" w:after="14"/>
      </w:pPr>
      <w:r>
        <w:rPr>
          <w:b/>
          <w:bCs/>
          <w:color w:val="353A7C"/>
          <w:sz w:val="18"/>
          <w:szCs w:val="18"/>
        </w:rPr>
        <w:t xml:space="preserve">Summary 2</w:t>
      </w:r>
      <w:r>
        <w:rPr>
          <w:color w:val="6B7280"/>
          <w:sz w:val="16"/>
          <w:szCs w:val="16"/>
        </w:rPr>
        <w:t xml:space="preserve">      gaps 10–18</w:t>
      </w:r>
    </w:p>
    <w:p>
      <w:pPr>
        <w:spacing w:before="20" w:after="20" w:line="360" w:lineRule="auto"/>
        <w:ind w:left="200"/>
      </w:pPr>
      <w:r>
        <w:rPr>
          <w:sz w:val="19"/>
          <w:szCs w:val="19"/>
        </w:rPr>
        <w:t xml:space="preserve">The matching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transactions.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expense   ·   incurred   ·   bottling   ·   advertising   ·   directly   ·   adjustment   ·   classic   ·   Depreciation   ·   Systematic   ·   principle</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balance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21–23</w:t>
      </w:r>
    </w:p>
    <w:p>
      <w:pPr>
        <w:spacing w:before="20" w:after="20" w:line="360" w:lineRule="auto"/>
        <w:ind w:left="200"/>
      </w:pPr>
      <w:r>
        <w:rPr>
          <w:sz w:val="19"/>
          <w:szCs w:val="19"/>
        </w:rPr>
        <w:t xml:space="preserve">Two of these names are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basis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24–25</w:t>
      </w:r>
    </w:p>
    <w:p>
      <w:pPr>
        <w:spacing w:before="20" w:after="20" w:line="360" w:lineRule="auto"/>
        <w:ind w:left="200"/>
      </w:pPr>
      <w:r>
        <w:rPr>
          <w:sz w:val="19"/>
          <w:szCs w:val="19"/>
        </w:rPr>
        <w:t xml:space="preserve">Cash received in advance is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matching principle   ·   expense   ·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accrual basis   ·   prepaid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accrual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bottling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Under the accrual basis, Orontes records the revenue and the cost of goods sold in fiscal 2025, the year it delivered the goods. The gross profit of 36 belongs to 2025. In January, the cash receipt only changes one asset (the receivable) into another asset (cash). Under the cash basis, the revenue would fall in 2026, which is the wrong period.</w:t>
      </w:r>
    </w:p>
    <w:p>
      <w:pPr>
        <w:spacing w:before="20" w:after="20"/>
        <w:ind w:left="240" w:hanging="240"/>
      </w:pPr>
      <w:r>
        <w:rPr>
          <w:b/>
          <w:bCs/>
          <w:color w:val="353A7C"/>
          <w:sz w:val="15"/>
          <w:szCs w:val="15"/>
        </w:rPr>
        <w:t xml:space="preserve">Summary 2   </w:t>
      </w:r>
      <w:r>
        <w:rPr>
          <w:color w:val="6B7280"/>
          <w:sz w:val="15"/>
          <w:szCs w:val="15"/>
        </w:rPr>
        <w:t xml:space="preserve">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 the United States, the accounting rules are called U.S. GAAP (generally accepted accounting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principles   ·   recognizes   ·   Securities   ·   report   ·   organized   ·   oversees   ·   writes   ·   organization   ·   nongovernmental   ·   U.S. GAAP   ·   changes   ·   revenue</w:t>
            </w:r>
          </w:p>
        </w:tc>
      </w:tr>
    </w:tbl>
    <w:p/>
    <w:p>
      <w:pPr>
        <w:spacing w:before="44" w:after="14"/>
      </w:pPr>
      <w:r>
        <w:rPr>
          <w:b/>
          <w:bCs/>
          <w:color w:val="353A7C"/>
          <w:sz w:val="18"/>
          <w:szCs w:val="18"/>
        </w:rPr>
        <w:t xml:space="preserve">Summary 2</w:t>
      </w:r>
      <w:r>
        <w:rPr>
          <w:color w:val="6B7280"/>
          <w:sz w:val="16"/>
          <w:szCs w:val="16"/>
        </w:rPr>
        <w:t xml:space="preserve">      gaps 12–17</w:t>
      </w:r>
    </w:p>
    <w:p>
      <w:pPr>
        <w:spacing w:before="20" w:after="20" w:line="360" w:lineRule="auto"/>
        <w:ind w:left="200"/>
      </w:pPr>
      <w:r>
        <w:rPr>
          <w:sz w:val="19"/>
          <w:szCs w:val="19"/>
        </w:rPr>
        <w:t xml:space="preserve">The PCAOB sets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However, Section A also asks about the main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U.S. GAAP and IFRS (Chapter 17). </w:t>
      </w:r>
      <w:r>
        <w:rPr>
          <w:sz w:val="19"/>
          <w:szCs w:val="19"/>
        </w:rPr>
        <w:t xml:space="preserve">If you learned accounting under IFRS, this is good news: most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box, so Chapter 17 will be revision for you. </w:t>
      </w:r>
      <w:r>
        <w:rPr>
          <w:sz w:val="19"/>
          <w:szCs w:val="19"/>
        </w:rPr>
        <w:t xml:space="preserve">Both systems rest on a conceptual framework: the basic ideas behind the standards, such as the users, the elements and the qualities of useful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You studied the U.S. version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   ·   auditing   ·   U.S. GAAP   ·   concepts   ·   information   ·   Sections   ·   differences</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retained earnings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23–24</w:t>
      </w:r>
    </w:p>
    <w:p>
      <w:pPr>
        <w:spacing w:before="20" w:after="20" w:line="360" w:lineRule="auto"/>
        <w:ind w:left="200"/>
      </w:pPr>
      <w:r>
        <w:rPr>
          <w:sz w:val="19"/>
          <w:szCs w:val="19"/>
        </w:rPr>
        <w:t xml:space="preserve">FASB: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 GAAP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SEC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SEC</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However, Section A also asks about the main differences between U.S. GAAP and IFRS (Chapter 17). If you learned accounting under IFRS, this is good news: most concepts are the same. Every chapter has an IFRS Contrast box, so Chapter 17 will be revision for you.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recognize</w:t>
            </w:r>
          </w:p>
        </w:tc>
      </w:tr>
    </w:tbl>
    <w:p/>
    <w:p>
      <w:pPr>
        <w:spacing w:before="44" w:after="14"/>
      </w:pPr>
      <w:r>
        <w:rPr>
          <w:b/>
          <w:bCs/>
          <w:color w:val="353A7C"/>
          <w:sz w:val="18"/>
          <w:szCs w:val="18"/>
        </w:rPr>
        <w:t xml:space="preserve">Summary 1</w:t>
      </w:r>
      <w:r>
        <w:rPr>
          <w:color w:val="6B7280"/>
          <w:sz w:val="16"/>
          <w:szCs w:val="16"/>
        </w:rPr>
        <w:t xml:space="preserve">      gaps 2–7</w:t>
      </w:r>
    </w:p>
    <w:p>
      <w:pPr>
        <w:spacing w:before="20" w:after="20" w:line="360" w:lineRule="auto"/>
        <w:ind w:left="200"/>
      </w:pPr>
      <w:r>
        <w:rPr>
          <w:sz w:val="19"/>
          <w:szCs w:val="19"/>
        </w:rPr>
        <w:t xml:space="preserve">You can see both links in the January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Orontes. </w:t>
      </w:r>
      <w:r>
        <w:rPr>
          <w:sz w:val="19"/>
          <w:szCs w:val="19"/>
        </w:rPr>
        <w:t xml:space="preserve">Net income was 80: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300, minus cost of goods sold of 180, minus wages of 40.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outflow of 40, an investing outflow of 1,200 and a financing inflow of 2,300. </w:t>
      </w:r>
      <w:r>
        <w:rPr>
          <w:sz w:val="19"/>
          <w:szCs w:val="19"/>
        </w:rPr>
        <w:t xml:space="preserve">Notice that net income and the change in cash are very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basis at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dividend   ·   revenue   ·   transactions   ·   income statement   ·   operating   ·   accrual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06"/>
        <w:gridCol w:w="230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20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99"/>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201"/>
            <w:tcMar>
              <w:top w:type="dxa" w:w="50"/>
              <w:left w:type="dxa" w:w="110"/>
              <w:bottom w:type="dxa" w:w="50"/>
              <w:right w:type="dxa" w:w="110"/>
            </w:tcMar>
          </w:tcPr>
          <w:p>
            <w:pPr>
              <w:spacing w:before="28" w:after="28"/>
            </w:pPr>
            <w:r>
              <w:rPr>
                <w:sz w:val="15"/>
                <w:szCs w:val="15"/>
              </w:rPr>
              <w:t xml:space="preserve">1,050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201"/>
            <w:shd w:fill="FBFAF6" w:val="clear"/>
            <w:tcMar>
              <w:top w:type="dxa" w:w="50"/>
              <w:left w:type="dxa" w:w="110"/>
              <w:bottom w:type="dxa" w:w="50"/>
              <w:right w:type="dxa" w:w="110"/>
            </w:tcMar>
          </w:tcPr>
          <w:p>
            <w:pPr>
              <w:spacing w:before="28" w:after="28"/>
            </w:pPr>
            <w:r>
              <w:rPr>
                <w:sz w:val="15"/>
                <w:szCs w:val="15"/>
              </w:rPr>
              <w:t xml:space="preserve">300</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01"/>
            <w:tcMar>
              <w:top w:type="dxa" w:w="50"/>
              <w:left w:type="dxa" w:w="110"/>
              <w:bottom w:type="dxa" w:w="50"/>
              <w:right w:type="dxa" w:w="110"/>
            </w:tcMar>
          </w:tcPr>
          <w:p>
            <w:pPr>
              <w:spacing w:before="28" w:after="28"/>
            </w:pPr>
            <w:r>
              <w:rPr>
                <w:sz w:val="15"/>
                <w:szCs w:val="15"/>
              </w:rPr>
              <w:t xml:space="preserve"> </w:t>
            </w:r>
          </w:p>
        </w:tc>
        <w:tc>
          <w:tcPr>
            <w:tcW w:type="pct" w:w="1199"/>
            <w:tcMar>
              <w:top w:type="dxa" w:w="50"/>
              <w:left w:type="dxa" w:w="110"/>
              <w:bottom w:type="dxa" w:w="50"/>
              <w:right w:type="dxa" w:w="110"/>
            </w:tcMar>
          </w:tcPr>
          <w:p>
            <w:pPr>
              <w:spacing w:before="28" w:after="28"/>
            </w:pPr>
            <w:r>
              <w:rPr>
                <w:sz w:val="15"/>
                <w:szCs w:val="15"/>
              </w:rPr>
              <w:t xml:space="preserve">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01"/>
            <w:shd w:fill="FBFAF6" w:val="clear"/>
            <w:tcMar>
              <w:top w:type="dxa" w:w="50"/>
              <w:left w:type="dxa" w:w="110"/>
              <w:bottom w:type="dxa" w:w="50"/>
              <w:right w:type="dxa" w:w="110"/>
            </w:tcMar>
          </w:tcPr>
          <w:p>
            <w:pPr>
              <w:spacing w:before="28" w:after="28"/>
            </w:pPr>
            <w:r>
              <w:rPr>
                <w:sz w:val="15"/>
                <w:szCs w:val="15"/>
              </w:rPr>
              <w:t xml:space="preserve">420</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01"/>
            <w:tcMar>
              <w:top w:type="dxa" w:w="50"/>
              <w:left w:type="dxa" w:w="110"/>
              <w:bottom w:type="dxa" w:w="50"/>
              <w:right w:type="dxa" w:w="110"/>
            </w:tcMar>
          </w:tcPr>
          <w:p>
            <w:pPr>
              <w:spacing w:before="28" w:after="28"/>
            </w:pPr>
            <w:r>
              <w:rPr>
                <w:sz w:val="15"/>
                <w:szCs w:val="15"/>
              </w:rPr>
              <w:t xml:space="preserve">24</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01"/>
            <w:shd w:fill="FBFAF6" w:val="clear"/>
            <w:tcMar>
              <w:top w:type="dxa" w:w="50"/>
              <w:left w:type="dxa" w:w="110"/>
              <w:bottom w:type="dxa" w:w="50"/>
              <w:right w:type="dxa" w:w="110"/>
            </w:tcMar>
          </w:tcPr>
          <w:p>
            <w:pPr>
              <w:spacing w:before="28" w:after="28"/>
            </w:pPr>
            <w:r>
              <w:rPr>
                <w:sz w:val="15"/>
                <w:szCs w:val="15"/>
              </w:rPr>
              <w:t xml:space="preserve">936</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Equipment</w:t>
            </w:r>
          </w:p>
        </w:tc>
        <w:tc>
          <w:tcPr>
            <w:tcW w:type="pct" w:w="1201"/>
            <w:tcMar>
              <w:top w:type="dxa" w:w="50"/>
              <w:left w:type="dxa" w:w="110"/>
              <w:bottom w:type="dxa" w:w="50"/>
              <w:right w:type="dxa" w:w="110"/>
            </w:tcMar>
          </w:tcPr>
          <w:p>
            <w:pPr>
              <w:spacing w:before="28" w:after="28"/>
            </w:pPr>
            <w:r>
              <w:rPr>
                <w:sz w:val="15"/>
                <w:szCs w:val="15"/>
              </w:rPr>
              <w:t xml:space="preserve">4,200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600"/>
            <w:tcMar>
              <w:top w:type="dxa" w:w="50"/>
              <w:left w:type="dxa" w:w="110"/>
              <w:bottom w:type="dxa" w:w="50"/>
              <w:right w:type="dxa" w:w="110"/>
            </w:tcMar>
          </w:tcPr>
          <w:p>
            <w:pPr>
              <w:spacing w:before="28" w:after="28"/>
            </w:pPr>
            <w:r>
              <w:rPr>
                <w:sz w:val="15"/>
                <w:szCs w:val="15"/>
              </w:rPr>
              <w:t xml:space="preserve">Accounts payable</w:t>
            </w:r>
          </w:p>
        </w:tc>
        <w:tc>
          <w:tcPr>
            <w:tcW w:type="pct" w:w="1201"/>
            <w:tcMar>
              <w:top w:type="dxa" w:w="50"/>
              <w:left w:type="dxa" w:w="110"/>
              <w:bottom w:type="dxa" w:w="50"/>
              <w:right w:type="dxa" w:w="110"/>
            </w:tcMar>
          </w:tcPr>
          <w:p>
            <w:pPr>
              <w:spacing w:before="28" w:after="28"/>
            </w:pPr>
            <w:r>
              <w:rPr>
                <w:sz w:val="15"/>
                <w:szCs w:val="15"/>
              </w:rPr>
              <w:t xml:space="preserve"> </w:t>
            </w:r>
          </w:p>
        </w:tc>
        <w:tc>
          <w:tcPr>
            <w:tcW w:type="pct" w:w="1199"/>
            <w:tcMar>
              <w:top w:type="dxa" w:w="50"/>
              <w:left w:type="dxa" w:w="110"/>
              <w:bottom w:type="dxa" w:w="50"/>
              <w:right w:type="dxa" w:w="110"/>
            </w:tcMar>
          </w:tcPr>
          <w:p>
            <w:pPr>
              <w:spacing w:before="28" w:after="28"/>
            </w:pPr>
            <w:r>
              <w:rPr>
                <w:sz w:val="15"/>
                <w:szCs w:val="15"/>
              </w:rPr>
              <w:t xml:space="preserve">380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tcMar>
              <w:top w:type="dxa" w:w="50"/>
              <w:left w:type="dxa" w:w="110"/>
              <w:bottom w:type="dxa" w:w="50"/>
              <w:right w:type="dxa" w:w="110"/>
            </w:tcMar>
          </w:tcPr>
          <w:p>
            <w:pPr>
              <w:spacing w:before="28" w:after="28"/>
            </w:pPr>
            <w:r>
              <w:rPr>
                <w:sz w:val="15"/>
                <w:szCs w:val="15"/>
              </w:rPr>
              <w:t xml:space="preserve">Notes payable (long-term)</w:t>
            </w:r>
          </w:p>
        </w:tc>
        <w:tc>
          <w:tcPr>
            <w:tcW w:type="pct" w:w="1201"/>
            <w:tcMar>
              <w:top w:type="dxa" w:w="50"/>
              <w:left w:type="dxa" w:w="110"/>
              <w:bottom w:type="dxa" w:w="50"/>
              <w:right w:type="dxa" w:w="110"/>
            </w:tcMar>
          </w:tcPr>
          <w:p>
            <w:pPr>
              <w:spacing w:before="28" w:after="28"/>
            </w:pPr>
            <w:r>
              <w:rPr>
                <w:sz w:val="15"/>
                <w:szCs w:val="15"/>
              </w:rPr>
              <w:t xml:space="preserve"> </w:t>
            </w:r>
          </w:p>
        </w:tc>
        <w:tc>
          <w:tcPr>
            <w:tcW w:type="pct" w:w="1199"/>
            <w:tcMar>
              <w:top w:type="dxa" w:w="50"/>
              <w:left w:type="dxa" w:w="110"/>
              <w:bottom w:type="dxa" w:w="50"/>
              <w:right w:type="dxa" w:w="110"/>
            </w:tcMar>
          </w:tcPr>
          <w:p>
            <w:pPr>
              <w:spacing w:before="28" w:after="28"/>
            </w:pPr>
            <w:r>
              <w:rPr>
                <w:sz w:val="15"/>
                <w:szCs w:val="15"/>
              </w:rPr>
              <w:t xml:space="preserve">1,800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201"/>
            <w:tcMar>
              <w:top w:type="dxa" w:w="50"/>
              <w:left w:type="dxa" w:w="110"/>
              <w:bottom w:type="dxa" w:w="50"/>
              <w:right w:type="dxa" w:w="110"/>
            </w:tcMar>
          </w:tcPr>
          <w:p>
            <w:pPr>
              <w:spacing w:before="28" w:after="28"/>
            </w:pPr>
            <w:r>
              <w:rPr>
                <w:sz w:val="15"/>
                <w:szCs w:val="15"/>
              </w:rPr>
              <w:t xml:space="preserve"> </w:t>
            </w:r>
          </w:p>
        </w:tc>
        <w:tc>
          <w:tcPr>
            <w:tcW w:type="pct" w:w="1199"/>
            <w:tcMar>
              <w:top w:type="dxa" w:w="50"/>
              <w:left w:type="dxa" w:w="110"/>
              <w:bottom w:type="dxa" w:w="50"/>
              <w:right w:type="dxa" w:w="110"/>
            </w:tcMar>
          </w:tcPr>
          <w:p>
            <w:pPr>
              <w:spacing w:before="28" w:after="28"/>
            </w:pPr>
            <w:r>
              <w:rPr>
                <w:sz w:val="15"/>
                <w:szCs w:val="15"/>
              </w:rPr>
              <w:t xml:space="preserve">1,900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Dividends declared</w:t>
            </w:r>
          </w:p>
        </w:tc>
        <w:tc>
          <w:tcPr>
            <w:tcW w:type="pct" w:w="1201"/>
            <w:tcMar>
              <w:top w:type="dxa" w:w="50"/>
              <w:left w:type="dxa" w:w="110"/>
              <w:bottom w:type="dxa" w:w="50"/>
              <w:right w:type="dxa" w:w="110"/>
            </w:tcMar>
          </w:tcPr>
          <w:p>
            <w:pPr>
              <w:spacing w:before="28" w:after="28"/>
            </w:pPr>
            <w:r>
              <w:rPr>
                <w:sz w:val="15"/>
                <w:szCs w:val="15"/>
              </w:rPr>
              <w:t xml:space="preserve">50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600"/>
            <w:tcMar>
              <w:top w:type="dxa" w:w="50"/>
              <w:left w:type="dxa" w:w="110"/>
              <w:bottom w:type="dxa" w:w="50"/>
              <w:right w:type="dxa" w:w="110"/>
            </w:tcMar>
          </w:tcPr>
          <w:p>
            <w:pPr>
              <w:spacing w:before="28" w:after="28"/>
            </w:pPr>
            <w:r>
              <w:rPr>
                <w:sz w:val="15"/>
                <w:szCs w:val="15"/>
              </w:rPr>
              <w:t xml:space="preserve">Cost of goods sold</w:t>
            </w:r>
          </w:p>
        </w:tc>
        <w:tc>
          <w:tcPr>
            <w:tcW w:type="pct" w:w="1201"/>
            <w:tcMar>
              <w:top w:type="dxa" w:w="50"/>
              <w:left w:type="dxa" w:w="110"/>
              <w:bottom w:type="dxa" w:w="50"/>
              <w:right w:type="dxa" w:w="110"/>
            </w:tcMar>
          </w:tcPr>
          <w:p>
            <w:pPr>
              <w:spacing w:before="28" w:after="28"/>
            </w:pPr>
            <w:r>
              <w:rPr>
                <w:sz w:val="15"/>
                <w:szCs w:val="15"/>
              </w:rPr>
              <w:t xml:space="preserve">1,860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201"/>
            <w:shd w:fill="FBFAF6" w:val="clear"/>
            <w:tcMar>
              <w:top w:type="dxa" w:w="50"/>
              <w:left w:type="dxa" w:w="110"/>
              <w:bottom w:type="dxa" w:w="50"/>
              <w:right w:type="dxa" w:w="110"/>
            </w:tcMar>
          </w:tcPr>
          <w:p>
            <w:pPr>
              <w:spacing w:before="28" w:after="28"/>
            </w:pPr>
            <w:r>
              <w:rPr>
                <w:sz w:val="15"/>
                <w:szCs w:val="15"/>
              </w:rPr>
              <w:t xml:space="preserve">520</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201"/>
            <w:tcMar>
              <w:top w:type="dxa" w:w="50"/>
              <w:left w:type="dxa" w:w="110"/>
              <w:bottom w:type="dxa" w:w="50"/>
              <w:right w:type="dxa" w:w="110"/>
            </w:tcMar>
          </w:tcPr>
          <w:p>
            <w:pPr>
              <w:spacing w:before="28" w:after="28"/>
            </w:pPr>
            <w:r>
              <w:rPr>
                <w:sz w:val="15"/>
                <w:szCs w:val="15"/>
              </w:rPr>
              <w:t xml:space="preserve">300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201"/>
            <w:shd w:fill="FBFAF6" w:val="clear"/>
            <w:tcMar>
              <w:top w:type="dxa" w:w="50"/>
              <w:left w:type="dxa" w:w="110"/>
              <w:bottom w:type="dxa" w:w="50"/>
              <w:right w:type="dxa" w:w="110"/>
            </w:tcMar>
          </w:tcPr>
          <w:p>
            <w:pPr>
              <w:spacing w:before="28" w:after="28"/>
            </w:pPr>
            <w:r>
              <w:rPr>
                <w:sz w:val="15"/>
                <w:szCs w:val="15"/>
              </w:rPr>
              <w:t xml:space="preserve">90</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Totals</w:t>
            </w:r>
          </w:p>
        </w:tc>
        <w:tc>
          <w:tcPr>
            <w:tcW w:type="pct" w:w="1201"/>
            <w:tcMar>
              <w:top w:type="dxa" w:w="50"/>
              <w:left w:type="dxa" w:w="110"/>
              <w:bottom w:type="dxa" w:w="50"/>
              <w:right w:type="dxa" w:w="110"/>
            </w:tcMar>
          </w:tcPr>
          <w:p>
            <w:pPr>
              <w:spacing w:before="28" w:after="28"/>
            </w:pPr>
            <w:r>
              <w:rPr>
                <w:sz w:val="15"/>
                <w:szCs w:val="15"/>
              </w:rPr>
              <w:t xml:space="preserve">9,750</w:t>
            </w:r>
          </w:p>
        </w:tc>
        <w:tc>
          <w:tcPr>
            <w:tcW w:type="pct" w:w="1199"/>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Totals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MOST likely or BEST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NOT or EXCEPT: three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are true.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describes   ·   options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disclose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statement of changes in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Prepaid rent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You can see both links in the January transactions of Orontes. Net income was 80: revenue of 300, minus cost of goods sold of 180, minus wages of 40. The dividend declared was 50, so retained earnings rose by 30. Cash rose by 1,060: an operating outflow of 40, an investing outflow of 1,200 and a financing inflow of 2,300. Notice that net income and the change in cash are very different numbers. This is the accrual basis at work.</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NOT or EXCEPT: three options are true.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8dd9406f79cd6c29e1d1e8cbb8fc057a86fa072.png" Type="http://schemas.openxmlformats.org/officeDocument/2006/relationships/image"/><Relationship Id="rId102" Target="media/e0146ceb8851ed1dc83993a1af1d8bb15e8a8b32.png" Type="http://schemas.openxmlformats.org/officeDocument/2006/relationships/image"/><Relationship Id="rId103" Target="media/74fe7007cbc94b29fb94edc6d06231120ef3eda8.png" Type="http://schemas.openxmlformats.org/officeDocument/2006/relationships/image"/><Relationship Id="rId104" Target="media/f1640407456d0ec7fdf8776634f85c675c818ca7.png" Type="http://schemas.openxmlformats.org/officeDocument/2006/relationships/image"/><Relationship Id="rId105" Target="media/b01dd8fa71c86935bd594d073adf3a0d32a2867d.png" Type="http://schemas.openxmlformats.org/officeDocument/2006/relationships/image"/><Relationship Id="rId106" Target="media/681a8ff985adabecd5b4eb1b139d91653cc7f195.png" Type="http://schemas.openxmlformats.org/officeDocument/2006/relationships/image"/><Relationship Id="rId107" Target="media/31466ec3e1a4614e6048b4a91bcbfc8f3b4ac9d9.png" Type="http://schemas.openxmlformats.org/officeDocument/2006/relationships/image"/><Relationship Id="rId108" Target="media/c1e53c6644ac39ab2fb28c3fdb963899004c028b.png" Type="http://schemas.openxmlformats.org/officeDocument/2006/relationships/image"/><Relationship Id="rId109" Target="media/cf29ea77bf5f3c82368f8d58861023e81e9581ea.png" Type="http://schemas.openxmlformats.org/officeDocument/2006/relationships/image"/><Relationship Id="rId110" Target="media/ce9952a9ba79730aa3c52a80d0a23acb4d1a9a64.png" Type="http://schemas.openxmlformats.org/officeDocument/2006/relationships/image"/><Relationship Id="rId111" Target="media/4a33bfb80b9260c45fa10db31043490ee8be708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dc:title>
  <dc:subject>Summary handouts</dc:subject>
  <cp:category>Student Book</cp:category>
</cp:coreProperties>
</file>