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2.1 · Purpose and structure of the balance 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liquidity · solvency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classified balance sheet · liquidity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accumulated · depreciation · contingencies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reports a company's assets, liabilities and equity at one point in time. It answers three questions for investors and lenders. Can the company pay its bills in the coming months? This is liquidity. Can it pay all its debts over time? This is solvency.”</w:t>
      </w:r>
    </w:p>
    <w:p>
      <w:pPr>
        <w:spacing w:after="18"/>
        <w:ind w:left="300" w:hanging="300"/>
      </w:pPr>
      <w:r>
        <w:rPr>
          <w:b/>
          <w:bCs/>
          <w:color w:val="8186EF"/>
          <w:sz w:val="16"/>
          <w:szCs w:val="16"/>
        </w:rPr>
        <w:t xml:space="preserve">2  </w:t>
      </w:r>
      <w:r>
        <w:rPr>
          <w:sz w:val="16"/>
          <w:szCs w:val="16"/>
        </w:rPr>
        <w:t xml:space="preserve">The book writes: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after="18"/>
        <w:ind w:left="300" w:hanging="300"/>
      </w:pPr>
      <w:r>
        <w:rPr>
          <w:b/>
          <w:bCs/>
          <w:color w:val="8186EF"/>
          <w:sz w:val="16"/>
          <w:szCs w:val="16"/>
        </w:rPr>
        <w:t xml:space="preserve">3  </w:t>
      </w:r>
      <w:r>
        <w:rPr>
          <w:sz w:val="16"/>
          <w:szCs w:val="16"/>
        </w:rPr>
        <w:t xml:space="preserve">The book writes: “Contra accounts, such as the allowance for credit losses and accumulated depreciation, are shown with the asset they reduce. The line Commitments and contingencies has no amount; it tells the reader to look at a note.”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The balance sheet shows resources and obligations for judging liquidity and solvency. A is wrong: Profitability is shown on the income statement. B is wrong: Operating cash flow is on the statement of cash flows.</w:t>
      </w:r>
    </w:p>
    <w:p>
      <w:pPr>
        <w:spacing w:after="18"/>
        <w:ind w:left="300" w:hanging="300"/>
      </w:pPr>
      <w:r>
        <w:rPr>
          <w:b/>
          <w:bCs/>
          <w:color w:val="8186EF"/>
          <w:sz w:val="16"/>
          <w:szCs w:val="16"/>
        </w:rPr>
        <w:t xml:space="preserve">7  </w:t>
      </w:r>
      <w:r>
        <w:rPr>
          <w:sz w:val="16"/>
          <w:szCs w:val="16"/>
        </w:rPr>
        <w:t xml:space="preserve">Classification shows the short-term position clearly. B is wrong: Classification does not change measurement. C is wrong: Equity is a book amount.</w:t>
      </w:r>
    </w:p>
    <w:p>
      <w:pPr>
        <w:spacing w:after="18"/>
        <w:ind w:left="300" w:hanging="300"/>
      </w:pPr>
      <w:r>
        <w:rPr>
          <w:b/>
          <w:bCs/>
          <w:color w:val="8186EF"/>
          <w:sz w:val="16"/>
          <w:szCs w:val="16"/>
        </w:rPr>
        <w:t xml:space="preserve">8  </w:t>
      </w:r>
      <w:r>
        <w:rPr>
          <w:sz w:val="16"/>
          <w:szCs w:val="16"/>
        </w:rPr>
        <w:t xml:space="preserve">Cash surrender value is excluded from current assets. A is wrong: Prepaid rent for six months will be used up within a year. B is wrong: Trading securities are held for sale soon.</w:t>
      </w:r>
    </w:p>
    <w:p>
      <w:pPr>
        <w:spacing w:after="18"/>
        <w:ind w:left="300" w:hanging="300"/>
      </w:pPr>
      <w:r>
        <w:rPr>
          <w:b/>
          <w:bCs/>
          <w:color w:val="8186EF"/>
          <w:sz w:val="16"/>
          <w:szCs w:val="16"/>
        </w:rPr>
        <w:t xml:space="preserve">9  </w:t>
      </w:r>
      <w:r>
        <w:rPr>
          <w:sz w:val="16"/>
          <w:szCs w:val="16"/>
        </w:rPr>
        <w:t xml:space="preserve">Without a right of setoff, assets and liabilities are shown gross. A is wrong: Netting needs a legal right of setoff. B is wrong: Netting needs a right of setoff, and the sign is also wrong.</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The book’s own table gives Current asset as the category of Prepaid rent.</w:t>
      </w:r>
    </w:p>
    <w:p>
      <w:pPr>
        <w:spacing w:after="18"/>
        <w:ind w:left="300" w:hanging="300"/>
      </w:pPr>
      <w:r>
        <w:rPr>
          <w:b/>
          <w:bCs/>
          <w:color w:val="8186EF"/>
          <w:sz w:val="16"/>
          <w:szCs w:val="16"/>
        </w:rPr>
        <w:t xml:space="preserve">18  </w:t>
      </w:r>
      <w:r>
        <w:rPr>
          <w:sz w:val="16"/>
          <w:szCs w:val="16"/>
        </w:rPr>
        <w:t xml:space="preserve">The book’s own table gives Noncurrent asset as the category of Land.</w:t>
      </w:r>
    </w:p>
    <w:p>
      <w:pPr>
        <w:spacing w:after="18"/>
        <w:ind w:left="300" w:hanging="300"/>
      </w:pPr>
      <w:r>
        <w:rPr>
          <w:b/>
          <w:bCs/>
          <w:color w:val="8186EF"/>
          <w:sz w:val="16"/>
          <w:szCs w:val="16"/>
        </w:rPr>
        <w:t xml:space="preserve">19  </w:t>
      </w:r>
      <w:r>
        <w:rPr>
          <w:sz w:val="16"/>
          <w:szCs w:val="16"/>
        </w:rPr>
        <w:t xml:space="preserve">The book’s own table gives Current asset as the category of Allowance for credit losses.</w:t>
      </w:r>
    </w:p>
    <w:p>
      <w:pPr>
        <w:spacing w:after="18"/>
        <w:ind w:left="300" w:hanging="300"/>
      </w:pPr>
      <w:r>
        <w:rPr>
          <w:b/>
          <w:bCs/>
          <w:color w:val="8186EF"/>
          <w:sz w:val="16"/>
          <w:szCs w:val="16"/>
        </w:rPr>
        <w:t xml:space="preserve">20  </w:t>
      </w:r>
      <w:r>
        <w:rPr>
          <w:sz w:val="16"/>
          <w:szCs w:val="16"/>
        </w:rPr>
        <w:t xml:space="preserve">The glossary on this page pairs “الميزانية العمومية” with balance sheet.</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2.2 · Current and noncurrent items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cycle · Current liabilities · current assets · Restricted cash</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current assets · current liabilities · working capital · current ratio</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equity-method · investments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current assets · current liabilities · working capital</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Paying a supplier in cash reduces current assets and current liabilities by the same amount: working capital does not change, but the current ratio changes.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w:t>
      </w:r>
    </w:p>
    <w:p>
      <w:pPr>
        <w:spacing w:after="18"/>
        <w:ind w:left="300" w:hanging="300"/>
      </w:pPr>
      <w:r>
        <w:rPr>
          <w:b/>
          <w:bCs/>
          <w:color w:val="8186EF"/>
          <w:sz w:val="16"/>
          <w:szCs w:val="16"/>
        </w:rPr>
        <w:t xml:space="preserve">2  </w:t>
      </w:r>
      <w:r>
        <w:rPr>
          <w:sz w:val="16"/>
          <w:szCs w:val="16"/>
        </w:rPr>
        <w:t xml:space="preserve">The book writes: “A year earlier the ratio was 2.35. Part 2 of the CMA exam analyzes these ratios in depth. Paying a supplier in cash reduces current assets and current liabilities by the same amount: working capital does not change, but the current ratio changes.”</w:t>
      </w:r>
    </w:p>
    <w:p>
      <w:pPr>
        <w:spacing w:after="18"/>
        <w:ind w:left="300" w:hanging="300"/>
      </w:pPr>
      <w:r>
        <w:rPr>
          <w:b/>
          <w:bCs/>
          <w:color w:val="8186EF"/>
          <w:sz w:val="16"/>
          <w:szCs w:val="16"/>
        </w:rPr>
        <w:t xml:space="preserve">3  </w:t>
      </w:r>
      <w:r>
        <w:rPr>
          <w:sz w:val="16"/>
          <w:szCs w:val="16"/>
        </w:rPr>
        <w:t xml:space="preserve">The book writes: “Orontes expects to sell it within the year, so it is a current asset, outside PP&amp;E. Step 3. The equity-method investments, $1,807,000. Orontes plans to hold them for the long term, so they are noncurrent assets.”</w:t>
      </w:r>
    </w:p>
    <w:p>
      <w:pPr>
        <w:spacing w:after="18"/>
        <w:ind w:left="300" w:hanging="300"/>
      </w:pPr>
      <w:r>
        <w:rPr>
          <w:b/>
          <w:bCs/>
          <w:color w:val="8186EF"/>
          <w:sz w:val="16"/>
          <w:szCs w:val="16"/>
        </w:rPr>
        <w:t xml:space="preserve">4  </w:t>
      </w:r>
      <w:r>
        <w:rPr>
          <w:sz w:val="16"/>
          <w:szCs w:val="16"/>
        </w:rPr>
        <w:t xml:space="preserve">The book pairs Customer deposits for orders to be delivered next month with “________”.</w:t>
      </w:r>
    </w:p>
    <w:p>
      <w:pPr>
        <w:spacing w:after="18"/>
        <w:ind w:left="300" w:hanging="300"/>
      </w:pPr>
      <w:r>
        <w:rPr>
          <w:b/>
          <w:bCs/>
          <w:color w:val="8186EF"/>
          <w:sz w:val="16"/>
          <w:szCs w:val="16"/>
        </w:rPr>
        <w:t xml:space="preserve">5  </w:t>
      </w:r>
      <w:r>
        <w:rPr>
          <w:sz w:val="16"/>
          <w:szCs w:val="16"/>
        </w:rPr>
        <w:t xml:space="preserve">The book pairs Date vinegar that Orontes ages for 18 months before sale with “The operating cycle is longer than one year, so the cycle applies”.</w:t>
      </w:r>
    </w:p>
    <w:p>
      <w:pPr>
        <w:spacing w:after="18"/>
        <w:ind w:left="300" w:hanging="300"/>
      </w:pPr>
      <w:r>
        <w:rPr>
          <w:b/>
          <w:bCs/>
          <w:color w:val="8186EF"/>
          <w:sz w:val="16"/>
          <w:szCs w:val="16"/>
        </w:rPr>
        <w:t xml:space="preserve">7  </w:t>
      </w:r>
      <w:r>
        <w:rPr>
          <w:sz w:val="16"/>
          <w:szCs w:val="16"/>
        </w:rPr>
        <w:t xml:space="preserve">The book gives Restricted for a noncurrent purpose as the reason of Cash set aside in a sinking fund to repay bonds in 2029.</w:t>
      </w:r>
    </w:p>
    <w:p>
      <w:pPr>
        <w:spacing w:after="18"/>
        <w:ind w:left="300" w:hanging="300"/>
      </w:pPr>
      <w:r>
        <w:rPr>
          <w:b/>
          <w:bCs/>
          <w:color w:val="8186EF"/>
          <w:sz w:val="16"/>
          <w:szCs w:val="16"/>
        </w:rPr>
        <w:t xml:space="preserve">8  </w:t>
      </w:r>
      <w:r>
        <w:rPr>
          <w:sz w:val="16"/>
          <w:szCs w:val="16"/>
        </w:rPr>
        <w:t xml:space="preserve">Financial flexibility is the ability to respond to unexpected needs and opportunities. A is wrong: Liquidity is about meeting short-term obligations. C is wrong: Solvency is about meeting all obligations over time.</w:t>
      </w:r>
    </w:p>
    <w:p>
      <w:pPr>
        <w:spacing w:after="18"/>
        <w:ind w:left="300" w:hanging="300"/>
      </w:pPr>
      <w:r>
        <w:rPr>
          <w:b/>
          <w:bCs/>
          <w:color w:val="8186EF"/>
          <w:sz w:val="16"/>
          <w:szCs w:val="16"/>
        </w:rPr>
        <w:t xml:space="preserve">9  </w:t>
      </w:r>
      <w:r>
        <w:rPr>
          <w:sz w:val="16"/>
          <w:szCs w:val="16"/>
        </w:rPr>
        <w:t xml:space="preserve">Current means one year or the operating cycle, whichever is longer. A is wrong: The one-year test applies only when the operating cycle is shorter. C is wrong: Inventory in the normal cycle is not split.</w:t>
      </w:r>
    </w:p>
    <w:p>
      <w:pPr>
        <w:spacing w:after="18"/>
        <w:ind w:left="300" w:hanging="300"/>
      </w:pPr>
      <w:r>
        <w:rPr>
          <w:b/>
          <w:bCs/>
          <w:color w:val="8186EF"/>
          <w:sz w:val="16"/>
          <w:szCs w:val="16"/>
        </w:rPr>
        <w:t xml:space="preserve">10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Pr>
        <w:spacing w:after="18"/>
        <w:ind w:left="300" w:hanging="300"/>
      </w:pPr>
      <w:r>
        <w:rPr>
          <w:b/>
          <w:bCs/>
          <w:color w:val="8186EF"/>
          <w:sz w:val="16"/>
          <w:szCs w:val="16"/>
        </w:rPr>
        <w:t xml:space="preserve">11  </w:t>
      </w:r>
      <w:r>
        <w:rPr>
          <w:sz w:val="16"/>
          <w:szCs w:val="16"/>
        </w:rPr>
        <w:t xml:space="preserve">Liquidity is the ability to pay short-term obligations as they fall due. B is wrong: Solvency is about paying all debts over the long term. C is wrong: Profitability is measured on the income statement, not by short-term payment ability.</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17  </w:t>
      </w:r>
      <w:r>
        <w:rPr>
          <w:sz w:val="16"/>
          <w:szCs w:val="16"/>
        </w:rPr>
        <w:t xml:space="preserve">A balance sheet is at one date, not for a period. A is wrong: 'For the year ended' is used for the income statement, not the balance sheet. B is wrong: A period heading describes a flow statement.</w:t>
      </w:r>
    </w:p>
    <w:p>
      <w:pPr>
        <w:spacing w:after="18"/>
        <w:ind w:left="300" w:hanging="300"/>
      </w:pPr>
      <w:r>
        <w:rPr>
          <w:b/>
          <w:bCs/>
          <w:color w:val="8186EF"/>
          <w:sz w:val="16"/>
          <w:szCs w:val="16"/>
        </w:rPr>
        <w:t xml:space="preserve">18  </w:t>
      </w:r>
      <w:r>
        <w:rPr>
          <w:sz w:val="16"/>
          <w:szCs w:val="16"/>
        </w:rPr>
        <w:t xml:space="preserve">Liquidity is the ability to pay short-term obligations as they fall due. B is wrong: Solvency is about paying all debts over the long term. C is wrong: Profitability is measured on the income statement, not by short-term payment ability.</w:t>
      </w:r>
    </w:p>
    <w:p>
      <w:pPr>
        <w:spacing w:after="18"/>
        <w:ind w:left="300" w:hanging="300"/>
      </w:pPr>
      <w:r>
        <w:rPr>
          <w:b/>
          <w:bCs/>
          <w:color w:val="8186EF"/>
          <w:sz w:val="16"/>
          <w:szCs w:val="16"/>
        </w:rPr>
        <w:t xml:space="preserve">19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20  </w:t>
      </w:r>
      <w:r>
        <w:rPr>
          <w:sz w:val="16"/>
          <w:szCs w:val="16"/>
        </w:rPr>
        <w:t xml:space="preserve">Reasonably possible losses are disclosed, not accrued. B is wrong: Accrual needs a probable loss. C is wrong: Reasonably possible losses must be disclosed.</w:t>
      </w:r>
    </w:p>
    <w:p>
      <w:pPr>
        <w:spacing w:after="18"/>
        <w:ind w:left="300" w:hanging="300"/>
      </w:pPr>
      <w:r>
        <w:rPr>
          <w:b/>
          <w:bCs/>
          <w:color w:val="8186EF"/>
          <w:sz w:val="16"/>
          <w:szCs w:val="16"/>
        </w:rPr>
        <w:t xml:space="preserve">21  </w:t>
      </w:r>
      <w:r>
        <w:rPr>
          <w:sz w:val="16"/>
          <w:szCs w:val="16"/>
        </w:rPr>
        <w:t xml:space="preserve">Current assets of $8,380,000 minus current liabilities of $3,570,000. A is wrong: This subtracts total liabilities, not current liabilities. C is wrong: These are current assets only; current liabilities are not deducted.</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2.3 · Classifying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classification · installments · current portion of long-term debt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refinancing · balance sheet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Refinanced · noncurrent · waiver</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“Debt is where classification gets difficult, and where the exam likes to test. Long-term debt that is due in installments is split: the current portion of long-term debt is current and the rest is noncurrent. Orontes shows $400,000 as current and $6,000,000 as long-term.”</w:t>
      </w:r>
    </w:p>
    <w:p>
      <w:pPr>
        <w:spacing w:after="18"/>
        <w:ind w:left="300" w:hanging="300"/>
      </w:pPr>
      <w:r>
        <w:rPr>
          <w:b/>
          <w:bCs/>
          <w:color w:val="8186EF"/>
          <w:sz w:val="16"/>
          <w:szCs w:val="16"/>
        </w:rPr>
        <w:t xml:space="preserve">2  </w:t>
      </w:r>
      <w:r>
        <w:rPr>
          <w:sz w:val="16"/>
          <w:szCs w:val="16"/>
        </w:rPr>
        <w:t xml:space="preserve">The book writes: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w:t>
      </w:r>
    </w:p>
    <w:p>
      <w:pPr>
        <w:spacing w:after="18"/>
        <w:ind w:left="300" w:hanging="300"/>
      </w:pPr>
      <w:r>
        <w:rPr>
          <w:b/>
          <w:bCs/>
          <w:color w:val="8186EF"/>
          <w:sz w:val="16"/>
          <w:szCs w:val="16"/>
        </w:rPr>
        <w:t xml:space="preserve">3  </w:t>
      </w:r>
      <w:r>
        <w:rPr>
          <w:sz w:val="16"/>
          <w:szCs w:val="16"/>
        </w:rPr>
        <w:t xml:space="preserve">The book writes: “Do not use the old proposal on the exam. Refinanced after year-end but before issuance: noncurrent under U.S. GAAP, current under IFRS. Due on demand: always current. A waiver obtained before issuance, for more than a year: noncurrent under U.S. GAAP.”</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$14,188,100 − $4,280,000 = $9,908,100. A is wrong: This subtracts total liabilities. C is wrong: This adds back the allowance; receivables are included net.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$14,188,100 − $4,280,000 = $9,908,100. A is wrong: This subtracts total liabilities. C is wrong: This adds back the allowance; receivables are included net.</w:t>
      </w:r>
    </w:p>
    <w:p>
      <w:pPr>
        <w:spacing w:after="18"/>
        <w:ind w:left="300" w:hanging="300"/>
      </w:pPr>
      <w:r>
        <w:rPr>
          <w:b/>
          <w:bCs/>
          <w:color w:val="8186EF"/>
          <w:sz w:val="16"/>
          <w:szCs w:val="16"/>
        </w:rPr>
        <w:t xml:space="preserve">19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2.4 · Other presentation matters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balance sheet · liabilities · noncurrent</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information · condition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contra-asset · contra-assets · loss contingency</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few more rules decide what appears on the balance sheet and how. All deferred tax assets and liabilities are noncurrent. Orontes shows its deferred tax liability of $999,625 below long-term debt.”</w:t>
      </w:r>
    </w:p>
    <w:p>
      <w:pPr>
        <w:spacing w:after="18"/>
        <w:ind w:left="300" w:hanging="300"/>
      </w:pPr>
      <w:r>
        <w:rPr>
          <w:b/>
          <w:bCs/>
          <w:color w:val="8186EF"/>
          <w:sz w:val="16"/>
          <w:szCs w:val="16"/>
        </w:rPr>
        <w:t xml:space="preserve">2  </w:t>
      </w:r>
      <w:r>
        <w:rPr>
          <w:sz w:val="16"/>
          <w:szCs w:val="16"/>
        </w:rPr>
        <w:t xml:space="preserve">The book writes: “If an event gives more information about a condition that already existed at year-end, the company adjusts the statements. If the condition arose after year-end, the company only discloses it.”</w:t>
      </w:r>
    </w:p>
    <w:p>
      <w:pPr>
        <w:spacing w:after="18"/>
        <w:ind w:left="300" w:hanging="300"/>
      </w:pPr>
      <w:r>
        <w:rPr>
          <w:b/>
          <w:bCs/>
          <w:color w:val="8186EF"/>
          <w:sz w:val="16"/>
          <w:szCs w:val="16"/>
        </w:rPr>
        <w:t xml:space="preserve">3  </w:t>
      </w:r>
      <w:r>
        <w:rPr>
          <w:sz w:val="16"/>
          <w:szCs w:val="16"/>
        </w:rPr>
        <w:t xml:space="preserve">The book writes: “Arabic مخصص can mean an allowance (a contra-asset), a provision (a liability) or even a reserve in equity (احتياطي). In U.S. GAAP answers, use allowance for contra-assets, accrued liability or loss contingency for liabilities, and never call either a reserve.”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Probable with “Accrue a liability and a loss (best estimate; if no best estimate, the minimum of the range)”.</w:t>
      </w:r>
    </w:p>
    <w:p>
      <w:pPr>
        <w:spacing w:after="18"/>
        <w:ind w:left="300" w:hanging="300"/>
      </w:pPr>
      <w:r>
        <w:rPr>
          <w:b/>
          <w:bCs/>
          <w:color w:val="8186EF"/>
          <w:sz w:val="16"/>
          <w:szCs w:val="16"/>
        </w:rPr>
        <w:t xml:space="preserve">6  </w:t>
      </w:r>
      <w:r>
        <w:rPr>
          <w:sz w:val="16"/>
          <w:szCs w:val="16"/>
        </w:rPr>
        <w:t xml:space="preserve">The book’s own table gives Disclose the nature and an estimate (or say it cannot be estimated) as the disclosure of Reasonably possible.</w:t>
      </w:r>
    </w:p>
    <w:p>
      <w:pPr>
        <w:spacing w:after="18"/>
        <w:ind w:left="300" w:hanging="300"/>
      </w:pPr>
      <w:r>
        <w:rPr>
          <w:b/>
          <w:bCs/>
          <w:color w:val="8186EF"/>
          <w:sz w:val="16"/>
          <w:szCs w:val="16"/>
        </w:rPr>
        <w:t xml:space="preserve">7  </w:t>
      </w:r>
      <w:r>
        <w:rPr>
          <w:sz w:val="16"/>
          <w:szCs w:val="16"/>
        </w:rPr>
        <w:t xml:space="preserve">$14,188,100 ÷ $4,280,000. A is wrong: This divides current liabilities by current assets. B is wrong: This is the 2024 ratio.</w:t>
      </w:r>
    </w:p>
    <w:p>
      <w:pPr>
        <w:spacing w:after="18"/>
        <w:ind w:left="300" w:hanging="300"/>
      </w:pPr>
      <w:r>
        <w:rPr>
          <w:b/>
          <w:bCs/>
          <w:color w:val="8186EF"/>
          <w:sz w:val="16"/>
          <w:szCs w:val="16"/>
        </w:rPr>
        <w:t xml:space="preserve">8  </w:t>
      </w:r>
      <w:r>
        <w:rPr>
          <w:sz w:val="16"/>
          <w:szCs w:val="16"/>
        </w:rPr>
        <w:t xml:space="preserve">Every cycle settles one rule and shows where it comes from.</w:t>
      </w:r>
    </w:p>
    <w:p>
      <w:pPr>
        <w:spacing w:after="18"/>
        <w:ind w:left="300" w:hanging="300"/>
      </w:pPr>
      <w:r>
        <w:rPr>
          <w:b/>
          <w:bCs/>
          <w:color w:val="8186EF"/>
          <w:sz w:val="16"/>
          <w:szCs w:val="16"/>
        </w:rPr>
        <w:t xml:space="preserve">9  </w:t>
      </w:r>
      <w:r>
        <w:rPr>
          <w:sz w:val="16"/>
          <w:szCs w:val="16"/>
        </w:rPr>
        <w:t xml:space="preserve">CMA questions use exact terms, and one word can change the answer.</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2.5 · Limitations and links to the other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historical · Orontes's · buildings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balance sheet · suppliers · statements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comprehensive · balance sheet · stockholders'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“Most assets are at historical cost, not current value: Orontes's land and buildings are shown at what they cost years ago. Many amounts depend on estimates, such as the allowance for credit losses and useful lives. Important resources are missing.”</w:t>
      </w:r>
    </w:p>
    <w:p>
      <w:pPr>
        <w:spacing w:after="18"/>
        <w:ind w:left="300" w:hanging="300"/>
      </w:pPr>
      <w:r>
        <w:rPr>
          <w:b/>
          <w:bCs/>
          <w:color w:val="8186EF"/>
          <w:sz w:val="16"/>
          <w:szCs w:val="16"/>
        </w:rPr>
        <w:t xml:space="preserve">2  </w:t>
      </w:r>
      <w:r>
        <w:rPr>
          <w:sz w:val="16"/>
          <w:szCs w:val="16"/>
        </w:rPr>
        <w:t xml:space="preserve">The book writes: “Finally, the balance sheet shows one day. A company can improve its year-end picture, for example by delaying payments to suppliers for a few days. Readers therefore compare several dates and read the other statements too. The four statements are connected.”</w:t>
      </w:r>
    </w:p>
    <w:p>
      <w:pPr>
        <w:spacing w:after="18"/>
        <w:ind w:left="300" w:hanging="300"/>
      </w:pPr>
      <w:r>
        <w:rPr>
          <w:b/>
          <w:bCs/>
          <w:color w:val="8186EF"/>
          <w:sz w:val="16"/>
          <w:szCs w:val="16"/>
        </w:rPr>
        <w:t xml:space="preserve">3  </w:t>
      </w:r>
      <w:r>
        <w:rPr>
          <w:sz w:val="16"/>
          <w:szCs w:val="16"/>
        </w:rPr>
        <w:t xml:space="preserve">The book writes: “Other comprehensive income works the same way. Orontes's OCI of $(1,125) does not go into retained earnings. It goes into accumulated other comprehensive income, which is $(1,125) on the balance sheet. Total stockholders' equity is a book amount.”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6  </w:t>
      </w:r>
      <w:r>
        <w:rPr>
          <w:sz w:val="16"/>
          <w:szCs w:val="16"/>
        </w:rPr>
        <w:t xml:space="preserve">Current assets and current liabilities fall by the same amount; with a ratio above 1, the ratio rises. A is wrong: Working capital is unchanged because both sides fall equally. B is wrong: Working capital is the difference, which does not change; the ratio does.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13  </w:t>
      </w:r>
      <w:r>
        <w:rPr>
          <w:sz w:val="16"/>
          <w:szCs w:val="16"/>
        </w:rPr>
        <w:t xml:space="preserve">The glossary on this page pairs “دورة التشغيل” with operating cycle.</w:t>
      </w:r>
    </w:p>
    <w:p>
      <w:pPr>
        <w:spacing w:after="18"/>
        <w:ind w:left="300" w:hanging="300"/>
      </w:pPr>
      <w:r>
        <w:rPr>
          <w:b/>
          <w:bCs/>
          <w:color w:val="8186EF"/>
          <w:sz w:val="16"/>
          <w:szCs w:val="16"/>
        </w:rPr>
        <w:t xml:space="preserve">14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2.6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liquidity · solvency · financial flexibility · classified balance sheet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covenant · callable debt · waiver · grace period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significant · accounting · depreciation</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2.1: Purpose and structure of the balance sheet. 2.2: Current and noncurrent items. 2.3: Classifying debt. 2.4: Other presentation matters. 2.5: Limitations and links to the other statements.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w:t>
      </w:r>
    </w:p>
    <w:p>
      <w:pPr>
        <w:spacing w:after="18"/>
        <w:ind w:left="300" w:hanging="300"/>
      </w:pPr>
      <w:r>
        <w:rPr>
          <w:b/>
          <w:bCs/>
          <w:color w:val="8186EF"/>
          <w:sz w:val="16"/>
          <w:szCs w:val="16"/>
        </w:rPr>
        <w:t xml:space="preserve">2  </w:t>
      </w:r>
      <w:r>
        <w:rPr>
          <w:sz w:val="16"/>
          <w:szCs w:val="16"/>
        </w:rPr>
        <w:t xml:space="preserve">The book writes: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w:t>
      </w:r>
    </w:p>
    <w:p>
      <w:pPr>
        <w:spacing w:after="18"/>
        <w:ind w:left="300" w:hanging="300"/>
      </w:pPr>
      <w:r>
        <w:rPr>
          <w:b/>
          <w:bCs/>
          <w:color w:val="8186EF"/>
          <w:sz w:val="16"/>
          <w:szCs w:val="16"/>
        </w:rPr>
        <w:t xml:space="preserve">3  </w:t>
      </w:r>
      <w:r>
        <w:rPr>
          <w:sz w:val="16"/>
          <w:szCs w:val="16"/>
        </w:rPr>
        <w:t xml:space="preserve">The book writes: “If the condition arose after year-end, the company only discloses it. Finally, the notes begin with a summary of significant accounting policies, such as the inventory method and depreciation methods. The notes are part of the statements, not an extra.”</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“Purpose and structure of the balance sheet” as section 2.1.</w:t>
      </w:r>
    </w:p>
    <w:p>
      <w:pPr>
        <w:spacing w:after="18"/>
        <w:ind w:left="300" w:hanging="300"/>
      </w:pPr>
      <w:r>
        <w:rPr>
          <w:b/>
          <w:bCs/>
          <w:color w:val="8186EF"/>
          <w:sz w:val="16"/>
          <w:szCs w:val="16"/>
        </w:rPr>
        <w:t xml:space="preserve">11  </w:t>
      </w:r>
      <w:r>
        <w:rPr>
          <w:sz w:val="16"/>
          <w:szCs w:val="16"/>
        </w:rPr>
        <w:t xml:space="preserve">A subjective acceleration clause makes debt current only if acceleration is probable. B is wrong: The clause alone does not make the debt current. C is wrong: Classification follows probability, not the clause.</w:t>
      </w:r>
    </w:p>
    <w:p>
      <w:pPr>
        <w:spacing w:after="18"/>
        <w:ind w:left="300" w:hanging="300"/>
      </w:pPr>
      <w:r>
        <w:rPr>
          <w:b/>
          <w:bCs/>
          <w:color w:val="8186EF"/>
          <w:sz w:val="16"/>
          <w:szCs w:val="16"/>
        </w:rPr>
        <w:t xml:space="preserve">12  </w:t>
      </w:r>
      <w:r>
        <w:rPr>
          <w:sz w:val="16"/>
          <w:szCs w:val="16"/>
        </w:rPr>
        <w:t xml:space="preserve">With no best estimate in the range, U.S. GAAP accrues the minimum. A is wrong: The midpoint is the IFRS approach. B is wrong: The maximum is not required.</w:t>
      </w:r>
    </w:p>
    <w:p>
      <w:pPr>
        <w:spacing w:after="18"/>
        <w:ind w:left="300" w:hanging="300"/>
      </w:pPr>
      <w:r>
        <w:rPr>
          <w:b/>
          <w:bCs/>
          <w:color w:val="8186EF"/>
          <w:sz w:val="16"/>
          <w:szCs w:val="16"/>
        </w:rPr>
        <w:t xml:space="preserve">13  </w:t>
      </w:r>
      <w:r>
        <w:rPr>
          <w:sz w:val="16"/>
          <w:szCs w:val="16"/>
        </w:rPr>
        <w:t xml:space="preserve">The condition, the customer's weak finances, existed at year-end, so it is a recognized event. B is wrong: Disclosure only is for conditions that arose after year-end. C is wrong: The loss belongs to the year in which the condition existed.</w:t>
      </w:r>
    </w:p>
    <w:p>
      <w:pPr>
        <w:spacing w:after="18"/>
        <w:ind w:left="300" w:hanging="300"/>
      </w:pPr>
      <w:r>
        <w:rPr>
          <w:b/>
          <w:bCs/>
          <w:color w:val="8186EF"/>
          <w:sz w:val="16"/>
          <w:szCs w:val="16"/>
        </w:rPr>
        <w:t xml:space="preserve">14  </w:t>
      </w:r>
      <w:r>
        <w:rPr>
          <w:sz w:val="16"/>
          <w:szCs w:val="16"/>
        </w:rPr>
        <w:t xml:space="preserve">All deferred tax assets and liabilities are noncurrent. A is wrong: The old current/noncurrent split was removed. C is wrong: It cannot be offset against taxes payable without a right of setoff.</w:t>
      </w:r>
    </w:p>
    <w:p>
      <w:pPr>
        <w:spacing w:after="18"/>
        <w:ind w:left="300" w:hanging="300"/>
      </w:pPr>
      <w:r>
        <w:rPr>
          <w:b/>
          <w:bCs/>
          <w:color w:val="8186EF"/>
          <w:sz w:val="16"/>
          <w:szCs w:val="16"/>
        </w:rPr>
        <w:t xml:space="preserve">15  </w:t>
      </w:r>
      <w:r>
        <w:rPr>
          <w:sz w:val="16"/>
          <w:szCs w:val="16"/>
        </w:rPr>
        <w:t xml:space="preserve">Internally developed intangibles are not recognized as assets. A is wrong: A purchased brand is recorded at its cost. B is wrong: Acquired goodwill is recorded.</w:t>
      </w:r>
    </w:p>
    <w:p>
      <w:pPr>
        <w:spacing w:after="18"/>
        <w:ind w:left="300" w:hanging="300"/>
      </w:pPr>
      <w:r>
        <w:rPr>
          <w:b/>
          <w:bCs/>
          <w:color w:val="8186EF"/>
          <w:sz w:val="16"/>
          <w:szCs w:val="16"/>
        </w:rPr>
        <w:t xml:space="preserve">16  </w:t>
      </w:r>
      <w:r>
        <w:rPr>
          <w:sz w:val="16"/>
          <w:szCs w:val="16"/>
        </w:rPr>
        <w:t xml:space="preserve">Year-end amounts can be managed because the statement shows a single day. A is wrong: Cash and payables are not measured at historical cost in this sense. B is wrong: No intangible is involved.</w:t>
      </w:r>
    </w:p>
    <w:p>
      <w:pPr>
        <w:spacing w:after="18"/>
        <w:ind w:left="300" w:hanging="300"/>
      </w:pPr>
      <w:r>
        <w:rPr>
          <w:b/>
          <w:bCs/>
          <w:color w:val="8186EF"/>
          <w:sz w:val="16"/>
          <w:szCs w:val="16"/>
        </w:rPr>
        <w:t xml:space="preserve">17  </w:t>
      </w:r>
      <w:r>
        <w:rPr>
          <w:sz w:val="16"/>
          <w:szCs w:val="16"/>
        </w:rPr>
        <w:t xml:space="preserve">Adding the same amount to both terms moves a ratio below 1 toward 1. B is wrong: A ratio falls only if it starts above 1. C is wrong: Equal changes leave working capital, not the ratio, unchanged.</w:t>
      </w:r>
    </w:p>
    <w:p>
      <w:pPr>
        <w:spacing w:after="18"/>
        <w:ind w:left="300" w:hanging="300"/>
      </w:pPr>
      <w:r>
        <w:rPr>
          <w:b/>
          <w:bCs/>
          <w:color w:val="8186EF"/>
          <w:sz w:val="16"/>
          <w:szCs w:val="16"/>
        </w:rPr>
        <w:t xml:space="preserve">18  </w:t>
      </w:r>
      <w:r>
        <w:rPr>
          <w:sz w:val="16"/>
          <w:szCs w:val="16"/>
        </w:rPr>
        <w:t xml:space="preserve">Every later answer depends on the adjusted exhibit.</w:t>
      </w:r>
    </w:p>
    <w:p>
      <w:pPr>
        <w:spacing w:after="18"/>
        <w:ind w:left="300" w:hanging="300"/>
      </w:pPr>
      <w:r>
        <w:rPr>
          <w:b/>
          <w:bCs/>
          <w:color w:val="8186EF"/>
          <w:sz w:val="16"/>
          <w:szCs w:val="16"/>
        </w:rPr>
        <w:t xml:space="preserve">25  </w:t>
      </w:r>
      <w:r>
        <w:rPr>
          <w:sz w:val="16"/>
          <w:szCs w:val="16"/>
        </w:rPr>
        <w:t xml:space="preserve">Equity is assets minus liabilities as recorded. A is wrong: Market value depends on share prices, not on book amounts. B is wrong: Equity is not a cash amount.</w:t>
      </w:r>
    </w:p>
    <w:p>
      <w:pPr>
        <w:spacing w:after="18"/>
        <w:ind w:left="300" w:hanging="300"/>
      </w:pPr>
      <w:r>
        <w:rPr>
          <w:b/>
          <w:bCs/>
          <w:color w:val="8186EF"/>
          <w:sz w:val="16"/>
          <w:szCs w:val="16"/>
        </w:rPr>
        <w:t xml:space="preserve">26  </w:t>
      </w:r>
      <w:r>
        <w:rPr>
          <w:sz w:val="16"/>
          <w:szCs w:val="16"/>
        </w:rPr>
        <w:t xml:space="preserve">Opening + net income − dividends declared. OCI goes to AOCI, not retained earnings. A is wrong: This puts OCI into retained earnings. C is wrong: This deducts only the dividends paid, not those declared.</w:t>
      </w:r>
    </w:p>
    <w:p>
      <w:pPr>
        <w:spacing w:after="18"/>
        <w:ind w:left="300" w:hanging="300"/>
      </w:pPr>
      <w:r>
        <w:rPr>
          <w:b/>
          <w:bCs/>
          <w:color w:val="8186EF"/>
          <w:sz w:val="16"/>
          <w:szCs w:val="16"/>
        </w:rPr>
        <w:t xml:space="preserve">27  </w:t>
      </w:r>
      <w:r>
        <w:rPr>
          <w:sz w:val="16"/>
          <w:szCs w:val="16"/>
        </w:rPr>
        <w:t xml:space="preserve">Principal due within one year is the current portion of long-term debt. A is wrong: The part due within a year must be moved to current liabilities. C is wrong: Cash is paid only when the installment is paid.</w:t>
      </w:r>
    </w:p>
    <w:p>
      <w:pPr>
        <w:spacing w:after="18"/>
        <w:ind w:left="300" w:hanging="300"/>
      </w:pPr>
      <w:r>
        <w:rPr>
          <w:b/>
          <w:bCs/>
          <w:color w:val="8186EF"/>
          <w:sz w:val="16"/>
          <w:szCs w:val="16"/>
        </w:rPr>
        <w:t xml:space="preserve">28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 — answer keys</dc:title>
  <dc:subject>The Balance Sheet</dc:subject>
  <cp:category>Student Book</cp:category>
</cp:coreProperties>
</file>