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6.1 · Recognizing and measuring receivables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contract asset · receivable · transaction</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discount · discounts · forfeited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interest-bearing · amortized</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Sale: T1, T2</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Secured borrowing: T3, T4</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 company records an account receivable when its right to be paid is unconditional: only the passage of time is needed before payment is due. This usually happens when it delivers the goods or services and transfers control (Chapter 11). If the company still has to do something else before it can bill, for example finish a second delivery, it has a contract </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“If the company still has to do something else before it can bill, for example finish a second delivery, it has a contract asset, not a receivable. The receivable is measured at the transaction price: the amount the company expects to receive.”</w:t>
      </w:r>
    </w:p>
    <w:p>
      <w:pPr>
        <w:spacing w:after="18"/>
        <w:ind w:left="300" w:hanging="300"/>
      </w:pPr>
      <w:r>
        <w:rPr>
          <w:b/>
          <w:bCs/>
          <w:color w:val="8186EF"/>
          <w:sz w:val="16"/>
          <w:szCs w:val="16"/>
        </w:rPr>
        <w:t xml:space="preserve">2  </w:t>
      </w:r>
      <w:r>
        <w:rPr>
          <w:sz w:val="16"/>
          <w:szCs w:val="16"/>
        </w:rPr>
        <w:t xml:space="preserve">The book writes: “Under the gross method, the company records the full invoice and records a sales discount only when a customer pays early. Under the net method, it records the sale net of the discount, and records sales discounts forfeited when a customer pays late.”</w:t>
      </w:r>
    </w:p>
    <w:p>
      <w:pPr>
        <w:spacing w:after="18"/>
        <w:ind w:left="300" w:hanging="300"/>
      </w:pPr>
      <w:r>
        <w:rPr>
          <w:b/>
          <w:bCs/>
          <w:color w:val="8186EF"/>
          <w:sz w:val="16"/>
          <w:szCs w:val="16"/>
        </w:rPr>
        <w:t xml:space="preserve">3  </w:t>
      </w:r>
      <w:r>
        <w:rPr>
          <w:sz w:val="16"/>
          <w:szCs w:val="16"/>
        </w:rPr>
        <w:t xml:space="preserve">The book writes: “An interest-bearing note is carried at its face amount plus accrued interest. A note with no interest, or with a rate below the market rate, is recorded at its present value. The discount is then amortized to interest revenue over the life of the note.”</w:t>
      </w:r>
    </w:p>
    <w:p>
      <w:pPr>
        <w:spacing w:after="18"/>
        <w:ind w:left="300" w:hanging="300"/>
      </w:pPr>
      <w:r>
        <w:rPr>
          <w:b/>
          <w:bCs/>
          <w:color w:val="8186EF"/>
          <w:sz w:val="16"/>
          <w:szCs w:val="16"/>
        </w:rPr>
        <w:t xml:space="preserve">4  </w:t>
      </w:r>
      <w:r>
        <w:rPr>
          <w:sz w:val="16"/>
          <w:szCs w:val="16"/>
        </w:rPr>
        <w:t xml:space="preserve">The book pairs T4 with “Secured borrowing”.</w:t>
      </w:r>
    </w:p>
    <w:p>
      <w:pPr>
        <w:spacing w:after="18"/>
        <w:ind w:left="300" w:hanging="300"/>
      </w:pPr>
      <w:r>
        <w:rPr>
          <w:b/>
          <w:bCs/>
          <w:color w:val="8186EF"/>
          <w:sz w:val="16"/>
          <w:szCs w:val="16"/>
        </w:rPr>
        <w:t xml:space="preserve">5  </w:t>
      </w:r>
      <w:r>
        <w:rPr>
          <w:sz w:val="16"/>
          <w:szCs w:val="16"/>
        </w:rPr>
        <w:t xml:space="preserve">The book’s own table pairs T1 with “Sale”.</w:t>
      </w:r>
    </w:p>
    <w:p>
      <w:pPr>
        <w:spacing w:after="18"/>
        <w:ind w:left="300" w:hanging="300"/>
      </w:pPr>
      <w:r>
        <w:rPr>
          <w:b/>
          <w:bCs/>
          <w:color w:val="8186EF"/>
          <w:sz w:val="16"/>
          <w:szCs w:val="16"/>
        </w:rPr>
        <w:t xml:space="preserve">8  </w:t>
      </w:r>
      <w:r>
        <w:rPr>
          <w:sz w:val="16"/>
          <w:szCs w:val="16"/>
        </w:rPr>
        <w:t xml:space="preserve">CECL records lifetime expected losses from day one. A is wrong: The probable threshold belonged to the old incurred-loss model. B is wrong: CECL does not wait for evidence of a loss.</w:t>
      </w:r>
    </w:p>
    <w:p>
      <w:pPr>
        <w:spacing w:after="18"/>
        <w:ind w:left="300" w:hanging="300"/>
      </w:pPr>
      <w:r>
        <w:rPr>
          <w:b/>
          <w:bCs/>
          <w:color w:val="8186EF"/>
          <w:sz w:val="16"/>
          <w:szCs w:val="16"/>
        </w:rPr>
        <w:t xml:space="preserve">9  </w:t>
      </w:r>
      <w:r>
        <w:rPr>
          <w:sz w:val="16"/>
          <w:szCs w:val="16"/>
        </w:rPr>
        <w:t xml:space="preserve">Losses are recorded only when balances are written off, so receivables are overstated and matching fails. A is wrong: The direct method is the method used for U.S. tax. B is wrong: It records losses late, not early.</w:t>
      </w:r>
    </w:p>
    <w:p>
      <w:pPr>
        <w:spacing w:after="18"/>
        <w:ind w:left="300" w:hanging="300"/>
      </w:pPr>
      <w:r>
        <w:rPr>
          <w:b/>
          <w:bCs/>
          <w:color w:val="8186EF"/>
          <w:sz w:val="16"/>
          <w:szCs w:val="16"/>
        </w:rPr>
        <w:t xml:space="preserve">10  </w:t>
      </w:r>
      <w:r>
        <w:rPr>
          <w:sz w:val="16"/>
          <w:szCs w:val="16"/>
        </w:rPr>
        <w:t xml:space="preserve">It is an income-statement approach; CECL focuses on the expected losses on the receivables at the balance sheet date. A is wrong: CECL does not require any single method; aging and loss-rate methods fit it better. B is wrong: The aging method gives the required ending balance.</w:t>
      </w:r>
    </w:p>
    <w:p>
      <w:pPr>
        <w:spacing w:after="18"/>
        <w:ind w:left="300" w:hanging="300"/>
      </w:pPr>
      <w:r>
        <w:rPr>
          <w:b/>
          <w:bCs/>
          <w:color w:val="8186EF"/>
          <w:sz w:val="16"/>
          <w:szCs w:val="16"/>
        </w:rPr>
        <w:t xml:space="preserve">11  </w:t>
      </w:r>
      <w:r>
        <w:rPr>
          <w:sz w:val="16"/>
          <w:szCs w:val="16"/>
        </w:rPr>
        <w:t xml:space="preserve">It is effective for annual periods beginning after December 15, 2025; under the one-year rule it is not yet tested. A is wrong: It is an optional simplification and is not yet testable. B is wrong: It is a U.S. GAAP update.</w:t>
      </w:r>
    </w:p>
    <w:p>
      <w:pPr>
        <w:spacing w:after="18"/>
        <w:ind w:left="300" w:hanging="300"/>
      </w:pPr>
      <w:r>
        <w:rPr>
          <w:b/>
          <w:bCs/>
          <w:color w:val="8186EF"/>
          <w:sz w:val="16"/>
          <w:szCs w:val="16"/>
        </w:rPr>
        <w:t xml:space="preserve">12  </w:t>
      </w:r>
      <w:r>
        <w:rPr>
          <w:sz w:val="16"/>
          <w:szCs w:val="16"/>
        </w:rPr>
        <w:t xml:space="preserve">Every cycle settles one rule and shows where it comes from.</w:t>
      </w:r>
    </w:p>
    <w:p>
      <w:pPr>
        <w:spacing w:after="18"/>
        <w:ind w:left="300" w:hanging="300"/>
      </w:pPr>
      <w:r>
        <w:rPr>
          <w:b/>
          <w:bCs/>
          <w:color w:val="8186EF"/>
          <w:sz w:val="16"/>
          <w:szCs w:val="16"/>
        </w:rPr>
        <w:t xml:space="preserve">13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All three sale conditions are met; recourse adds a liability to the sale. A is wrong: Recourse alone does not make the transfer a borrowing. B is wrong: The recourse obligation must be recorded.</w:t>
      </w:r>
    </w:p>
    <w:p>
      <w:pPr>
        <w:spacing w:after="18"/>
        <w:ind w:left="300" w:hanging="300"/>
      </w:pPr>
      <w:r>
        <w:rPr>
          <w:b/>
          <w:bCs/>
          <w:color w:val="8186EF"/>
          <w:sz w:val="16"/>
          <w:szCs w:val="16"/>
        </w:rPr>
        <w:t xml:space="preserve">21  </w:t>
      </w:r>
      <w:r>
        <w:rPr>
          <w:sz w:val="16"/>
          <w:szCs w:val="16"/>
        </w:rPr>
        <w:t xml:space="preserve">In a borrowing, the receivables stay (pledged) and the cash received is a liability. A is wrong: That describes a sale without recourse. B is wrong: That describes a sale with recourse.</w:t>
      </w:r>
    </w:p>
    <w:p>
      <w:pPr>
        <w:spacing w:after="18"/>
        <w:ind w:left="300" w:hanging="300"/>
      </w:pPr>
      <w:r>
        <w:rPr>
          <w:b/>
          <w:bCs/>
          <w:color w:val="8186EF"/>
          <w:sz w:val="16"/>
          <w:szCs w:val="16"/>
        </w:rPr>
        <w:t xml:space="preserve">22  </w:t>
      </w:r>
      <w:r>
        <w:rPr>
          <w:sz w:val="16"/>
          <w:szCs w:val="16"/>
        </w:rPr>
        <w:t xml:space="preserve">The simplified approach requires lifetime expected losses for these receivables. A is wrong: The 12-month measure is stage 1 of the general approach, not the simplified approach. B is wrong: That was the old incurred-loss model.</w:t>
      </w:r>
    </w:p>
    <w:p>
      <w:pPr>
        <w:spacing w:after="18"/>
        <w:ind w:left="300" w:hanging="300"/>
      </w:pPr>
      <w:r>
        <w:rPr>
          <w:b/>
          <w:bCs/>
          <w:color w:val="8186EF"/>
          <w:sz w:val="16"/>
          <w:szCs w:val="16"/>
        </w:rPr>
        <w:t xml:space="preserve">23  </w:t>
      </w:r>
      <w:r>
        <w:rPr>
          <w:sz w:val="16"/>
          <w:szCs w:val="16"/>
        </w:rPr>
        <w:t xml:space="preserve">IFRS 9 focuses on risks and rewards; substantial recourse often keeps the risk with the seller. A is wrong: Under U.S. GAAP the ASC 860 conditions decide, and they are met. C is wrong: A U.S. GAAP sale with recourse records a recourse liability.</w:t>
      </w:r>
    </w:p>
    <w:p>
      <w:pPr>
        <w:spacing w:after="18"/>
        <w:ind w:left="300" w:hanging="300"/>
      </w:pPr>
      <w:r>
        <w:rPr>
          <w:b/>
          <w:bCs/>
          <w:color w:val="8186EF"/>
          <w:sz w:val="16"/>
          <w:szCs w:val="16"/>
        </w:rPr>
        <w:t xml:space="preserve">24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6.2 · The allowance for credit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receivables · allowance · aging schedule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write-off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write-off · recovery · accounts receivable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different · allowance · allowance for credit losses</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1–30 days past due: 150,000 · 3% · 4,500</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31–60 days past due: 60,000 · 10% · 6,000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61–90 days past due: 30,000 · 25% · 7,500</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Over 90 days past due: 20,000 · 60% · 12,000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Total: 660,000 ·  · 34,000</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12  </w:t>
            </w:r>
            <w:r>
              <w:rPr>
                <w:b/>
                <w:bCs/>
                <w:color w:val="1F7A6A"/>
                <w:sz w:val="16"/>
                <w:szCs w:val="16"/>
              </w:rPr>
              <w:t xml:space="preserve">what the book says</w:t>
            </w:r>
          </w:p>
          <w:p>
            <w:pPr>
              <w:spacing w:after="34"/>
              <w:ind w:left="300"/>
            </w:pPr>
            <w:r>
              <w:rPr>
                <w:sz w:val="17"/>
                <w:szCs w:val="17"/>
              </w:rPr>
              <w:t xml:space="preserve">When a customer's balance is clearly uncollectible, the company records a write-off: debit the allowance and credit accounts receivable.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balance sheet shows receivables minus the allowance: the amount the company expects to collect. A common method is the aging schedule. The company groups its receivables by how long they are past due and applies an expected loss rate to each group.”</w:t>
      </w:r>
    </w:p>
    <w:p>
      <w:pPr>
        <w:spacing w:after="18"/>
        <w:ind w:left="300" w:hanging="300"/>
      </w:pPr>
      <w:r>
        <w:rPr>
          <w:b/>
          <w:bCs/>
          <w:color w:val="8186EF"/>
          <w:sz w:val="16"/>
          <w:szCs w:val="16"/>
        </w:rPr>
        <w:t xml:space="preserve">2  </w:t>
      </w:r>
      <w:r>
        <w:rPr>
          <w:sz w:val="16"/>
          <w:szCs w:val="16"/>
        </w:rPr>
        <w:t xml:space="preserve">The book writes: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w:t>
      </w:r>
    </w:p>
    <w:p>
      <w:pPr>
        <w:spacing w:after="18"/>
        <w:ind w:left="300" w:hanging="300"/>
      </w:pPr>
      <w:r>
        <w:rPr>
          <w:b/>
          <w:bCs/>
          <w:color w:val="8186EF"/>
          <w:sz w:val="16"/>
          <w:szCs w:val="16"/>
        </w:rPr>
        <w:t xml:space="preserve">3  </w:t>
      </w:r>
      <w:r>
        <w:rPr>
          <w:sz w:val="16"/>
          <w:szCs w:val="16"/>
        </w:rPr>
        <w:t xml:space="preserve">The book writes: “Arabic مخصص covers two different things. An allowance (مخصص الخسائر الائتمانية) reduces an asset. A provision under IAS 37 is a liability. In a U.S. GAAP answer, always write allowance for credit losses, never provision for doubtful debts or reserve for bad debts.”</w:t>
      </w:r>
    </w:p>
    <w:p>
      <w:pPr>
        <w:spacing w:after="18"/>
        <w:ind w:left="300" w:hanging="300"/>
      </w:pPr>
      <w:r>
        <w:rPr>
          <w:b/>
          <w:bCs/>
          <w:color w:val="8186EF"/>
          <w:sz w:val="16"/>
          <w:szCs w:val="16"/>
        </w:rPr>
        <w:t xml:space="preserve">4  </w:t>
      </w:r>
      <w:r>
        <w:rPr>
          <w:sz w:val="16"/>
          <w:szCs w:val="16"/>
        </w:rPr>
        <w:t xml:space="preserve">The book pairs Total with “660,000”.</w:t>
      </w:r>
    </w:p>
    <w:p>
      <w:pPr>
        <w:spacing w:after="18"/>
        <w:ind w:left="300" w:hanging="300"/>
      </w:pPr>
      <w:r>
        <w:rPr>
          <w:b/>
          <w:bCs/>
          <w:color w:val="8186EF"/>
          <w:sz w:val="16"/>
          <w:szCs w:val="16"/>
        </w:rPr>
        <w:t xml:space="preserve">5  </w:t>
      </w:r>
      <w:r>
        <w:rPr>
          <w:sz w:val="16"/>
          <w:szCs w:val="16"/>
        </w:rPr>
        <w:t xml:space="preserve">The book’s own table gives 400,000 as the amount of Current.</w:t>
      </w:r>
    </w:p>
    <w:p>
      <w:pPr>
        <w:spacing w:after="18"/>
        <w:ind w:left="300" w:hanging="300"/>
      </w:pPr>
      <w:r>
        <w:rPr>
          <w:b/>
          <w:bCs/>
          <w:color w:val="8186EF"/>
          <w:sz w:val="16"/>
          <w:szCs w:val="16"/>
        </w:rPr>
        <w:t xml:space="preserve">6  </w:t>
      </w:r>
      <w:r>
        <w:rPr>
          <w:sz w:val="16"/>
          <w:szCs w:val="16"/>
        </w:rPr>
        <w:t xml:space="preserve">The book pairs 1–30 days past due with “4,500”.</w:t>
      </w:r>
    </w:p>
    <w:p>
      <w:pPr>
        <w:spacing w:after="18"/>
        <w:ind w:left="300" w:hanging="300"/>
      </w:pPr>
      <w:r>
        <w:rPr>
          <w:b/>
          <w:bCs/>
          <w:color w:val="8186EF"/>
          <w:sz w:val="16"/>
          <w:szCs w:val="16"/>
        </w:rPr>
        <w:t xml:space="preserve">13  </w:t>
      </w:r>
      <w:r>
        <w:rPr>
          <w:sz w:val="16"/>
          <w:szCs w:val="16"/>
        </w:rPr>
        <w:t xml:space="preserve">The book gives 4,000 as the required allowance of Current.</w:t>
      </w:r>
    </w:p>
    <w:p>
      <w:pPr>
        <w:spacing w:after="18"/>
        <w:ind w:left="300" w:hanging="300"/>
      </w:pPr>
      <w:r>
        <w:rPr>
          <w:b/>
          <w:bCs/>
          <w:color w:val="8186EF"/>
          <w:sz w:val="16"/>
          <w:szCs w:val="16"/>
        </w:rPr>
        <w:t xml:space="preserve">14  </w:t>
      </w:r>
      <w:r>
        <w:rPr>
          <w:sz w:val="16"/>
          <w:szCs w:val="16"/>
        </w:rPr>
        <w:t xml:space="preserve">The simplified approach requires lifetime expected losses for these receivables. A is wrong: The 12-month measure is stage 1 of the general approach, not the simplified approach. B is wrong: That was the old incurred-loss model.</w:t>
      </w:r>
    </w:p>
    <w:p>
      <w:pPr>
        <w:spacing w:after="18"/>
        <w:ind w:left="300" w:hanging="300"/>
      </w:pPr>
      <w:r>
        <w:rPr>
          <w:b/>
          <w:bCs/>
          <w:color w:val="8186EF"/>
          <w:sz w:val="16"/>
          <w:szCs w:val="16"/>
        </w:rPr>
        <w:t xml:space="preserve">15  </w:t>
      </w:r>
      <w:r>
        <w:rPr>
          <w:sz w:val="16"/>
          <w:szCs w:val="16"/>
        </w:rPr>
        <w:t xml:space="preserve">IFRS 9 focuses on risks and rewards; substantial recourse often keeps the risk with the seller. A is wrong: Under U.S. GAAP the ASC 860 conditions decide, and they are met. C is wrong: A U.S. GAAP sale with recourse records a recourse liability.</w:t>
      </w:r>
    </w:p>
    <w:p>
      <w:pPr>
        <w:spacing w:after="18"/>
        <w:ind w:left="300" w:hanging="300"/>
      </w:pPr>
      <w:r>
        <w:rPr>
          <w:b/>
          <w:bCs/>
          <w:color w:val="8186EF"/>
          <w:sz w:val="16"/>
          <w:szCs w:val="16"/>
        </w:rPr>
        <w:t xml:space="preserve">16  </w:t>
      </w:r>
      <w:r>
        <w:rPr>
          <w:sz w:val="16"/>
          <w:szCs w:val="16"/>
        </w:rPr>
        <w:t xml:space="preserve">It reduces receivables to the amount expected to be collected. A is wrong: It is a contra-asset, not a liability. B is wrong: The expense is a separate account; the allowance is the balance sheet total.</w:t>
      </w:r>
    </w:p>
    <w:p>
      <w:pPr>
        <w:spacing w:after="18"/>
        <w:ind w:left="300" w:hanging="300"/>
      </w:pPr>
      <w:r>
        <w:rPr>
          <w:b/>
          <w:bCs/>
          <w:color w:val="8186EF"/>
          <w:sz w:val="16"/>
          <w:szCs w:val="16"/>
        </w:rPr>
        <w:t xml:space="preserve">17  </w:t>
      </w:r>
      <w:r>
        <w:rPr>
          <w:sz w:val="16"/>
          <w:szCs w:val="16"/>
        </w:rPr>
        <w:t xml:space="preserve">The sum of each group's amount × its expected loss rate. A is wrong: This is the unadjusted balance before the year-end entry. B is wrong: This is the credit loss expense, not the required balance.</w:t>
      </w:r>
    </w:p>
    <w:p>
      <w:pPr>
        <w:spacing w:after="18"/>
        <w:ind w:left="300" w:hanging="300"/>
      </w:pPr>
      <w:r>
        <w:rPr>
          <w:b/>
          <w:bCs/>
          <w:color w:val="8186EF"/>
          <w:sz w:val="16"/>
          <w:szCs w:val="16"/>
        </w:rPr>
        <w:t xml:space="preserve">18  </w:t>
      </w:r>
      <w:r>
        <w:rPr>
          <w:sz w:val="16"/>
          <w:szCs w:val="16"/>
        </w:rPr>
        <w:t xml:space="preserve">Every cycle settles one rule and shows where it comes from.</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26  </w:t>
      </w:r>
      <w:r>
        <w:rPr>
          <w:sz w:val="16"/>
          <w:szCs w:val="16"/>
        </w:rPr>
        <w:t xml:space="preserve">The book’s own table gives 180,000 as the amount of Current.</w:t>
      </w:r>
    </w:p>
    <w:p>
      <w:pPr>
        <w:spacing w:after="18"/>
        <w:ind w:left="300" w:hanging="300"/>
      </w:pPr>
      <w:r>
        <w:rPr>
          <w:b/>
          <w:bCs/>
          <w:color w:val="8186EF"/>
          <w:sz w:val="16"/>
          <w:szCs w:val="16"/>
        </w:rPr>
        <w:t xml:space="preserve">27  </w:t>
      </w:r>
      <w:r>
        <w:rPr>
          <w:sz w:val="16"/>
          <w:szCs w:val="16"/>
        </w:rPr>
        <w:t xml:space="preserve">The book’s own table gives 80,000 as the amount of 1–60 days past due.</w:t>
      </w:r>
    </w:p>
    <w:p>
      <w:pPr>
        <w:spacing w:after="18"/>
        <w:ind w:left="300" w:hanging="300"/>
      </w:pPr>
      <w:r>
        <w:rPr>
          <w:b/>
          <w:bCs/>
          <w:color w:val="8186EF"/>
          <w:sz w:val="16"/>
          <w:szCs w:val="16"/>
        </w:rPr>
        <w:t xml:space="preserve">28  </w:t>
      </w:r>
      <w:r>
        <w:rPr>
          <w:sz w:val="16"/>
          <w:szCs w:val="16"/>
        </w:rPr>
        <w:t xml:space="preserve">The expected loss is matched with the revenue of the same period. A is wrong: No cash moves when the expense is recorded. B is wrong: The direct method waits until a balance is written off.</w:t>
      </w:r>
    </w:p>
    <w:p>
      <w:pPr>
        <w:spacing w:after="18"/>
        <w:ind w:left="300" w:hanging="300"/>
      </w:pPr>
      <w:r>
        <w:rPr>
          <w:b/>
          <w:bCs/>
          <w:color w:val="8186EF"/>
          <w:sz w:val="16"/>
          <w:szCs w:val="16"/>
        </w:rPr>
        <w:t xml:space="preserve">29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6.3 · Transferring receivables: sale or secured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effective control · secured borrowing · Recourse · factor</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recourse liability · Factor</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receivables · secured borrowing · transferred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 company that needs cash before its customers pay can use its receivables in two ways. It can use them as collateral for a loan (pledging), or it can transfer them to a finance company called a factor. This is factoring. The accounting question is simple: is the transfer a sale, or is it really a loan?</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“Third, the seller does not keep effective control, for example through an agreement to buy the receivables back before they mature. If any condition fails, the transfer is a secured borrowing. Recourse is the factor's right to collect from the seller if customers do not pay.”</w:t>
      </w:r>
    </w:p>
    <w:p>
      <w:pPr>
        <w:spacing w:after="18"/>
        <w:ind w:left="300" w:hanging="300"/>
      </w:pPr>
      <w:r>
        <w:rPr>
          <w:b/>
          <w:bCs/>
          <w:color w:val="8186EF"/>
          <w:sz w:val="16"/>
          <w:szCs w:val="16"/>
        </w:rPr>
        <w:t xml:space="preserve">2  </w:t>
      </w:r>
      <w:r>
        <w:rPr>
          <w:sz w:val="16"/>
          <w:szCs w:val="16"/>
        </w:rPr>
        <w:t xml:space="preserve">The book writes: “The seller then records a recourse liability at its fair value, which increases the loss on the sale. Orontes transfers receivables with a carrying amount of $500,000 to Gulf Factor Co. The factor charges a fee of 3% ($15,000) and keeps a holdback (due from factor) of 5% ($25,000) to cover returns and discounts.”</w:t>
      </w:r>
    </w:p>
    <w:p>
      <w:pPr>
        <w:spacing w:after="18"/>
        <w:ind w:left="300" w:hanging="300"/>
      </w:pPr>
      <w:r>
        <w:rPr>
          <w:b/>
          <w:bCs/>
          <w:color w:val="8186EF"/>
          <w:sz w:val="16"/>
          <w:szCs w:val="16"/>
        </w:rPr>
        <w:t xml:space="preserve">3  </w:t>
      </w:r>
      <w:r>
        <w:rPr>
          <w:sz w:val="16"/>
          <w:szCs w:val="16"/>
        </w:rPr>
        <w:t xml:space="preserve">The book writes: “A sale removes the receivables and adds little or no debt, so ratios such as debt to equity look better. A secured borrowing keeps the receivables and adds a liability. Lenders and analysts read the notes to see which receivables are pledged or transferred.”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“Recognizing and measuring receivables” as section 6.1.</w:t>
      </w:r>
    </w:p>
    <w:p>
      <w:pPr>
        <w:spacing w:after="18"/>
        <w:ind w:left="300" w:hanging="300"/>
      </w:pPr>
      <w:r>
        <w:rPr>
          <w:b/>
          <w:bCs/>
          <w:color w:val="8186EF"/>
          <w:sz w:val="16"/>
          <w:szCs w:val="16"/>
        </w:rPr>
        <w:t xml:space="preserve">6  </w:t>
      </w:r>
      <w:r>
        <w:rPr>
          <w:sz w:val="16"/>
          <w:szCs w:val="16"/>
        </w:rPr>
        <w:t xml:space="preserve">The company first reinstates the receivable; the second entry records the cash collection. B is wrong: A recovery is not revenue. C is wrong: The recovery goes back to the allowance, not the expense account.</w:t>
      </w:r>
    </w:p>
    <w:p>
      <w:pPr>
        <w:spacing w:after="18"/>
        <w:ind w:left="300" w:hanging="300"/>
      </w:pPr>
      <w:r>
        <w:rPr>
          <w:b/>
          <w:bCs/>
          <w:color w:val="8186EF"/>
          <w:sz w:val="16"/>
          <w:szCs w:val="16"/>
        </w:rPr>
        <w:t xml:space="preserve">7  </w:t>
      </w:r>
      <w:r>
        <w:rPr>
          <w:sz w:val="16"/>
          <w:szCs w:val="16"/>
        </w:rPr>
        <w:t xml:space="preserve">Every cycle settles one rule and shows where it comes from.</w:t>
      </w:r>
    </w:p>
    <w:p>
      <w:pPr>
        <w:spacing w:after="18"/>
        <w:ind w:left="300" w:hanging="300"/>
      </w:pPr>
      <w:r>
        <w:rPr>
          <w:b/>
          <w:bCs/>
          <w:color w:val="8186EF"/>
          <w:sz w:val="16"/>
          <w:szCs w:val="16"/>
        </w:rPr>
        <w:t xml:space="preserve">8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glossary on this page pairs “الخسائر الائتمانية المتوقعة الحالية” with current expected credit losses (CECL).</w:t>
      </w:r>
    </w:p>
    <w:p>
      <w:pPr>
        <w:spacing w:after="18"/>
        <w:ind w:left="300" w:hanging="300"/>
      </w:pPr>
      <w:r>
        <w:rPr>
          <w:b/>
          <w:bCs/>
          <w:color w:val="8186EF"/>
          <w:sz w:val="16"/>
          <w:szCs w:val="16"/>
        </w:rPr>
        <w:t xml:space="preserve">16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6.4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discount · discounts · forfeited</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write-off · recovery · accounts receivable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effective control · secured borrowing · Recourse · factor</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6.1: Recognizing and measuring receivables. 6.2: The allowance for credit losses. 6.3: Transferring receivables: sale or secured borrowing?.</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“Under the gross method, the company records the full invoice and records a sales discount only when a customer pays early. Under the net method, it records the sale net of the discount, and records sales discounts forfeited when a customer pays late.”</w:t>
      </w:r>
    </w:p>
    <w:p>
      <w:pPr>
        <w:spacing w:after="18"/>
        <w:ind w:left="300" w:hanging="300"/>
      </w:pPr>
      <w:r>
        <w:rPr>
          <w:b/>
          <w:bCs/>
          <w:color w:val="8186EF"/>
          <w:sz w:val="16"/>
          <w:szCs w:val="16"/>
        </w:rPr>
        <w:t xml:space="preserve">2  </w:t>
      </w:r>
      <w:r>
        <w:rPr>
          <w:sz w:val="16"/>
          <w:szCs w:val="16"/>
        </w:rPr>
        <w:t xml:space="preserve">The book writes: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w:t>
      </w:r>
    </w:p>
    <w:p>
      <w:pPr>
        <w:spacing w:after="18"/>
        <w:ind w:left="300" w:hanging="300"/>
      </w:pPr>
      <w:r>
        <w:rPr>
          <w:b/>
          <w:bCs/>
          <w:color w:val="8186EF"/>
          <w:sz w:val="16"/>
          <w:szCs w:val="16"/>
        </w:rPr>
        <w:t xml:space="preserve">3  </w:t>
      </w:r>
      <w:r>
        <w:rPr>
          <w:sz w:val="16"/>
          <w:szCs w:val="16"/>
        </w:rPr>
        <w:t xml:space="preserve">The book writes: “Third, the seller does not keep effective control, for example through an agreement to buy the receivables back before they mature. If any condition fails, the transfer is a secured borrowing. Recourse is the factor's right to collect from the seller if customers do not pay.”</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“Recognizing and measuring receivables” as section 6.1.</w:t>
      </w:r>
    </w:p>
    <w:p>
      <w:pPr>
        <w:spacing w:after="18"/>
        <w:ind w:left="300" w:hanging="300"/>
      </w:pPr>
      <w:r>
        <w:rPr>
          <w:b/>
          <w:bCs/>
          <w:color w:val="8186EF"/>
          <w:sz w:val="16"/>
          <w:szCs w:val="16"/>
        </w:rPr>
        <w:t xml:space="preserve">9  </w:t>
      </w:r>
      <w:r>
        <w:rPr>
          <w:sz w:val="16"/>
          <w:szCs w:val="16"/>
        </w:rPr>
        <w:t xml:space="preserve">Receivables are recorded at the transaction price; expected discounts and returns are variable consideration. Short-term receivables are not discounted. A is wrong: Receivables due within one year are not discounted. B is wrong: That is the older gross method; expected discounts are variable consideration today.</w:t>
      </w:r>
    </w:p>
    <w:p>
      <w:pPr>
        <w:spacing w:after="18"/>
        <w:ind w:left="300" w:hanging="300"/>
      </w:pPr>
      <w:r>
        <w:rPr>
          <w:b/>
          <w:bCs/>
          <w:color w:val="8186EF"/>
          <w:sz w:val="16"/>
          <w:szCs w:val="16"/>
        </w:rPr>
        <w:t xml:space="preserve">10  </w:t>
      </w:r>
      <w:r>
        <w:rPr>
          <w:sz w:val="16"/>
          <w:szCs w:val="16"/>
        </w:rPr>
        <w:t xml:space="preserve">The allowance must move from a 3,000 debit to a 20,000 credit, so the expense is 23,000. A is wrong: This is only the existing debit balance. B is wrong: This subtracts a debit balance instead of adding it.</w:t>
      </w:r>
    </w:p>
    <w:p>
      <w:pPr>
        <w:spacing w:after="18"/>
        <w:ind w:left="300" w:hanging="300"/>
      </w:pPr>
      <w:r>
        <w:rPr>
          <w:b/>
          <w:bCs/>
          <w:color w:val="8186EF"/>
          <w:sz w:val="16"/>
          <w:szCs w:val="16"/>
        </w:rPr>
        <w:t xml:space="preserve">11  </w:t>
      </w:r>
      <w:r>
        <w:rPr>
          <w:sz w:val="16"/>
          <w:szCs w:val="16"/>
        </w:rPr>
        <w:t xml:space="preserve">Both accounts receivable and the allowance decrease by 4,000, so the net amount is unchanged. The expense was recorded earlier. A is wrong: The expense was recorded when the allowance was set up. C is wrong: Receivables and the allowance fall by the same amount.</w:t>
      </w:r>
    </w:p>
    <w:p>
      <w:pPr>
        <w:spacing w:after="18"/>
        <w:ind w:left="300" w:hanging="300"/>
      </w:pPr>
      <w:r>
        <w:rPr>
          <w:b/>
          <w:bCs/>
          <w:color w:val="8186EF"/>
          <w:sz w:val="16"/>
          <w:szCs w:val="16"/>
        </w:rPr>
        <w:t xml:space="preserve">12  </w:t>
      </w:r>
      <w:r>
        <w:rPr>
          <w:sz w:val="16"/>
          <w:szCs w:val="16"/>
        </w:rPr>
        <w:t xml:space="preserve">The repurchase duty means Orontes keeps effective control, so the sale conditions fail. A is wrong: Effective control prevents sale accounting whatever the recourse terms. B is wrong: The transfer fails the effective-control condition.</w:t>
      </w:r>
    </w:p>
    <w:p>
      <w:pPr>
        <w:spacing w:after="18"/>
        <w:ind w:left="300" w:hanging="300"/>
      </w:pPr>
      <w:r>
        <w:rPr>
          <w:b/>
          <w:bCs/>
          <w:color w:val="8186EF"/>
          <w:sz w:val="16"/>
          <w:szCs w:val="16"/>
        </w:rPr>
        <w:t xml:space="preserve">13  </w:t>
      </w:r>
      <w:r>
        <w:rPr>
          <w:sz w:val="16"/>
          <w:szCs w:val="16"/>
        </w:rPr>
        <w:t xml:space="preserve">Long-term notes with no or low interest are recorded at present value using an imputed rate. B is wrong: This ignores the time value of money over two years. C is wrong: Interest is earned over time, not added at the start.</w:t>
      </w:r>
    </w:p>
    <w:p>
      <w:pPr>
        <w:spacing w:after="18"/>
        <w:ind w:left="300" w:hanging="300"/>
      </w:pPr>
      <w:r>
        <w:rPr>
          <w:b/>
          <w:bCs/>
          <w:color w:val="8186EF"/>
          <w:sz w:val="16"/>
          <w:szCs w:val="16"/>
        </w:rPr>
        <w:t xml:space="preserve">14  </w:t>
      </w:r>
      <w:r>
        <w:rPr>
          <w:sz w:val="16"/>
          <w:szCs w:val="16"/>
        </w:rPr>
        <w:t xml:space="preserve">Every later answer depends on the adjusted exhibit.</w:t>
      </w:r>
    </w:p>
    <w:p>
      <w:pPr>
        <w:spacing w:after="18"/>
        <w:ind w:left="300" w:hanging="300"/>
      </w:pPr>
      <w:r>
        <w:rPr>
          <w:b/>
          <w:bCs/>
          <w:color w:val="8186EF"/>
          <w:sz w:val="16"/>
          <w:szCs w:val="16"/>
        </w:rPr>
        <w:t xml:space="preserve">21  </w:t>
      </w:r>
      <w:r>
        <w:rPr>
          <w:sz w:val="16"/>
          <w:szCs w:val="16"/>
        </w:rPr>
        <w:t xml:space="preserve">Carrying amount − (cash + due from factor − recourse liability). A is wrong: This is only the recourse liability. B is wrong: This leaves out the recourse liability.</w:t>
      </w:r>
    </w:p>
    <w:p>
      <w:pPr>
        <w:spacing w:after="18"/>
        <w:ind w:left="300" w:hanging="300"/>
      </w:pPr>
      <w:r>
        <w:rPr>
          <w:b/>
          <w:bCs/>
          <w:color w:val="8186EF"/>
          <w:sz w:val="16"/>
          <w:szCs w:val="16"/>
        </w:rPr>
        <w:t xml:space="preserve">22  </w:t>
      </w:r>
      <w:r>
        <w:rPr>
          <w:sz w:val="16"/>
          <w:szCs w:val="16"/>
        </w:rPr>
        <w:t xml:space="preserve">Every later answer depends on the adjusted exhibit.</w:t>
      </w:r>
    </w:p>
    <w:p/>
    <w:p>
      <w:pPr>
        <w:sectPr>
          <w:headerReference w:type="default" r:id="rIdHdr4"/>
          <w:pgSz w:w="11906" w:h="16838" w:orient="portrait"/>
          <w:pgMar w:top="1180" w:right="1000" w:bottom="900" w:left="1000" w:header="708" w:footer="708" w:gutter="0"/>
          <w:docGrid w:linePitch="360"/>
          <w:pgNumType w:start="1"/>
        </w:sectPr>
      </w:pPr>
    </w:p>
    <w:sectPr>
      <w:headerReference w:type="default" r:id="rIdHdr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6 — answer keys</dc:title>
  <dc:subject>Receivables: Credit Losses and Transfers</dc:subject>
  <cp:category>Student Book</cp:category>
</cp:coreProperties>
</file>