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7.1</w:t>
      </w:r>
    </w:p>
    <w:p>
      <w:pPr>
        <w:spacing w:after="8"/>
      </w:pPr>
      <w:r>
        <w:rPr>
          <w:color w:val="23265A"/>
          <w:sz w:val="22"/>
          <w:szCs w:val="22"/>
        </w:rPr>
        <w:t xml:space="preserve">Which goods belong in inventory?</w:t>
      </w:r>
    </w:p>
    <w:p>
      <w:pPr>
        <w:spacing w:after="130"/>
      </w:pPr>
      <w:r>
        <w:rPr>
          <w:color w:val="6B7280"/>
          <w:sz w:val="20"/>
          <w:szCs w:val="20"/>
        </w:rPr>
        <w:t xml:space="preserve">section 7.1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97"/>
        <w:gridCol w:w="2876"/>
        <w:gridCol w:w="442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9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0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96"/>
            <w:tcMar>
              <w:top w:type="dxa" w:w="50"/>
              <w:left w:type="dxa" w:w="110"/>
              <w:bottom w:type="dxa" w:w="50"/>
              <w:right w:type="dxa" w:w="110"/>
            </w:tcMar>
          </w:tcPr>
          <w:p>
            <w:pPr>
              <w:spacing w:before="26" w:after="26"/>
            </w:pPr>
            <w:r>
              <w:rPr>
                <w:color w:val="232733"/>
                <w:sz w:val="16"/>
                <w:szCs w:val="16"/>
              </w:rPr>
              <w:t xml:space="preserve">Which goods belong in inventory?</w:t>
            </w:r>
          </w:p>
        </w:tc>
        <w:tc>
          <w:tcPr>
            <w:tcW w:type="pct" w:w="1498"/>
            <w:tcMar>
              <w:top w:type="dxa" w:w="50"/>
              <w:left w:type="dxa" w:w="110"/>
              <w:bottom w:type="dxa" w:w="50"/>
              <w:right w:type="dxa" w:w="110"/>
            </w:tcMar>
          </w:tcPr>
          <w:p>
            <w:pPr>
              <w:spacing w:before="26" w:after="26"/>
            </w:pPr>
            <w:r>
              <w:rPr>
                <w:color w:val="232733"/>
                <w:sz w:val="16"/>
                <w:szCs w:val="16"/>
              </w:rPr>
              <w:t xml:space="preserve">a figure to read · Memo item</w:t>
            </w:r>
          </w:p>
        </w:tc>
        <w:tc>
          <w:tcPr>
            <w:tcW w:type="pct" w:w="2306"/>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9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0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goods in transit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normal capacity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consignor   ·   consignee   ·   periodic inventory system   ·   FOB destination   ·   weighted-average cost   ·   consignment   ·   FOB shipping point</w:t>
      </w:r>
    </w:p>
    <w:p>
      <w:pPr>
        <w:spacing w:before="36" w:after="36"/>
        <w:ind w:left="300"/>
      </w:pPr>
      <w:r>
        <w:rPr>
          <w:sz w:val="19"/>
          <w:szCs w:val="19"/>
        </w:rPr>
        <w:t xml:space="preserve">Under </w:t>
      </w:r>
      <w:r>
        <w:rPr>
          <w:u w:val="single"/>
          <w:sz w:val="19"/>
          <w:szCs w:val="19"/>
        </w:rPr>
        <w:t xml:space="preserve">                    </w:t>
      </w:r>
      <w:r>
        <w:rPr>
          <w:sz w:val="19"/>
          <w:szCs w:val="19"/>
        </w:rPr>
        <w:t xml:space="preserve">, control passes to the buyer when the goods leave the seller, so the buyer includes them. Under </w:t>
      </w:r>
      <w:r>
        <w:rPr>
          <w:u w:val="single"/>
          <w:sz w:val="19"/>
          <w:szCs w:val="19"/>
        </w:rPr>
        <w:t xml:space="preserve">                 </w:t>
      </w:r>
      <w:r>
        <w:rPr>
          <w:sz w:val="19"/>
          <w:szCs w:val="19"/>
        </w:rPr>
        <w:t xml:space="preserve">, the seller keeps control until the goods arrive, so the seller includes them.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owner) gives goods to a </w:t>
      </w:r>
      <w:r>
        <w:rPr>
          <w:u w:val="single"/>
          <w:sz w:val="19"/>
          <w:szCs w:val="19"/>
        </w:rPr>
        <w:t xml:space="preserve">           </w:t>
      </w:r>
      <w:r>
        <w:rPr>
          <w:sz w:val="19"/>
          <w:szCs w:val="19"/>
        </w:rPr>
        <w:t xml:space="preserve">, who sells them for a commission.</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weighted-average cost   ·   inventory   ·   periodic inventory system   ·   FOB shipping point   ·   FOB destination   ·   goods in transit</w:t>
      </w:r>
    </w:p>
    <w:p>
      <w:pPr>
        <w:spacing w:before="36" w:after="36"/>
        <w:ind w:left="300"/>
      </w:pPr>
      <w:r>
        <w:rPr>
          <w:sz w:val="19"/>
          <w:szCs w:val="19"/>
        </w:rPr>
        <w:t xml:space="preserve">In a bill-and-hold sale, the seller keeps the goods in its </w:t>
      </w:r>
      <w:r>
        <w:rPr>
          <w:u w:val="single"/>
          <w:sz w:val="19"/>
          <w:szCs w:val="19"/>
        </w:rPr>
        <w:t xml:space="preserve">           </w:t>
      </w:r>
      <w:r>
        <w:rPr>
          <w:sz w:val="19"/>
          <w:szCs w:val="19"/>
        </w:rPr>
        <w:t xml:space="preserve"> unless strict conditions show that the buyer already controls them. </w:t>
      </w:r>
      <w:r>
        <w:rPr>
          <w:u w:val="single"/>
          <w:sz w:val="19"/>
          <w:szCs w:val="19"/>
        </w:rPr>
        <w:t xml:space="preserve">                    </w:t>
      </w:r>
      <w:r>
        <w:rPr>
          <w:sz w:val="19"/>
          <w:szCs w:val="19"/>
        </w:rPr>
        <w:t xml:space="preserve">: the BUYER includes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the SELLER includes them.</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consignment   ·   periodic inventory system   ·   weighted-average cost   ·   goods in transit   ·   FOB destination   ·   FOB shipping point   ·   consignee</w:t>
      </w:r>
    </w:p>
    <w:p>
      <w:pPr>
        <w:spacing w:before="36" w:after="36"/>
        <w:ind w:left="300"/>
      </w:pPr>
      <w:r>
        <w:rPr>
          <w:sz w:val="19"/>
          <w:szCs w:val="19"/>
        </w:rPr>
        <w:t xml:space="preserve">In U.S. exam questions,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are simple shipping terms that decide who controls </w:t>
      </w:r>
      <w:r>
        <w:rPr>
          <w:u w:val="single"/>
          <w:sz w:val="19"/>
          <w:szCs w:val="19"/>
        </w:rPr>
        <w:t xml:space="preserve">                  </w:t>
      </w:r>
      <w:r>
        <w:rPr>
          <w:sz w:val="19"/>
          <w:szCs w:val="19"/>
        </w:rPr>
        <w:t xml:space="preserve">, by truck, rail or sea. Do not bring Incoterm rules into these questions. Arabic: البضاعة بالأمانة is </w:t>
      </w:r>
      <w:r>
        <w:rPr>
          <w:u w:val="single"/>
          <w:sz w:val="19"/>
          <w:szCs w:val="19"/>
        </w:rPr>
        <w:t xml:space="preserve">             </w:t>
      </w:r>
      <w:r>
        <w:rPr>
          <w:sz w:val="19"/>
          <w:szCs w:val="19"/>
        </w:rPr>
        <w:t xml:space="preserve">; the owner is the consignor (المُرسِل) and the seller in the shop is the </w:t>
      </w:r>
      <w:r>
        <w:rPr>
          <w:u w:val="single"/>
          <w:sz w:val="19"/>
          <w:szCs w:val="19"/>
        </w:rPr>
        <w:t xml:space="preserve">           </w:t>
      </w:r>
      <w:r>
        <w:rPr>
          <w:sz w:val="19"/>
          <w:szCs w:val="19"/>
        </w:rPr>
        <w:t xml:space="preserve"> (المُرسَل إليه).</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goods belong in inventory?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M4 (at a Doha consignee) as “Add to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3423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Memo 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Memo 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M1 (FOB shipping point, bought)</w:t>
            </w:r>
          </w:p>
        </w:tc>
        <w:tc>
          <w:tcPr>
            <w:tcW w:type="pct" w:w="2400"/>
            <w:tcMar>
              <w:top w:type="dxa" w:w="50"/>
              <w:left w:type="dxa" w:w="110"/>
              <w:bottom w:type="dxa" w:w="50"/>
              <w:right w:type="dxa" w:w="110"/>
            </w:tcMar>
          </w:tcPr>
          <w:p>
            <w:pPr>
              <w:spacing w:before="26" w:after="26"/>
            </w:pPr>
            <w:r>
              <w:rPr>
                <w:color w:val="232733"/>
                <w:sz w:val="16"/>
                <w:szCs w:val="16"/>
              </w:rPr>
              <w:t xml:space="preserve">Add to the count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M2 (FOB destination,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 to the count</w:t>
            </w:r>
          </w:p>
        </w:tc>
      </w:tr>
      <w:tr>
        <w:tc>
          <w:tcPr>
            <w:tcW w:type="pct" w:w="2600"/>
            <w:tcMar>
              <w:top w:type="dxa" w:w="50"/>
              <w:left w:type="dxa" w:w="110"/>
              <w:bottom w:type="dxa" w:w="50"/>
              <w:right w:type="dxa" w:w="110"/>
            </w:tcMar>
          </w:tcPr>
          <w:p>
            <w:pPr>
              <w:spacing w:before="26" w:after="26"/>
            </w:pPr>
            <w:r>
              <w:rPr>
                <w:color w:val="232733"/>
                <w:sz w:val="16"/>
                <w:szCs w:val="16"/>
              </w:rPr>
              <w:t xml:space="preserve">M3 (held for a Beirut producer)</w:t>
            </w:r>
          </w:p>
        </w:tc>
        <w:tc>
          <w:tcPr>
            <w:tcW w:type="pct" w:w="2400"/>
            <w:tcMar>
              <w:top w:type="dxa" w:w="50"/>
              <w:left w:type="dxa" w:w="110"/>
              <w:bottom w:type="dxa" w:w="50"/>
              <w:right w:type="dxa" w:w="110"/>
            </w:tcMar>
          </w:tcPr>
          <w:p>
            <w:pPr>
              <w:spacing w:before="26" w:after="26"/>
            </w:pPr>
            <w:r>
              <w:rPr>
                <w:color w:val="232733"/>
                <w:sz w:val="16"/>
                <w:szCs w:val="16"/>
              </w:rPr>
              <w:t xml:space="preserve">Subtract from the count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M4 (at a Doha consignee)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 to the count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memo item does the book pair with “Subtract from the count”?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M4 (at a Doha consignee)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M2 (FOB destination, sold)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M1 (FOB shipping point, bought)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M3 (held for a Beirut producer)</w:t>
            </w:r>
          </w:p>
        </w:tc>
      </w:tr>
    </w:tbl>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M1 (FOB shipping point, bought)   ·   M2 (FOB destination, sold)   ·   M3 (held for a Beirut producer)   ·   M4 (at a Doha consignee)</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Add to the count</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Subtract from the count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A seller ships goods on December 30, FOB destination. The goods arrive on January 2. At December 31, the goods should be:</w:t>
      </w:r>
    </w:p>
    <w:p>
      <w:pPr>
        <w:spacing w:after="18"/>
        <w:ind w:left="560" w:hanging="260"/>
      </w:pPr>
      <w:r>
        <w:rPr>
          <w:b/>
          <w:bCs/>
          <w:color w:val="8186EF"/>
          <w:sz w:val="18"/>
          <w:szCs w:val="18"/>
        </w:rPr>
        <w:t xml:space="preserve">A. </w:t>
      </w:r>
      <w:r>
        <w:rPr>
          <w:sz w:val="18"/>
          <w:szCs w:val="18"/>
        </w:rPr>
        <w:t xml:space="preserve">included in the buyer's inventory.</w:t>
      </w:r>
    </w:p>
    <w:p>
      <w:pPr>
        <w:spacing w:after="18"/>
        <w:ind w:left="560" w:hanging="260"/>
      </w:pPr>
      <w:r>
        <w:rPr>
          <w:b/>
          <w:bCs/>
          <w:color w:val="8186EF"/>
          <w:sz w:val="18"/>
          <w:szCs w:val="18"/>
        </w:rPr>
        <w:t xml:space="preserve">B. </w:t>
      </w:r>
      <w:r>
        <w:rPr>
          <w:sz w:val="18"/>
          <w:szCs w:val="18"/>
        </w:rPr>
        <w:t xml:space="preserve">included in the seller's inventory, with no sale recorded yet.</w:t>
      </w:r>
    </w:p>
    <w:p>
      <w:pPr>
        <w:spacing w:after="18"/>
        <w:ind w:left="560" w:hanging="260"/>
      </w:pPr>
      <w:r>
        <w:rPr>
          <w:b/>
          <w:bCs/>
          <w:color w:val="8186EF"/>
          <w:sz w:val="18"/>
          <w:szCs w:val="18"/>
        </w:rPr>
        <w:t xml:space="preserve">C. </w:t>
      </w:r>
      <w:r>
        <w:rPr>
          <w:sz w:val="18"/>
          <w:szCs w:val="18"/>
        </w:rPr>
        <w:t xml:space="preserve">removed from the seller's inventory, with a sale recorded.</w:t>
      </w:r>
    </w:p>
    <w:p>
      <w:pPr>
        <w:spacing w:after="18"/>
        <w:ind w:left="560" w:hanging="260"/>
      </w:pPr>
      <w:r>
        <w:rPr>
          <w:b/>
          <w:bCs/>
          <w:color w:val="8186EF"/>
          <w:sz w:val="18"/>
          <w:szCs w:val="18"/>
        </w:rPr>
        <w:t xml:space="preserve">D. </w:t>
      </w:r>
      <w:r>
        <w:rPr>
          <w:sz w:val="18"/>
          <w:szCs w:val="18"/>
        </w:rPr>
        <w:t xml:space="preserve">excluded from both companies' inventories.</w:t>
      </w:r>
    </w:p>
    <w:p>
      <w:pPr>
        <w:spacing w:before="40" w:after="16"/>
        <w:ind w:left="300" w:hanging="300"/>
      </w:pPr>
      <w:r>
        <w:rPr>
          <w:b/>
          <w:bCs/>
          <w:color w:val="353A7C"/>
          <w:sz w:val="19"/>
          <w:szCs w:val="19"/>
        </w:rPr>
        <w:t xml:space="preserve">9.  </w:t>
      </w:r>
      <w:r>
        <w:rPr>
          <w:sz w:val="19"/>
          <w:szCs w:val="19"/>
        </w:rPr>
        <w:t xml:space="preserve">A strike cut production far below normal capacity. How should the fixed production overhead that was not allocated to units be treated?</w:t>
      </w:r>
    </w:p>
    <w:p>
      <w:pPr>
        <w:spacing w:after="18"/>
        <w:ind w:left="560" w:hanging="260"/>
      </w:pPr>
      <w:r>
        <w:rPr>
          <w:b/>
          <w:bCs/>
          <w:color w:val="8186EF"/>
          <w:sz w:val="18"/>
          <w:szCs w:val="18"/>
        </w:rPr>
        <w:t xml:space="preserve">A. </w:t>
      </w:r>
      <w:r>
        <w:rPr>
          <w:sz w:val="18"/>
          <w:szCs w:val="18"/>
        </w:rPr>
        <w:t xml:space="preserve">As an expense of the period</w:t>
      </w:r>
    </w:p>
    <w:p>
      <w:pPr>
        <w:spacing w:after="18"/>
        <w:ind w:left="560" w:hanging="260"/>
      </w:pPr>
      <w:r>
        <w:rPr>
          <w:b/>
          <w:bCs/>
          <w:color w:val="8186EF"/>
          <w:sz w:val="18"/>
          <w:szCs w:val="18"/>
        </w:rPr>
        <w:t xml:space="preserve">B. </w:t>
      </w:r>
      <w:r>
        <w:rPr>
          <w:sz w:val="18"/>
          <w:szCs w:val="18"/>
        </w:rPr>
        <w:t xml:space="preserve">Added to the cost of the units produced</w:t>
      </w:r>
    </w:p>
    <w:p>
      <w:pPr>
        <w:spacing w:after="18"/>
        <w:ind w:left="560" w:hanging="260"/>
      </w:pPr>
      <w:r>
        <w:rPr>
          <w:b/>
          <w:bCs/>
          <w:color w:val="8186EF"/>
          <w:sz w:val="18"/>
          <w:szCs w:val="18"/>
        </w:rPr>
        <w:t xml:space="preserve">C. </w:t>
      </w:r>
      <w:r>
        <w:rPr>
          <w:sz w:val="18"/>
          <w:szCs w:val="18"/>
        </w:rPr>
        <w:t xml:space="preserve">Deferred as an asset to next year</w:t>
      </w:r>
    </w:p>
    <w:p>
      <w:pPr>
        <w:spacing w:after="18"/>
        <w:ind w:left="560" w:hanging="260"/>
      </w:pPr>
      <w:r>
        <w:rPr>
          <w:b/>
          <w:bCs/>
          <w:color w:val="8186EF"/>
          <w:sz w:val="18"/>
          <w:szCs w:val="18"/>
        </w:rPr>
        <w:t xml:space="preserve">D. </w:t>
      </w:r>
      <w:r>
        <w:rPr>
          <w:sz w:val="18"/>
          <w:szCs w:val="18"/>
        </w:rPr>
        <w:t xml:space="preserve">Charged directly to retained earnings</w:t>
      </w:r>
    </w:p>
    <w:p>
      <w:pPr>
        <w:spacing w:before="40" w:after="16"/>
        <w:ind w:left="300" w:hanging="300"/>
      </w:pPr>
      <w:r>
        <w:rPr>
          <w:b/>
          <w:bCs/>
          <w:color w:val="353A7C"/>
          <w:sz w:val="19"/>
          <w:szCs w:val="19"/>
        </w:rPr>
        <w:t xml:space="preserve">10.  </w:t>
      </w:r>
      <w:r>
        <w:rPr>
          <w:sz w:val="19"/>
          <w:szCs w:val="19"/>
        </w:rPr>
        <w:t xml:space="preserve">Which statement about periodic and perpetual systems is TRUE?</w:t>
      </w:r>
    </w:p>
    <w:p>
      <w:pPr>
        <w:spacing w:after="18"/>
        <w:ind w:left="560" w:hanging="260"/>
      </w:pPr>
      <w:r>
        <w:rPr>
          <w:b/>
          <w:bCs/>
          <w:color w:val="8186EF"/>
          <w:sz w:val="18"/>
          <w:szCs w:val="18"/>
        </w:rPr>
        <w:t xml:space="preserve">A. </w:t>
      </w:r>
      <w:r>
        <w:rPr>
          <w:sz w:val="18"/>
          <w:szCs w:val="18"/>
        </w:rPr>
        <w:t xml:space="preserve">LIFO gives the same cost of goods sold under both systems.</w:t>
      </w:r>
    </w:p>
    <w:p>
      <w:pPr>
        <w:spacing w:after="18"/>
        <w:ind w:left="560" w:hanging="260"/>
      </w:pPr>
      <w:r>
        <w:rPr>
          <w:b/>
          <w:bCs/>
          <w:color w:val="8186EF"/>
          <w:sz w:val="18"/>
          <w:szCs w:val="18"/>
        </w:rPr>
        <w:t xml:space="preserve">B. </w:t>
      </w:r>
      <w:r>
        <w:rPr>
          <w:sz w:val="18"/>
          <w:szCs w:val="18"/>
        </w:rPr>
        <w:t xml:space="preserve">The moving average always equals the periodic weighted average.</w:t>
      </w:r>
    </w:p>
    <w:p>
      <w:pPr>
        <w:spacing w:after="18"/>
        <w:ind w:left="560" w:hanging="260"/>
      </w:pPr>
      <w:r>
        <w:rPr>
          <w:b/>
          <w:bCs/>
          <w:color w:val="8186EF"/>
          <w:sz w:val="18"/>
          <w:szCs w:val="18"/>
        </w:rPr>
        <w:t xml:space="preserve">C. </w:t>
      </w:r>
      <w:r>
        <w:rPr>
          <w:sz w:val="18"/>
          <w:szCs w:val="18"/>
        </w:rPr>
        <w:t xml:space="preserve">FIFO gives the same cost of goods sold under both systems.</w:t>
      </w:r>
    </w:p>
    <w:p>
      <w:pPr>
        <w:spacing w:after="18"/>
        <w:ind w:left="560" w:hanging="260"/>
      </w:pPr>
      <w:r>
        <w:rPr>
          <w:b/>
          <w:bCs/>
          <w:color w:val="8186EF"/>
          <w:sz w:val="18"/>
          <w:szCs w:val="18"/>
        </w:rPr>
        <w:t xml:space="preserve">D. </w:t>
      </w:r>
      <w:r>
        <w:rPr>
          <w:sz w:val="18"/>
          <w:szCs w:val="18"/>
        </w:rPr>
        <w:t xml:space="preserve">A perpetual system requires specific identification.</w:t>
      </w:r>
    </w:p>
    <w:p>
      <w:pPr>
        <w:spacing w:before="40" w:after="16"/>
        <w:ind w:left="300" w:hanging="300"/>
      </w:pPr>
      <w:r>
        <w:rPr>
          <w:b/>
          <w:bCs/>
          <w:color w:val="353A7C"/>
          <w:sz w:val="19"/>
          <w:szCs w:val="19"/>
        </w:rPr>
        <w:t xml:space="preserve">11.  </w:t>
      </w:r>
      <w:r>
        <w:rPr>
          <w:sz w:val="19"/>
          <w:szCs w:val="19"/>
        </w:rPr>
        <w:t xml:space="preserve">Specific identification is MOST appropriate for:</w:t>
      </w:r>
    </w:p>
    <w:p>
      <w:pPr>
        <w:spacing w:after="18"/>
        <w:ind w:left="560" w:hanging="260"/>
      </w:pPr>
      <w:r>
        <w:rPr>
          <w:b/>
          <w:bCs/>
          <w:color w:val="8186EF"/>
          <w:sz w:val="18"/>
          <w:szCs w:val="18"/>
        </w:rPr>
        <w:t xml:space="preserve">A. </w:t>
      </w:r>
      <w:r>
        <w:rPr>
          <w:sz w:val="18"/>
          <w:szCs w:val="18"/>
        </w:rPr>
        <w:t xml:space="preserve">unique, high-value items such as cars.</w:t>
      </w:r>
    </w:p>
    <w:p>
      <w:pPr>
        <w:spacing w:after="18"/>
        <w:ind w:left="560" w:hanging="260"/>
      </w:pPr>
      <w:r>
        <w:rPr>
          <w:b/>
          <w:bCs/>
          <w:color w:val="8186EF"/>
          <w:sz w:val="18"/>
          <w:szCs w:val="18"/>
        </w:rPr>
        <w:t xml:space="preserve">B. </w:t>
      </w:r>
      <w:r>
        <w:rPr>
          <w:sz w:val="18"/>
          <w:szCs w:val="18"/>
        </w:rPr>
        <w:t xml:space="preserve">large volumes of identical glass bottles.</w:t>
      </w:r>
    </w:p>
    <w:p>
      <w:pPr>
        <w:spacing w:after="18"/>
        <w:ind w:left="560" w:hanging="260"/>
      </w:pPr>
      <w:r>
        <w:rPr>
          <w:b/>
          <w:bCs/>
          <w:color w:val="8186EF"/>
          <w:sz w:val="18"/>
          <w:szCs w:val="18"/>
        </w:rPr>
        <w:t xml:space="preserve">C. </w:t>
      </w:r>
      <w:r>
        <w:rPr>
          <w:sz w:val="18"/>
          <w:szCs w:val="18"/>
        </w:rPr>
        <w:t xml:space="preserve">any items when prices are rising.</w:t>
      </w:r>
    </w:p>
    <w:p>
      <w:pPr>
        <w:spacing w:after="18"/>
        <w:ind w:left="560" w:hanging="260"/>
      </w:pPr>
      <w:r>
        <w:rPr>
          <w:b/>
          <w:bCs/>
          <w:color w:val="8186EF"/>
          <w:sz w:val="18"/>
          <w:szCs w:val="18"/>
        </w:rPr>
        <w:t xml:space="preserve">D. </w:t>
      </w:r>
      <w:r>
        <w:rPr>
          <w:sz w:val="18"/>
          <w:szCs w:val="18"/>
        </w:rPr>
        <w:t xml:space="preserve">perishable food products.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المتوسط المرجح للتكلفة</w:t>
            </w:r>
          </w:p>
        </w:tc>
      </w:tr>
      <w:tr>
        <w:tc>
          <w:tcPr>
            <w:tcW w:type="pct" w:w="2400"/>
            <w:tcMar>
              <w:top w:type="dxa" w:w="50"/>
              <w:left w:type="dxa" w:w="110"/>
              <w:bottom w:type="dxa" w:w="50"/>
              <w:right w:type="dxa" w:w="110"/>
            </w:tcMar>
          </w:tcPr>
          <w:p>
            <w:pPr>
              <w:spacing w:before="26" w:after="26"/>
            </w:pPr>
            <w:r>
              <w:rPr>
                <w:color w:val="232733"/>
                <w:sz w:val="16"/>
                <w:szCs w:val="16"/>
              </w:rPr>
              <w:t xml:space="preserve">goods in transit</w:t>
            </w:r>
          </w:p>
        </w:tc>
        <w:tc>
          <w:tcPr>
            <w:tcW w:type="pct" w:w="2600"/>
            <w:tcMar>
              <w:top w:type="dxa" w:w="50"/>
              <w:left w:type="dxa" w:w="110"/>
              <w:bottom w:type="dxa" w:w="50"/>
              <w:right w:type="dxa" w:w="110"/>
            </w:tcMar>
          </w:tcPr>
          <w:p>
            <w:pPr>
              <w:spacing w:before="26" w:after="26"/>
            </w:pPr>
            <w:r>
              <w:rPr>
                <w:color w:val="232733"/>
                <w:sz w:val="16"/>
                <w:szCs w:val="16"/>
              </w:rPr>
              <w:t xml:space="preserve">بضاعة في الطريق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المُرسَل إليه (الوكيل بالعمولة)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التحديد العيني (التمييز المحدد)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المتوسط المرجح للتكلفة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بضاعة في الطريق</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المُرسَل إليه (الوكيل بالعمولة)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المخزون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الطاقة العادية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التحديد العيني (التمييز المحدد)</w:t>
            </w:r>
          </w:p>
        </w:tc>
      </w:tr>
    </w:tbl>
    <w:p/>
    <w:p>
      <w:pPr>
        <w:spacing w:before="24" w:after="24"/>
        <w:ind w:left="300" w:hanging="300"/>
      </w:pPr>
      <w:r>
        <w:rPr>
          <w:b/>
          <w:bCs/>
          <w:color w:val="353A7C"/>
          <w:sz w:val="18"/>
          <w:szCs w:val="18"/>
        </w:rPr>
        <w:t xml:space="preserve">14.  </w:t>
      </w:r>
      <w:r>
        <w:rPr>
          <w:sz w:val="18"/>
          <w:szCs w:val="18"/>
        </w:rPr>
        <w:t xml:space="preserve">specific identification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goods in transit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weighted-average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normal capacity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consignee</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Prices are falling. Which method gives the highest gross profit?</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Weighted average</w:t>
      </w:r>
    </w:p>
    <w:p>
      <w:pPr>
        <w:spacing w:after="18"/>
        <w:ind w:left="560" w:hanging="260"/>
      </w:pPr>
      <w:r>
        <w:rPr>
          <w:b/>
          <w:bCs/>
          <w:color w:val="8186EF"/>
          <w:sz w:val="18"/>
          <w:szCs w:val="18"/>
        </w:rPr>
        <w:t xml:space="preserve">C. </w:t>
      </w:r>
      <w:r>
        <w:rPr>
          <w:sz w:val="18"/>
          <w:szCs w:val="18"/>
        </w:rPr>
        <w:t xml:space="preserve">LIFO</w:t>
      </w:r>
    </w:p>
    <w:p>
      <w:pPr>
        <w:spacing w:after="18"/>
        <w:ind w:left="560" w:hanging="260"/>
      </w:pPr>
      <w:r>
        <w:rPr>
          <w:b/>
          <w:bCs/>
          <w:color w:val="8186EF"/>
          <w:sz w:val="18"/>
          <w:szCs w:val="18"/>
        </w:rPr>
        <w:t xml:space="preserve">D. </w:t>
      </w:r>
      <w:r>
        <w:rPr>
          <w:sz w:val="18"/>
          <w:szCs w:val="18"/>
        </w:rPr>
        <w:t xml:space="preserve">All methods give the same gross profit.</w:t>
      </w:r>
    </w:p>
    <w:p>
      <w:pPr>
        <w:spacing w:before="40" w:after="16"/>
        <w:ind w:left="300" w:hanging="300"/>
      </w:pPr>
      <w:r>
        <w:rPr>
          <w:b/>
          <w:bCs/>
          <w:color w:val="353A7C"/>
          <w:sz w:val="19"/>
          <w:szCs w:val="19"/>
        </w:rPr>
        <w:t xml:space="preserve">21.  </w:t>
      </w:r>
      <w:r>
        <w:rPr>
          <w:sz w:val="19"/>
          <w:szCs w:val="19"/>
        </w:rPr>
        <w:t xml:space="preserve">Prices are rising, and a LIFO company sells more units than it buys, so old layers are liquidated. What is the effect in that year?</w:t>
      </w:r>
    </w:p>
    <w:p>
      <w:pPr>
        <w:spacing w:after="18"/>
        <w:ind w:left="560" w:hanging="260"/>
      </w:pPr>
      <w:r>
        <w:rPr>
          <w:b/>
          <w:bCs/>
          <w:color w:val="8186EF"/>
          <w:sz w:val="18"/>
          <w:szCs w:val="18"/>
        </w:rPr>
        <w:t xml:space="preserve">A. </w:t>
      </w:r>
      <w:r>
        <w:rPr>
          <w:sz w:val="18"/>
          <w:szCs w:val="18"/>
        </w:rPr>
        <w:t xml:space="preserve">Gross profit decreases.</w:t>
      </w:r>
    </w:p>
    <w:p>
      <w:pPr>
        <w:spacing w:after="18"/>
        <w:ind w:left="560" w:hanging="260"/>
      </w:pPr>
      <w:r>
        <w:rPr>
          <w:b/>
          <w:bCs/>
          <w:color w:val="8186EF"/>
          <w:sz w:val="18"/>
          <w:szCs w:val="18"/>
        </w:rPr>
        <w:t xml:space="preserve">B. </w:t>
      </w:r>
      <w:r>
        <w:rPr>
          <w:sz w:val="18"/>
          <w:szCs w:val="18"/>
        </w:rPr>
        <w:t xml:space="preserve">Gross profit increases.</w:t>
      </w:r>
    </w:p>
    <w:p>
      <w:pPr>
        <w:spacing w:after="18"/>
        <w:ind w:left="560" w:hanging="260"/>
      </w:pPr>
      <w:r>
        <w:rPr>
          <w:b/>
          <w:bCs/>
          <w:color w:val="8186EF"/>
          <w:sz w:val="18"/>
          <w:szCs w:val="18"/>
        </w:rPr>
        <w:t xml:space="preserve">C. </w:t>
      </w:r>
      <w:r>
        <w:rPr>
          <w:sz w:val="18"/>
          <w:szCs w:val="18"/>
        </w:rPr>
        <w:t xml:space="preserve">There is no effect, because costs are historical.</w:t>
      </w:r>
    </w:p>
    <w:p>
      <w:pPr>
        <w:spacing w:after="18"/>
        <w:ind w:left="560" w:hanging="260"/>
      </w:pPr>
      <w:r>
        <w:rPr>
          <w:b/>
          <w:bCs/>
          <w:color w:val="8186EF"/>
          <w:sz w:val="18"/>
          <w:szCs w:val="18"/>
        </w:rPr>
        <w:t xml:space="preserve">D. </w:t>
      </w:r>
      <w:r>
        <w:rPr>
          <w:sz w:val="18"/>
          <w:szCs w:val="18"/>
        </w:rPr>
        <w:t xml:space="preserve">A loss arises that must be deferred.</w:t>
      </w:r>
    </w:p>
    <w:p>
      <w:pPr>
        <w:spacing w:before="40" w:after="16"/>
        <w:ind w:left="300" w:hanging="300"/>
      </w:pPr>
      <w:r>
        <w:rPr>
          <w:b/>
          <w:bCs/>
          <w:color w:val="353A7C"/>
          <w:sz w:val="19"/>
          <w:szCs w:val="19"/>
        </w:rPr>
        <w:t xml:space="preserve">22.  </w:t>
      </w:r>
      <w:r>
        <w:rPr>
          <w:sz w:val="19"/>
          <w:szCs w:val="19"/>
        </w:rPr>
        <w:t xml:space="preserve">The tax rate is 25%. Ending inventory was overstated by 40. By how much is net income overstated in that year?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spacing w:before="40" w:after="16"/>
        <w:ind w:left="300" w:hanging="300"/>
      </w:pPr>
      <w:r>
        <w:rPr>
          <w:b/>
          <w:bCs/>
          <w:color w:val="353A7C"/>
          <w:sz w:val="19"/>
          <w:szCs w:val="19"/>
        </w:rPr>
        <w:t xml:space="preserve">23.  </w:t>
      </w:r>
      <w:r>
        <w:rPr>
          <w:sz w:val="19"/>
          <w:szCs w:val="19"/>
        </w:rPr>
        <w:t xml:space="preserve">Ending inventory for 2026 is understated by 15. Inventory for 2025 was correct. What is the effect on 2026 cost of goods 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Understated by 15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Overstated by 15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30</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3423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inventory  ·  weighted-average cost  ·  goods in transit  ·  consignee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7.2</w:t>
      </w:r>
    </w:p>
    <w:p>
      <w:pPr>
        <w:spacing w:after="8"/>
      </w:pPr>
      <w:r>
        <w:rPr>
          <w:color w:val="23265A"/>
          <w:sz w:val="22"/>
          <w:szCs w:val="22"/>
        </w:rPr>
        <w:t xml:space="preserve">Which costs belong in inventory?</w:t>
      </w:r>
    </w:p>
    <w:p>
      <w:pPr>
        <w:spacing w:after="130"/>
      </w:pPr>
      <w:r>
        <w:rPr>
          <w:color w:val="6B7280"/>
          <w:sz w:val="20"/>
          <w:szCs w:val="20"/>
        </w:rPr>
        <w:t xml:space="preserve">section 7.2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98"/>
        <w:gridCol w:w="3164"/>
        <w:gridCol w:w="423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4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4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0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45"/>
            <w:tcMar>
              <w:top w:type="dxa" w:w="50"/>
              <w:left w:type="dxa" w:w="110"/>
              <w:bottom w:type="dxa" w:w="50"/>
              <w:right w:type="dxa" w:w="110"/>
            </w:tcMar>
          </w:tcPr>
          <w:p>
            <w:pPr>
              <w:spacing w:before="26" w:after="26"/>
            </w:pPr>
            <w:r>
              <w:rPr>
                <w:color w:val="232733"/>
                <w:sz w:val="16"/>
                <w:szCs w:val="16"/>
              </w:rPr>
              <w:t xml:space="preserve">Which costs belong in inventory?</w:t>
            </w:r>
          </w:p>
        </w:tc>
        <w:tc>
          <w:tcPr>
            <w:tcW w:type="pct" w:w="1648"/>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207"/>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4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4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0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FOB shipping point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physical 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abnormal waste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abnormal waste   ·   FOB shipping point   ·   purchase discount   ·   freight-in</w:t>
      </w:r>
    </w:p>
    <w:p>
      <w:pPr>
        <w:spacing w:before="36" w:after="36"/>
        <w:ind w:left="300"/>
      </w:pPr>
      <w:r>
        <w:rPr>
          <w:sz w:val="19"/>
          <w:szCs w:val="19"/>
        </w:rPr>
        <w:t xml:space="preserve">For goods that are bought, cost includes the purchase price, </w:t>
      </w:r>
      <w:r>
        <w:rPr>
          <w:u w:val="single"/>
          <w:sz w:val="19"/>
          <w:szCs w:val="19"/>
        </w:rPr>
        <w:t xml:space="preserve">            </w:t>
      </w:r>
      <w:r>
        <w:rPr>
          <w:sz w:val="19"/>
          <w:szCs w:val="19"/>
        </w:rPr>
        <w:t xml:space="preserve">, import duties, non-refundable taxes and handling, less trade discounts and any </w:t>
      </w:r>
      <w:r>
        <w:rPr>
          <w:u w:val="single"/>
          <w:sz w:val="19"/>
          <w:szCs w:val="19"/>
        </w:rPr>
        <w:t xml:space="preserve">                   </w:t>
      </w:r>
      <w:r>
        <w:rPr>
          <w:sz w:val="19"/>
          <w:szCs w:val="19"/>
        </w:rPr>
        <w:t xml:space="preserve"> taken for early payment. For goods that are made, cost also includes direct labor and production overhead.</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shipping point   ·   Period cost   ·   inventory   ·   freight-out   ·   normal capacity   ·   abnormal waste</w:t>
      </w:r>
    </w:p>
    <w:p>
      <w:pPr>
        <w:spacing w:before="36" w:after="36"/>
        <w:ind w:left="300"/>
      </w:pPr>
      <w:r>
        <w:rPr>
          <w:sz w:val="19"/>
          <w:szCs w:val="19"/>
        </w:rPr>
        <w:t xml:space="preserve">In the same way, </w:t>
      </w:r>
      <w:r>
        <w:rPr>
          <w:u w:val="single"/>
          <w:sz w:val="19"/>
          <w:szCs w:val="19"/>
        </w:rPr>
        <w:t xml:space="preserve">                </w:t>
      </w:r>
      <w:r>
        <w:rPr>
          <w:sz w:val="19"/>
          <w:szCs w:val="19"/>
        </w:rPr>
        <w:t xml:space="preserve"> (unusual spoilage, idle time or extra freight) is an expense, not </w:t>
      </w:r>
      <w:r>
        <w:rPr>
          <w:u w:val="single"/>
          <w:sz w:val="19"/>
          <w:szCs w:val="19"/>
        </w:rPr>
        <w:t xml:space="preserve">           </w:t>
      </w:r>
      <w:r>
        <w:rPr>
          <w:sz w:val="19"/>
          <w:szCs w:val="19"/>
        </w:rPr>
        <w:t xml:space="preserve"> cost. </w:t>
      </w:r>
      <w:r>
        <w:rPr>
          <w:u w:val="single"/>
          <w:sz w:val="19"/>
          <w:szCs w:val="19"/>
        </w:rPr>
        <w:t xml:space="preserve">             </w:t>
      </w:r>
      <w:r>
        <w:rPr>
          <w:sz w:val="19"/>
          <w:szCs w:val="19"/>
        </w:rPr>
        <w:t xml:space="preserve">s include </w:t>
      </w:r>
      <w:r>
        <w:rPr>
          <w:u w:val="single"/>
          <w:sz w:val="19"/>
          <w:szCs w:val="19"/>
        </w:rPr>
        <w:t xml:space="preserve">             </w:t>
      </w:r>
      <w:r>
        <w:rPr>
          <w:sz w:val="19"/>
          <w:szCs w:val="19"/>
        </w:rPr>
        <w:t xml:space="preserve"> to customers, sales commissions, advertising, general and administrative costs, and the storage of finished goods. Interest on inventory that is produced routinely is also a period cost.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shipping point   ·   abnormal waste   ·   location   ·   condition   ·   expenses</w:t>
      </w:r>
    </w:p>
    <w:p>
      <w:pPr>
        <w:spacing w:before="36" w:after="36"/>
        <w:ind w:left="300"/>
      </w:pPr>
      <w:r>
        <w:rPr>
          <w:sz w:val="19"/>
          <w:szCs w:val="19"/>
        </w:rPr>
        <w:t xml:space="preserve">Other costs are shown below (whole dollars). The two costs at the bottom of the table happen after the goods are ready for use. They do not bring the bottles to their present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so they are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costs belong in inventory?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amount of Cost of the bottles in inventory as “22,000”.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40892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864"/>
        <w:gridCol w:w="374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450"/>
            <w:tcMar>
              <w:top w:type="dxa" w:w="50"/>
              <w:left w:type="dxa" w:w="110"/>
              <w:bottom w:type="dxa" w:w="50"/>
              <w:right w:type="dxa" w:w="110"/>
            </w:tcMar>
          </w:tcPr>
          <w:p>
            <w:pPr>
              <w:spacing w:before="26" w:after="26"/>
            </w:pPr>
            <w:r>
              <w:rPr>
                <w:b/>
                <w:bCs/>
                <w:color w:val="353A7C"/>
                <w:sz w:val="15"/>
                <w:szCs w:val="15"/>
              </w:rPr>
              <w:t xml:space="preserve">Amount</w:t>
            </w:r>
          </w:p>
        </w:tc>
        <w:tc>
          <w:tcPr>
            <w:tcW w:type="pct" w:w="1950"/>
            <w:tcMar>
              <w:top w:type="dxa" w:w="50"/>
              <w:left w:type="dxa" w:w="110"/>
              <w:bottom w:type="dxa" w:w="50"/>
              <w:right w:type="dxa" w:w="110"/>
            </w:tcMar>
          </w:tcPr>
          <w:p>
            <w:pPr>
              <w:spacing w:before="26" w:after="26"/>
            </w:pPr>
            <w:r>
              <w:rPr>
                <w:b/>
                <w:bCs/>
                <w:color w:val="353A7C"/>
                <w:sz w:val="15"/>
                <w:szCs w:val="15"/>
              </w:rPr>
              <w:t xml:space="preserve">Inventory cost?</w:t>
            </w:r>
          </w:p>
        </w:tc>
      </w:tr>
      <w:tr>
        <w:tc>
          <w:tcPr>
            <w:tcW w:type="pct" w:w="2600"/>
            <w:tcMar>
              <w:top w:type="dxa" w:w="50"/>
              <w:left w:type="dxa" w:w="110"/>
              <w:bottom w:type="dxa" w:w="50"/>
              <w:right w:type="dxa" w:w="110"/>
            </w:tcMar>
          </w:tcPr>
          <w:p>
            <w:pPr>
              <w:spacing w:before="26" w:after="26"/>
            </w:pPr>
            <w:r>
              <w:rPr>
                <w:color w:val="232733"/>
                <w:sz w:val="16"/>
                <w:szCs w:val="16"/>
              </w:rPr>
              <w:t xml:space="preserve">Invoice price</w:t>
            </w:r>
          </w:p>
        </w:tc>
        <w:tc>
          <w:tcPr>
            <w:tcW w:type="pct" w:w="450"/>
            <w:tcMar>
              <w:top w:type="dxa" w:w="50"/>
              <w:left w:type="dxa" w:w="110"/>
              <w:bottom w:type="dxa" w:w="50"/>
              <w:right w:type="dxa" w:w="110"/>
            </w:tcMar>
          </w:tcPr>
          <w:p>
            <w:pPr>
              <w:spacing w:before="26" w:after="26"/>
            </w:pPr>
            <w:r>
              <w:rPr>
                <w:color w:val="232733"/>
                <w:sz w:val="16"/>
                <w:szCs w:val="16"/>
              </w:rPr>
              <w:t xml:space="preserve">20,000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 discount taken</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(400)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Yes (reduces cost)</w:t>
            </w:r>
          </w:p>
        </w:tc>
      </w:tr>
      <w:tr>
        <w:tc>
          <w:tcPr>
            <w:tcW w:type="pct" w:w="2600"/>
            <w:tcMar>
              <w:top w:type="dxa" w:w="50"/>
              <w:left w:type="dxa" w:w="110"/>
              <w:bottom w:type="dxa" w:w="50"/>
              <w:right w:type="dxa" w:w="110"/>
            </w:tcMar>
          </w:tcPr>
          <w:p>
            <w:pPr>
              <w:spacing w:before="26" w:after="26"/>
            </w:pPr>
            <w:r>
              <w:rPr>
                <w:color w:val="232733"/>
                <w:sz w:val="16"/>
                <w:szCs w:val="16"/>
              </w:rPr>
              <w:t xml:space="preserve">Freight-in from the port to Amman</w:t>
            </w:r>
          </w:p>
        </w:tc>
        <w:tc>
          <w:tcPr>
            <w:tcW w:type="pct" w:w="450"/>
            <w:tcMar>
              <w:top w:type="dxa" w:w="50"/>
              <w:left w:type="dxa" w:w="110"/>
              <w:bottom w:type="dxa" w:w="50"/>
              <w:right w:type="dxa" w:w="110"/>
            </w:tcMar>
          </w:tcPr>
          <w:p>
            <w:pPr>
              <w:spacing w:before="26" w:after="26"/>
            </w:pPr>
            <w:r>
              <w:rPr>
                <w:color w:val="232733"/>
                <w:sz w:val="16"/>
                <w:szCs w:val="16"/>
              </w:rPr>
              <w:t xml:space="preserve">1,200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Import duty (not refundable)</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900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Yes</w:t>
            </w:r>
          </w:p>
        </w:tc>
      </w:tr>
      <w:tr>
        <w:tc>
          <w:tcPr>
            <w:tcW w:type="pct" w:w="2600"/>
            <w:tcMar>
              <w:top w:type="dxa" w:w="50"/>
              <w:left w:type="dxa" w:w="110"/>
              <w:bottom w:type="dxa" w:w="50"/>
              <w:right w:type="dxa" w:w="110"/>
            </w:tcMar>
          </w:tcPr>
          <w:p>
            <w:pPr>
              <w:spacing w:before="26" w:after="26"/>
            </w:pPr>
            <w:r>
              <w:rPr>
                <w:color w:val="232733"/>
                <w:sz w:val="16"/>
                <w:szCs w:val="16"/>
              </w:rPr>
              <w:t xml:space="preserve">Insurance while the bottles are in transit</w:t>
            </w:r>
          </w:p>
        </w:tc>
        <w:tc>
          <w:tcPr>
            <w:tcW w:type="pct" w:w="450"/>
            <w:tcMar>
              <w:top w:type="dxa" w:w="50"/>
              <w:left w:type="dxa" w:w="110"/>
              <w:bottom w:type="dxa" w:w="50"/>
              <w:right w:type="dxa" w:w="110"/>
            </w:tcMar>
          </w:tcPr>
          <w:p>
            <w:pPr>
              <w:spacing w:before="26" w:after="26"/>
            </w:pPr>
            <w:r>
              <w:rPr>
                <w:color w:val="232733"/>
                <w:sz w:val="16"/>
                <w:szCs w:val="16"/>
              </w:rPr>
              <w:t xml:space="preserve">300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Freight-out when filled bottles go to customers</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700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No: selling expense</w:t>
            </w:r>
          </w:p>
        </w:tc>
      </w:tr>
      <w:tr>
        <w:tc>
          <w:tcPr>
            <w:tcW w:type="pct" w:w="2600"/>
            <w:tcMar>
              <w:top w:type="dxa" w:w="50"/>
              <w:left w:type="dxa" w:w="110"/>
              <w:bottom w:type="dxa" w:w="50"/>
              <w:right w:type="dxa" w:w="110"/>
            </w:tcMar>
          </w:tcPr>
          <w:p>
            <w:pPr>
              <w:spacing w:before="26" w:after="26"/>
            </w:pPr>
            <w:r>
              <w:rPr>
                <w:color w:val="232733"/>
                <w:sz w:val="16"/>
                <w:szCs w:val="16"/>
              </w:rPr>
              <w:t xml:space="preserve">Storage of finished olive oil</w:t>
            </w:r>
          </w:p>
        </w:tc>
        <w:tc>
          <w:tcPr>
            <w:tcW w:type="pct" w:w="450"/>
            <w:tcMar>
              <w:top w:type="dxa" w:w="50"/>
              <w:left w:type="dxa" w:w="110"/>
              <w:bottom w:type="dxa" w:w="50"/>
              <w:right w:type="dxa" w:w="110"/>
            </w:tcMar>
          </w:tcPr>
          <w:p>
            <w:pPr>
              <w:spacing w:before="26" w:after="26"/>
            </w:pPr>
            <w:r>
              <w:rPr>
                <w:color w:val="232733"/>
                <w:sz w:val="16"/>
                <w:szCs w:val="16"/>
              </w:rPr>
              <w:t xml:space="preserve">250</w:t>
            </w:r>
          </w:p>
        </w:tc>
        <w:tc>
          <w:tcPr>
            <w:tcW w:type="pct" w:w="1950"/>
            <w:tcMar>
              <w:top w:type="dxa" w:w="50"/>
              <w:left w:type="dxa" w:w="110"/>
              <w:bottom w:type="dxa" w:w="50"/>
              <w:right w:type="dxa" w:w="110"/>
            </w:tcMar>
          </w:tcPr>
          <w:p>
            <w:pPr>
              <w:spacing w:before="26" w:after="26"/>
            </w:pPr>
            <w:r>
              <w:rPr>
                <w:color w:val="232733"/>
                <w:sz w:val="16"/>
                <w:szCs w:val="16"/>
              </w:rPr>
              <w:t xml:space="preserve">No: period cost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the bottles in inventory</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22,000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Invoice price?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w:t>
            </w:r>
          </w:p>
        </w:tc>
      </w:tr>
    </w:tbl>
    <w:p>
      <w:pPr>
        <w:spacing w:before="30" w:after="30"/>
        <w:ind w:left="300" w:hanging="300"/>
      </w:pPr>
      <w:r>
        <w:rPr>
          <w:b/>
          <w:bCs/>
          <w:color w:val="353A7C"/>
          <w:sz w:val="19"/>
          <w:szCs w:val="19"/>
        </w:rPr>
        <w:t xml:space="preserve">6.  </w:t>
      </w:r>
      <w:r>
        <w:rPr>
          <w:sz w:val="19"/>
          <w:szCs w:val="19"/>
        </w:rPr>
        <w:t xml:space="preserve">The book gives the inventory cost? of Purchase discount taken as “Yes (reduces cost)”.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inventory  ·  inventoriable cost  ·  cost of goods sold  ·  LIFO reserve</w:t>
            </w:r>
          </w:p>
          <w:p>
            <w:pPr>
              <w:spacing w:before="26" w:after="26"/>
              <w:ind w:left="200"/>
            </w:pPr>
            <w:r>
              <w:rPr>
                <w:sz w:val="19"/>
                <w:szCs w:val="19"/>
              </w:rPr>
              <w:t xml:space="preserve">These are inventoriable costs: they stay in </w:t>
            </w:r>
            <w:r>
              <w:rPr>
                <w:u w:val="single"/>
                <w:sz w:val="19"/>
                <w:szCs w:val="19"/>
              </w:rPr>
              <w:t xml:space="preserve">           </w:t>
            </w:r>
            <w:r>
              <w:rPr>
                <w:sz w:val="19"/>
                <w:szCs w:val="19"/>
              </w:rPr>
              <w:t xml:space="preserve"> as an asset, and they become </w:t>
            </w:r>
            <w:r>
              <w:rPr>
                <w:u w:val="single"/>
                <w:sz w:val="19"/>
                <w:szCs w:val="19"/>
              </w:rPr>
              <w:t xml:space="preserve">                    </w:t>
            </w:r>
            <w:r>
              <w:rPr>
                <w:sz w:val="19"/>
                <w:szCs w:val="19"/>
              </w:rPr>
              <w:t xml:space="preserve"> when the goods are sold.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Invoice price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Purchase discount taken</w:t>
            </w:r>
          </w:p>
        </w:tc>
      </w:tr>
      <w:tr>
        <w:tc>
          <w:tcPr>
            <w:tcW w:type="pct" w:w="2500"/>
            <w:tcMar>
              <w:top w:type="dxa" w:w="50"/>
              <w:left w:type="dxa" w:w="110"/>
              <w:bottom w:type="dxa" w:w="50"/>
              <w:right w:type="dxa" w:w="110"/>
            </w:tcMar>
          </w:tcPr>
          <w:p>
            <w:pPr>
              <w:spacing w:before="26" w:after="26"/>
            </w:pPr>
            <w:r>
              <w:rPr>
                <w:sz w:val="16"/>
                <w:szCs w:val="16"/>
              </w:rPr>
              <w:t xml:space="preserve">Amount: 20,000</w:t>
            </w:r>
          </w:p>
        </w:tc>
        <w:tc>
          <w:tcPr>
            <w:tcW w:type="pct" w:w="2500"/>
            <w:tcMar>
              <w:top w:type="dxa" w:w="50"/>
              <w:left w:type="dxa" w:w="110"/>
              <w:bottom w:type="dxa" w:w="50"/>
              <w:right w:type="dxa" w:w="110"/>
            </w:tcMar>
          </w:tcPr>
          <w:p>
            <w:pPr>
              <w:spacing w:before="26" w:after="26"/>
            </w:pPr>
            <w:r>
              <w:rPr>
                <w:sz w:val="16"/>
                <w:szCs w:val="16"/>
              </w:rPr>
              <w:t xml:space="preserve">Amount: (400)</w:t>
            </w:r>
          </w:p>
        </w:tc>
      </w:tr>
    </w:tbl>
    <w:p>
      <w:pPr>
        <w:spacing w:before="36" w:after="16"/>
      </w:pPr>
      <w:r>
        <w:rPr>
          <w:sz w:val="18"/>
          <w:szCs w:val="18"/>
        </w:rPr>
        <w:t xml:space="preserve">Only the facts above differ. What is the inventory cost? of Invoice price?</w:t>
      </w:r>
    </w:p>
    <w:p>
      <w:pPr>
        <w:spacing w:before="40" w:after="16"/>
        <w:ind w:left="300" w:hanging="300"/>
      </w:pPr>
      <w:r>
        <w:rPr>
          <w:b/>
          <w:bCs/>
          <w:color w:val="353A7C"/>
          <w:sz w:val="19"/>
          <w:szCs w:val="19"/>
        </w:rPr>
        <w:t xml:space="preserve">8.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Yes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Yes (reduces cost)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selling expense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 period cost</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item is a period cost for Orontes?</w:t>
      </w:r>
    </w:p>
    <w:p>
      <w:pPr>
        <w:spacing w:after="18"/>
        <w:ind w:left="560" w:hanging="260"/>
      </w:pPr>
      <w:r>
        <w:rPr>
          <w:b/>
          <w:bCs/>
          <w:color w:val="8186EF"/>
          <w:sz w:val="18"/>
          <w:szCs w:val="18"/>
        </w:rPr>
        <w:t xml:space="preserve">A. </w:t>
      </w:r>
      <w:r>
        <w:rPr>
          <w:sz w:val="18"/>
          <w:szCs w:val="18"/>
        </w:rPr>
        <w:t xml:space="preserve">Import duties on sesame seeds</w:t>
      </w:r>
    </w:p>
    <w:p>
      <w:pPr>
        <w:spacing w:after="18"/>
        <w:ind w:left="560" w:hanging="260"/>
      </w:pPr>
      <w:r>
        <w:rPr>
          <w:b/>
          <w:bCs/>
          <w:color w:val="8186EF"/>
          <w:sz w:val="18"/>
          <w:szCs w:val="18"/>
        </w:rPr>
        <w:t xml:space="preserve">B. </w:t>
      </w:r>
      <w:r>
        <w:rPr>
          <w:sz w:val="18"/>
          <w:szCs w:val="18"/>
        </w:rPr>
        <w:t xml:space="preserve">Freight-in on glass bottles</w:t>
      </w:r>
    </w:p>
    <w:p>
      <w:pPr>
        <w:spacing w:after="18"/>
        <w:ind w:left="560" w:hanging="260"/>
      </w:pPr>
      <w:r>
        <w:rPr>
          <w:b/>
          <w:bCs/>
          <w:color w:val="8186EF"/>
          <w:sz w:val="18"/>
          <w:szCs w:val="18"/>
        </w:rPr>
        <w:t xml:space="preserve">C. </w:t>
      </w:r>
      <w:r>
        <w:rPr>
          <w:sz w:val="18"/>
          <w:szCs w:val="18"/>
        </w:rPr>
        <w:t xml:space="preserve">Wages of bottling-line workers</w:t>
      </w:r>
    </w:p>
    <w:p>
      <w:pPr>
        <w:spacing w:after="18"/>
        <w:ind w:left="560" w:hanging="260"/>
      </w:pPr>
      <w:r>
        <w:rPr>
          <w:b/>
          <w:bCs/>
          <w:color w:val="8186EF"/>
          <w:sz w:val="18"/>
          <w:szCs w:val="18"/>
        </w:rPr>
        <w:t xml:space="preserve">D. </w:t>
      </w:r>
      <w:r>
        <w:rPr>
          <w:sz w:val="18"/>
          <w:szCs w:val="18"/>
        </w:rPr>
        <w:t xml:space="preserve">Advertising for a new tahini brand</w:t>
      </w:r>
    </w:p>
    <w:p>
      <w:pPr>
        <w:spacing w:before="40" w:after="16"/>
        <w:ind w:left="300" w:hanging="300"/>
      </w:pPr>
      <w:r>
        <w:rPr>
          <w:b/>
          <w:bCs/>
          <w:color w:val="353A7C"/>
          <w:sz w:val="19"/>
          <w:szCs w:val="19"/>
        </w:rPr>
        <w:t xml:space="preserve">10.  </w:t>
      </w:r>
      <w:r>
        <w:rPr>
          <w:sz w:val="19"/>
          <w:szCs w:val="19"/>
        </w:rPr>
        <w:t xml:space="preserve">The tax rate is 25%. Ending inventory was overstated by 40. By how much is net income overstated in that year?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spacing w:before="40" w:after="16"/>
        <w:ind w:left="300" w:hanging="300"/>
      </w:pPr>
      <w:r>
        <w:rPr>
          <w:b/>
          <w:bCs/>
          <w:color w:val="353A7C"/>
          <w:sz w:val="19"/>
          <w:szCs w:val="19"/>
        </w:rPr>
        <w:t xml:space="preserve">11.  </w:t>
      </w:r>
      <w:r>
        <w:rPr>
          <w:sz w:val="19"/>
          <w:szCs w:val="19"/>
        </w:rPr>
        <w:t xml:space="preserve">Ending inventory for 2026 is understated by 15. Inventory for 2025 was correct. What is the effect on 2026 cost of goods 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Understated by 15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Overstated by 15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30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7"/>
        <w:gridCol w:w="462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2"/>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8"/>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نظام الجرد الدوري</w:t>
            </w:r>
          </w:p>
        </w:tc>
      </w:tr>
      <w:tr>
        <w:tc>
          <w:tcPr>
            <w:tcW w:type="pct" w:w="2592"/>
            <w:tcMar>
              <w:top w:type="dxa" w:w="50"/>
              <w:left w:type="dxa" w:w="110"/>
              <w:bottom w:type="dxa" w:w="50"/>
              <w:right w:type="dxa" w:w="110"/>
            </w:tcMar>
          </w:tcPr>
          <w:p>
            <w:pPr>
              <w:spacing w:before="26" w:after="26"/>
            </w:pPr>
            <w:r>
              <w:rPr>
                <w:color w:val="232733"/>
                <w:sz w:val="16"/>
                <w:szCs w:val="16"/>
              </w:rPr>
              <w:t xml:space="preserve">FOB shipping point</w:t>
            </w:r>
          </w:p>
        </w:tc>
        <w:tc>
          <w:tcPr>
            <w:tcW w:type="pct" w:w="2408"/>
            <w:tcMar>
              <w:top w:type="dxa" w:w="50"/>
              <w:left w:type="dxa" w:w="110"/>
              <w:bottom w:type="dxa" w:w="50"/>
              <w:right w:type="dxa" w:w="110"/>
            </w:tcMar>
          </w:tcPr>
          <w:p>
            <w:pPr>
              <w:spacing w:before="26" w:after="26"/>
            </w:pPr>
            <w:r>
              <w:rPr>
                <w:color w:val="232733"/>
                <w:sz w:val="16"/>
                <w:szCs w:val="16"/>
              </w:rPr>
              <w:t xml:space="preserve">التسليم عند نقطة الشحن</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physical count</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الجرد الفعلي</w:t>
            </w:r>
          </w:p>
        </w:tc>
      </w:tr>
      <w:tr>
        <w:tc>
          <w:tcPr>
            <w:tcW w:type="pct" w:w="2592"/>
            <w:tcMar>
              <w:top w:type="dxa" w:w="50"/>
              <w:left w:type="dxa" w:w="110"/>
              <w:bottom w:type="dxa" w:w="50"/>
              <w:right w:type="dxa" w:w="110"/>
            </w:tcMar>
          </w:tcPr>
          <w:p>
            <w:pPr>
              <w:spacing w:before="26" w:after="26"/>
            </w:pPr>
            <w:r>
              <w:rPr>
                <w:color w:val="232733"/>
                <w:sz w:val="16"/>
                <w:szCs w:val="16"/>
              </w:rPr>
              <w:t xml:space="preserve">abnormal waste</w:t>
            </w:r>
          </w:p>
        </w:tc>
        <w:tc>
          <w:tcPr>
            <w:tcW w:type="pct" w:w="2408"/>
            <w:tcMar>
              <w:top w:type="dxa" w:w="50"/>
              <w:left w:type="dxa" w:w="110"/>
              <w:bottom w:type="dxa" w:w="50"/>
              <w:right w:type="dxa" w:w="110"/>
            </w:tcMar>
          </w:tcPr>
          <w:p>
            <w:pPr>
              <w:spacing w:before="26" w:after="26"/>
            </w:pPr>
            <w:r>
              <w:rPr>
                <w:color w:val="232733"/>
                <w:sz w:val="16"/>
                <w:szCs w:val="16"/>
              </w:rPr>
              <w:t xml:space="preserve">التلف غير العادي</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المتوسط المتحرك</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نظام الجرد الدوري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التلف غير العادي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التسليم عند نقطة الشحن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المتوسط المتحرك</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تكلفة البضاعة المباعة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الجرد الفعلي</w:t>
            </w:r>
          </w:p>
        </w:tc>
      </w:tr>
    </w:tbl>
    <w:p/>
    <w:p>
      <w:pPr>
        <w:spacing w:before="24" w:after="24"/>
        <w:ind w:left="300" w:hanging="300"/>
      </w:pPr>
      <w:r>
        <w:rPr>
          <w:b/>
          <w:bCs/>
          <w:color w:val="353A7C"/>
          <w:sz w:val="18"/>
          <w:szCs w:val="18"/>
        </w:rPr>
        <w:t xml:space="preserve">14.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abnormal waste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moving average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physical 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FOB shipping point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periodic inventory system</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amount does the book give for Cost of the bottles in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22,000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0892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cost of goods sold  ·  periodic inventory system  ·  FOB shipping point  ·  physical 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7.3</w:t>
      </w:r>
    </w:p>
    <w:p>
      <w:pPr>
        <w:spacing w:after="8"/>
      </w:pPr>
      <w:r>
        <w:rPr>
          <w:color w:val="23265A"/>
          <w:sz w:val="22"/>
          <w:szCs w:val="22"/>
        </w:rPr>
        <w:t xml:space="preserve">Cost flow assumptions</w:t>
      </w:r>
    </w:p>
    <w:p>
      <w:pPr>
        <w:spacing w:after="130"/>
      </w:pPr>
      <w:r>
        <w:rPr>
          <w:color w:val="6B7280"/>
          <w:sz w:val="20"/>
          <w:szCs w:val="20"/>
        </w:rPr>
        <w:t xml:space="preserve">section 7.3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69"/>
        <w:gridCol w:w="3932"/>
        <w:gridCol w:w="37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7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4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7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73"/>
            <w:tcMar>
              <w:top w:type="dxa" w:w="50"/>
              <w:left w:type="dxa" w:w="110"/>
              <w:bottom w:type="dxa" w:w="50"/>
              <w:right w:type="dxa" w:w="110"/>
            </w:tcMar>
          </w:tcPr>
          <w:p>
            <w:pPr>
              <w:spacing w:before="26" w:after="26"/>
            </w:pPr>
            <w:r>
              <w:rPr>
                <w:color w:val="232733"/>
                <w:sz w:val="16"/>
                <w:szCs w:val="16"/>
              </w:rPr>
              <w:t xml:space="preserve">Cost flow assumptions</w:t>
            </w:r>
          </w:p>
        </w:tc>
        <w:tc>
          <w:tcPr>
            <w:tcW w:type="pct" w:w="2048"/>
            <w:tcMar>
              <w:top w:type="dxa" w:w="50"/>
              <w:left w:type="dxa" w:w="110"/>
              <w:bottom w:type="dxa" w:w="50"/>
              <w:right w:type="dxa" w:w="110"/>
            </w:tcMar>
          </w:tcPr>
          <w:p>
            <w:pPr>
              <w:spacing w:before="26" w:after="26"/>
            </w:pPr>
            <w:r>
              <w:rPr>
                <w:color w:val="232733"/>
                <w:sz w:val="16"/>
                <w:szCs w:val="16"/>
              </w:rPr>
              <w:t xml:space="preserve">a figure to read · Method · the book’s own rule, gapped</w:t>
            </w:r>
          </w:p>
        </w:tc>
        <w:tc>
          <w:tcPr>
            <w:tcW w:type="pct" w:w="1979"/>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97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48"/>
            <w:shd w:fill="FBFAF6" w:val="clear"/>
            <w:tcMar>
              <w:top w:type="dxa" w:w="50"/>
              <w:left w:type="dxa" w:w="110"/>
              <w:bottom w:type="dxa" w:w="50"/>
              <w:right w:type="dxa" w:w="110"/>
            </w:tcMar>
          </w:tcPr>
          <w:p>
            <w:pPr>
              <w:spacing w:before="26" w:after="26"/>
            </w:pPr>
            <w:r>
              <w:rPr>
                <w:color w:val="232733"/>
                <w:sz w:val="16"/>
                <w:szCs w:val="16"/>
              </w:rPr>
              <w:t xml:space="preserve">a figure to read · Method · The English the exam uses, and what it translates</w:t>
            </w:r>
          </w:p>
        </w:tc>
        <w:tc>
          <w:tcPr>
            <w:tcW w:type="pct" w:w="197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FOB destination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inventoriable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moving average   ·   Specific identification   ·   cost flow assumption   ·   consignee   ·   inventory</w:t>
      </w:r>
    </w:p>
    <w:p>
      <w:pPr>
        <w:spacing w:before="36" w:after="36"/>
        <w:ind w:left="300"/>
      </w:pPr>
      <w:r>
        <w:rPr>
          <w:sz w:val="19"/>
          <w:szCs w:val="19"/>
        </w:rPr>
        <w:t xml:space="preserve">When a company sells some units and keeps others, it must decide which costs go to </w:t>
      </w:r>
      <w:r>
        <w:rPr>
          <w:u w:val="single"/>
          <w:sz w:val="19"/>
          <w:szCs w:val="19"/>
        </w:rPr>
        <w:t xml:space="preserve">                    </w:t>
      </w:r>
      <w:r>
        <w:rPr>
          <w:sz w:val="19"/>
          <w:szCs w:val="19"/>
        </w:rPr>
        <w:t xml:space="preserve"> and which stay in ending </w:t>
      </w:r>
      <w:r>
        <w:rPr>
          <w:u w:val="single"/>
          <w:sz w:val="19"/>
          <w:szCs w:val="19"/>
        </w:rPr>
        <w:t xml:space="preserve">           </w:t>
      </w:r>
      <w:r>
        <w:rPr>
          <w:sz w:val="19"/>
          <w:szCs w:val="19"/>
        </w:rPr>
        <w:t xml:space="preserve">. This decision is a </w:t>
      </w:r>
      <w:r>
        <w:rPr>
          <w:u w:val="single"/>
          <w:sz w:val="19"/>
          <w:szCs w:val="19"/>
        </w:rPr>
        <w:t xml:space="preserve">                      </w:t>
      </w:r>
      <w:r>
        <w:rPr>
          <w:sz w:val="19"/>
          <w:szCs w:val="19"/>
        </w:rPr>
        <w:t xml:space="preserve">. It does not need to match the physical flow of the goods. </w:t>
      </w:r>
      <w:r>
        <w:rPr>
          <w:u w:val="single"/>
          <w:sz w:val="19"/>
          <w:szCs w:val="19"/>
        </w:rPr>
        <w:t xml:space="preserve">                         </w:t>
      </w:r>
      <w:r>
        <w:rPr>
          <w:sz w:val="19"/>
          <w:szCs w:val="19"/>
        </w:rPr>
        <w:t xml:space="preserve"> tracks the actual cost of each item.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consignee   ·   periodic inventory system   ·   perpetual inventory system   ·   moving average</w:t>
      </w:r>
    </w:p>
    <w:p>
      <w:pPr>
        <w:spacing w:before="36" w:after="36"/>
        <w:ind w:left="3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 In a </w:t>
      </w:r>
      <w:r>
        <w:rPr>
          <w:u w:val="single"/>
          <w:sz w:val="19"/>
          <w:szCs w:val="19"/>
        </w:rPr>
        <w:t xml:space="preserve">                            </w:t>
      </w:r>
      <w:r>
        <w:rPr>
          <w:sz w:val="19"/>
          <w:szCs w:val="19"/>
        </w:rPr>
        <w:t xml:space="preserve">, it updates inventory and cost of goods sold after every purchase and every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moving average   ·   compare   ·   therefore   ·   consignee   ·   frameworks</w:t>
      </w:r>
    </w:p>
    <w:p>
      <w:pPr>
        <w:spacing w:before="36" w:after="36"/>
        <w:ind w:left="300"/>
      </w:pPr>
      <w:r>
        <w:rPr>
          <w:sz w:val="19"/>
          <w:szCs w:val="19"/>
        </w:rPr>
        <w:t xml:space="preserve">Cedar Retail, our IFRS company, </w:t>
      </w:r>
      <w:r>
        <w:rPr>
          <w:u w:val="single"/>
          <w:sz w:val="19"/>
          <w:szCs w:val="19"/>
        </w:rPr>
        <w:t xml:space="preserve">           </w:t>
      </w:r>
      <w:r>
        <w:rPr>
          <w:sz w:val="19"/>
          <w:szCs w:val="19"/>
        </w:rPr>
        <w:t xml:space="preserve"> uses FIFO. You will </w:t>
      </w:r>
      <w:r>
        <w:rPr>
          <w:u w:val="single"/>
          <w:sz w:val="19"/>
          <w:szCs w:val="19"/>
        </w:rPr>
        <w:t xml:space="preserve">           </w:t>
      </w:r>
      <w:r>
        <w:rPr>
          <w:sz w:val="19"/>
          <w:szCs w:val="19"/>
        </w:rPr>
        <w:t xml:space="preserve"> the two </w:t>
      </w:r>
      <w:r>
        <w:rPr>
          <w:u w:val="single"/>
          <w:sz w:val="19"/>
          <w:szCs w:val="19"/>
        </w:rPr>
        <w:t xml:space="preserve">            </w:t>
      </w:r>
      <w:r>
        <w:rPr>
          <w:sz w:val="19"/>
          <w:szCs w:val="19"/>
        </w:rPr>
        <w:t xml:space="preserve"> again in Chapter 17. Under LIFO, the company adds a layer when it buys more than it sells. A company can use LIFO even if it ships its oldest bottles first.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Cost flow assumptions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621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321"/>
        <w:gridCol w:w="1867"/>
        <w:gridCol w:w="1215"/>
        <w:gridCol w:w="1924"/>
        <w:gridCol w:w="1273"/>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1730"/>
            <w:tcMar>
              <w:top w:type="dxa" w:w="50"/>
              <w:left w:type="dxa" w:w="110"/>
              <w:bottom w:type="dxa" w:w="50"/>
              <w:right w:type="dxa" w:w="110"/>
            </w:tcMar>
          </w:tcPr>
          <w:p>
            <w:pPr>
              <w:spacing w:before="26" w:after="26"/>
            </w:pPr>
            <w:r>
              <w:rPr>
                <w:b/>
                <w:bCs/>
                <w:color w:val="353A7C"/>
                <w:sz w:val="15"/>
                <w:szCs w:val="15"/>
              </w:rPr>
              <w:t xml:space="preserve">Method</w:t>
            </w:r>
          </w:p>
        </w:tc>
        <w:tc>
          <w:tcPr>
            <w:tcW w:type="pct" w:w="972"/>
            <w:tcMar>
              <w:top w:type="dxa" w:w="50"/>
              <w:left w:type="dxa" w:w="110"/>
              <w:bottom w:type="dxa" w:w="50"/>
              <w:right w:type="dxa" w:w="110"/>
            </w:tcMar>
          </w:tcPr>
          <w:p>
            <w:pPr>
              <w:spacing w:before="26" w:after="26"/>
            </w:pPr>
            <w:r>
              <w:rPr>
                <w:b/>
                <w:bCs/>
                <w:color w:val="353A7C"/>
                <w:sz w:val="15"/>
                <w:szCs w:val="15"/>
              </w:rPr>
              <w:t xml:space="preserve">Periodic: ending inventory</w:t>
            </w:r>
          </w:p>
        </w:tc>
        <w:tc>
          <w:tcPr>
            <w:tcW w:type="pct" w:w="633"/>
            <w:tcMar>
              <w:top w:type="dxa" w:w="50"/>
              <w:left w:type="dxa" w:w="110"/>
              <w:bottom w:type="dxa" w:w="50"/>
              <w:right w:type="dxa" w:w="110"/>
            </w:tcMar>
          </w:tcPr>
          <w:p>
            <w:pPr>
              <w:spacing w:before="26" w:after="26"/>
            </w:pPr>
            <w:r>
              <w:rPr>
                <w:b/>
                <w:bCs/>
                <w:color w:val="353A7C"/>
                <w:sz w:val="15"/>
                <w:szCs w:val="15"/>
              </w:rPr>
              <w:t xml:space="preserve">Periodic: COGS</w:t>
            </w:r>
          </w:p>
        </w:tc>
        <w:tc>
          <w:tcPr>
            <w:tcW w:type="pct" w:w="1002"/>
            <w:tcMar>
              <w:top w:type="dxa" w:w="50"/>
              <w:left w:type="dxa" w:w="110"/>
              <w:bottom w:type="dxa" w:w="50"/>
              <w:right w:type="dxa" w:w="110"/>
            </w:tcMar>
          </w:tcPr>
          <w:p>
            <w:pPr>
              <w:spacing w:before="26" w:after="26"/>
            </w:pPr>
            <w:r>
              <w:rPr>
                <w:b/>
                <w:bCs/>
                <w:color w:val="353A7C"/>
                <w:sz w:val="15"/>
                <w:szCs w:val="15"/>
              </w:rPr>
              <w:t xml:space="preserve">Perpetual: ending inventory</w:t>
            </w:r>
          </w:p>
        </w:tc>
        <w:tc>
          <w:tcPr>
            <w:tcW w:type="pct" w:w="663"/>
            <w:tcMar>
              <w:top w:type="dxa" w:w="50"/>
              <w:left w:type="dxa" w:w="110"/>
              <w:bottom w:type="dxa" w:w="50"/>
              <w:right w:type="dxa" w:w="110"/>
            </w:tcMar>
          </w:tcPr>
          <w:p>
            <w:pPr>
              <w:spacing w:before="26" w:after="26"/>
            </w:pPr>
            <w:r>
              <w:rPr>
                <w:b/>
                <w:bCs/>
                <w:color w:val="353A7C"/>
                <w:sz w:val="15"/>
                <w:szCs w:val="15"/>
              </w:rPr>
              <w:t xml:space="preserve">Perpetual: COGS</w:t>
            </w:r>
          </w:p>
        </w:tc>
      </w:tr>
      <w:tr>
        <w:tc>
          <w:tcPr>
            <w:tcW w:type="pct" w:w="1730"/>
            <w:tcMar>
              <w:top w:type="dxa" w:w="50"/>
              <w:left w:type="dxa" w:w="110"/>
              <w:bottom w:type="dxa" w:w="50"/>
              <w:right w:type="dxa" w:w="110"/>
            </w:tcMar>
          </w:tcPr>
          <w:p>
            <w:pPr>
              <w:spacing w:before="26" w:after="26"/>
            </w:pPr>
            <w:r>
              <w:rPr>
                <w:color w:val="232733"/>
                <w:sz w:val="16"/>
                <w:szCs w:val="16"/>
              </w:rPr>
              <w:t xml:space="preserve">FIFO</w:t>
            </w:r>
          </w:p>
        </w:tc>
        <w:tc>
          <w:tcPr>
            <w:tcW w:type="pct" w:w="972"/>
            <w:tcMar>
              <w:top w:type="dxa" w:w="50"/>
              <w:left w:type="dxa" w:w="110"/>
              <w:bottom w:type="dxa" w:w="50"/>
              <w:right w:type="dxa" w:w="110"/>
            </w:tcMar>
          </w:tcPr>
          <w:p>
            <w:pPr>
              <w:spacing w:before="26" w:after="26"/>
            </w:pPr>
            <w:r>
              <w:rPr>
                <w:color w:val="232733"/>
                <w:sz w:val="16"/>
                <w:szCs w:val="16"/>
              </w:rPr>
              <w:t xml:space="preserve">100,000</w:t>
            </w:r>
          </w:p>
        </w:tc>
        <w:tc>
          <w:tcPr>
            <w:tcW w:type="pct" w:w="633"/>
            <w:tcMar>
              <w:top w:type="dxa" w:w="50"/>
              <w:left w:type="dxa" w:w="110"/>
              <w:bottom w:type="dxa" w:w="50"/>
              <w:right w:type="dxa" w:w="110"/>
            </w:tcMar>
          </w:tcPr>
          <w:p>
            <w:pPr>
              <w:spacing w:before="26" w:after="26"/>
            </w:pPr>
            <w:r>
              <w:rPr>
                <w:color w:val="232733"/>
                <w:sz w:val="16"/>
                <w:szCs w:val="16"/>
              </w:rPr>
              <w:t xml:space="preserve">272,000</w:t>
            </w:r>
          </w:p>
        </w:tc>
        <w:tc>
          <w:tcPr>
            <w:tcW w:type="pct" w:w="1002"/>
            <w:tcMar>
              <w:top w:type="dxa" w:w="50"/>
              <w:left w:type="dxa" w:w="110"/>
              <w:bottom w:type="dxa" w:w="50"/>
              <w:right w:type="dxa" w:w="110"/>
            </w:tcMar>
          </w:tcPr>
          <w:p>
            <w:pPr>
              <w:spacing w:before="26" w:after="26"/>
            </w:pPr>
            <w:r>
              <w:rPr>
                <w:color w:val="232733"/>
                <w:sz w:val="16"/>
                <w:szCs w:val="16"/>
              </w:rPr>
              <w:t xml:space="preserve">100,000</w:t>
            </w:r>
          </w:p>
        </w:tc>
        <w:tc>
          <w:tcPr>
            <w:tcW w:type="pct" w:w="663"/>
            <w:tcMar>
              <w:top w:type="dxa" w:w="50"/>
              <w:left w:type="dxa" w:w="110"/>
              <w:bottom w:type="dxa" w:w="50"/>
              <w:right w:type="dxa" w:w="110"/>
            </w:tcMar>
          </w:tcPr>
          <w:p>
            <w:pPr>
              <w:spacing w:before="26" w:after="26"/>
            </w:pPr>
            <w:r>
              <w:rPr>
                <w:color w:val="232733"/>
                <w:sz w:val="16"/>
                <w:szCs w:val="16"/>
              </w:rPr>
              <w:t xml:space="preserve">272,000</w:t>
            </w:r>
          </w:p>
        </w:tc>
      </w:tr>
      <w:tr>
        <w:tc>
          <w:tcPr>
            <w:tcW w:type="pct" w:w="1730"/>
            <w:shd w:fill="FBFAF6" w:val="clear"/>
            <w:tcMar>
              <w:top w:type="dxa" w:w="50"/>
              <w:left w:type="dxa" w:w="110"/>
              <w:bottom w:type="dxa" w:w="50"/>
              <w:right w:type="dxa" w:w="110"/>
            </w:tcMar>
          </w:tcPr>
          <w:p>
            <w:pPr>
              <w:spacing w:before="26" w:after="26"/>
            </w:pPr>
            <w:r>
              <w:rPr>
                <w:color w:val="232733"/>
                <w:sz w:val="16"/>
                <w:szCs w:val="16"/>
              </w:rPr>
              <w:t xml:space="preserve">LIFO</w:t>
            </w:r>
          </w:p>
        </w:tc>
        <w:tc>
          <w:tcPr>
            <w:tcW w:type="pct" w:w="972"/>
            <w:shd w:fill="FBFAF6" w:val="clear"/>
            <w:tcMar>
              <w:top w:type="dxa" w:w="50"/>
              <w:left w:type="dxa" w:w="110"/>
              <w:bottom w:type="dxa" w:w="50"/>
              <w:right w:type="dxa" w:w="110"/>
            </w:tcMar>
          </w:tcPr>
          <w:p>
            <w:pPr>
              <w:spacing w:before="26" w:after="26"/>
            </w:pPr>
            <w:r>
              <w:rPr>
                <w:color w:val="232733"/>
                <w:sz w:val="16"/>
                <w:szCs w:val="16"/>
              </w:rPr>
              <w:t xml:space="preserve">84,000</w:t>
            </w:r>
          </w:p>
        </w:tc>
        <w:tc>
          <w:tcPr>
            <w:tcW w:type="pct" w:w="633"/>
            <w:shd w:fill="FBFAF6" w:val="clear"/>
            <w:tcMar>
              <w:top w:type="dxa" w:w="50"/>
              <w:left w:type="dxa" w:w="110"/>
              <w:bottom w:type="dxa" w:w="50"/>
              <w:right w:type="dxa" w:w="110"/>
            </w:tcMar>
          </w:tcPr>
          <w:p>
            <w:pPr>
              <w:spacing w:before="26" w:after="26"/>
            </w:pPr>
            <w:r>
              <w:rPr>
                <w:color w:val="232733"/>
                <w:sz w:val="16"/>
                <w:szCs w:val="16"/>
              </w:rPr>
              <w:t xml:space="preserve">288,000</w:t>
            </w:r>
          </w:p>
        </w:tc>
        <w:tc>
          <w:tcPr>
            <w:tcW w:type="pct" w:w="1002"/>
            <w:shd w:fill="FBFAF6" w:val="clear"/>
            <w:tcMar>
              <w:top w:type="dxa" w:w="50"/>
              <w:left w:type="dxa" w:w="110"/>
              <w:bottom w:type="dxa" w:w="50"/>
              <w:right w:type="dxa" w:w="110"/>
            </w:tcMar>
          </w:tcPr>
          <w:p>
            <w:pPr>
              <w:spacing w:before="26" w:after="26"/>
            </w:pPr>
            <w:r>
              <w:rPr>
                <w:color w:val="232733"/>
                <w:sz w:val="16"/>
                <w:szCs w:val="16"/>
              </w:rPr>
              <w:t xml:space="preserve">93,000</w:t>
            </w:r>
          </w:p>
        </w:tc>
        <w:tc>
          <w:tcPr>
            <w:tcW w:type="pct" w:w="663"/>
            <w:shd w:fill="FBFAF6" w:val="clear"/>
            <w:tcMar>
              <w:top w:type="dxa" w:w="50"/>
              <w:left w:type="dxa" w:w="110"/>
              <w:bottom w:type="dxa" w:w="50"/>
              <w:right w:type="dxa" w:w="110"/>
            </w:tcMar>
          </w:tcPr>
          <w:p>
            <w:pPr>
              <w:spacing w:before="26" w:after="26"/>
            </w:pPr>
            <w:r>
              <w:rPr>
                <w:color w:val="232733"/>
                <w:sz w:val="16"/>
                <w:szCs w:val="16"/>
              </w:rPr>
              <w:t xml:space="preserve">279,000</w:t>
            </w:r>
          </w:p>
        </w:tc>
      </w:tr>
      <w:tr>
        <w:tc>
          <w:tcPr>
            <w:tcW w:type="pct" w:w="1730"/>
            <w:tcMar>
              <w:top w:type="dxa" w:w="50"/>
              <w:left w:type="dxa" w:w="110"/>
              <w:bottom w:type="dxa" w:w="50"/>
              <w:right w:type="dxa" w:w="110"/>
            </w:tcMar>
          </w:tcPr>
          <w:p>
            <w:pPr>
              <w:spacing w:before="26" w:after="26"/>
            </w:pPr>
            <w:r>
              <w:rPr>
                <w:color w:val="232733"/>
                <w:sz w:val="16"/>
                <w:szCs w:val="16"/>
              </w:rPr>
              <w:t xml:space="preserve">Average (weighted / moving)</w:t>
            </w:r>
          </w:p>
        </w:tc>
        <w:tc>
          <w:tcPr>
            <w:tcW w:type="pct" w:w="972"/>
            <w:tcMar>
              <w:top w:type="dxa" w:w="50"/>
              <w:left w:type="dxa" w:w="110"/>
              <w:bottom w:type="dxa" w:w="50"/>
              <w:right w:type="dxa" w:w="110"/>
            </w:tcMar>
          </w:tcPr>
          <w:p>
            <w:pPr>
              <w:spacing w:before="26" w:after="26"/>
            </w:pPr>
            <w:r>
              <w:rPr>
                <w:color w:val="232733"/>
                <w:sz w:val="16"/>
                <w:szCs w:val="16"/>
              </w:rPr>
              <w:t xml:space="preserve">93,000</w:t>
            </w:r>
          </w:p>
        </w:tc>
        <w:tc>
          <w:tcPr>
            <w:tcW w:type="pct" w:w="633"/>
            <w:tcMar>
              <w:top w:type="dxa" w:w="50"/>
              <w:left w:type="dxa" w:w="110"/>
              <w:bottom w:type="dxa" w:w="50"/>
              <w:right w:type="dxa" w:w="110"/>
            </w:tcMar>
          </w:tcPr>
          <w:p>
            <w:pPr>
              <w:spacing w:before="26" w:after="26"/>
            </w:pPr>
            <w:r>
              <w:rPr>
                <w:color w:val="232733"/>
                <w:sz w:val="16"/>
                <w:szCs w:val="16"/>
              </w:rPr>
              <w:t xml:space="preserve">279,000</w:t>
            </w:r>
          </w:p>
        </w:tc>
        <w:tc>
          <w:tcPr>
            <w:tcW w:type="pct" w:w="1002"/>
            <w:tcMar>
              <w:top w:type="dxa" w:w="50"/>
              <w:left w:type="dxa" w:w="110"/>
              <w:bottom w:type="dxa" w:w="50"/>
              <w:right w:type="dxa" w:w="110"/>
            </w:tcMar>
          </w:tcPr>
          <w:p>
            <w:pPr>
              <w:spacing w:before="26" w:after="26"/>
            </w:pPr>
            <w:r>
              <w:rPr>
                <w:color w:val="232733"/>
                <w:sz w:val="16"/>
                <w:szCs w:val="16"/>
              </w:rPr>
              <w:t xml:space="preserve">97,633</w:t>
            </w:r>
          </w:p>
        </w:tc>
        <w:tc>
          <w:tcPr>
            <w:tcW w:type="pct" w:w="663"/>
            <w:tcMar>
              <w:top w:type="dxa" w:w="50"/>
              <w:left w:type="dxa" w:w="110"/>
              <w:bottom w:type="dxa" w:w="50"/>
              <w:right w:type="dxa" w:w="110"/>
            </w:tcMar>
          </w:tcPr>
          <w:p>
            <w:pPr>
              <w:spacing w:before="26" w:after="26"/>
            </w:pPr>
            <w:r>
              <w:rPr>
                <w:color w:val="232733"/>
                <w:sz w:val="16"/>
                <w:szCs w:val="16"/>
              </w:rPr>
              <w:t xml:space="preserve">274,367</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method does the book pair with “100,000”?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Average (weighted / moving)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14"/>
        <w:gridCol w:w="1825"/>
        <w:gridCol w:w="1053"/>
        <w:gridCol w:w="1890"/>
        <w:gridCol w:w="1118"/>
      </w:tblGrid>
      <w:tr>
        <w:tc>
          <w:tcPr>
            <w:tcW w:type="pct" w:w="1934"/>
            <w:shd w:fill="353A7C" w:val="clear"/>
            <w:tcMar>
              <w:top w:type="dxa" w:w="50"/>
              <w:left w:type="dxa" w:w="110"/>
              <w:bottom w:type="dxa" w:w="50"/>
              <w:right w:type="dxa" w:w="110"/>
            </w:tcMar>
          </w:tcPr>
          <w:p>
            <w:pPr>
              <w:spacing w:before="34" w:after="34"/>
            </w:pPr>
            <w:r>
              <w:rPr>
                <w:b/>
                <w:bCs/>
                <w:color w:val="FFFFFF"/>
                <w:sz w:val="15"/>
                <w:szCs w:val="15"/>
              </w:rPr>
              <w:t xml:space="preserve">Method</w:t>
            </w:r>
          </w:p>
        </w:tc>
        <w:tc>
          <w:tcPr>
            <w:tcW w:type="pct" w:w="951"/>
            <w:shd w:fill="353A7C" w:val="clear"/>
            <w:tcMar>
              <w:top w:type="dxa" w:w="50"/>
              <w:left w:type="dxa" w:w="110"/>
              <w:bottom w:type="dxa" w:w="50"/>
              <w:right w:type="dxa" w:w="110"/>
            </w:tcMar>
          </w:tcPr>
          <w:p>
            <w:pPr>
              <w:spacing w:before="34" w:after="34"/>
            </w:pPr>
            <w:r>
              <w:rPr>
                <w:b/>
                <w:bCs/>
                <w:color w:val="FFFFFF"/>
                <w:sz w:val="15"/>
                <w:szCs w:val="15"/>
              </w:rPr>
              <w:t xml:space="preserve">Periodic: ending inventory</w:t>
            </w:r>
          </w:p>
        </w:tc>
        <w:tc>
          <w:tcPr>
            <w:tcW w:type="pct" w:w="549"/>
            <w:shd w:fill="353A7C" w:val="clear"/>
            <w:tcMar>
              <w:top w:type="dxa" w:w="50"/>
              <w:left w:type="dxa" w:w="110"/>
              <w:bottom w:type="dxa" w:w="50"/>
              <w:right w:type="dxa" w:w="110"/>
            </w:tcMar>
          </w:tcPr>
          <w:p>
            <w:pPr>
              <w:spacing w:before="34" w:after="34"/>
            </w:pPr>
            <w:r>
              <w:rPr>
                <w:b/>
                <w:bCs/>
                <w:color w:val="FFFFFF"/>
                <w:sz w:val="15"/>
                <w:szCs w:val="15"/>
              </w:rPr>
              <w:t xml:space="preserve">Periodic: COGS</w:t>
            </w:r>
          </w:p>
        </w:tc>
        <w:tc>
          <w:tcPr>
            <w:tcW w:type="pct" w:w="984"/>
            <w:shd w:fill="353A7C" w:val="clear"/>
            <w:tcMar>
              <w:top w:type="dxa" w:w="50"/>
              <w:left w:type="dxa" w:w="110"/>
              <w:bottom w:type="dxa" w:w="50"/>
              <w:right w:type="dxa" w:w="110"/>
            </w:tcMar>
          </w:tcPr>
          <w:p>
            <w:pPr>
              <w:spacing w:before="34" w:after="34"/>
            </w:pPr>
            <w:r>
              <w:rPr>
                <w:b/>
                <w:bCs/>
                <w:color w:val="FFFFFF"/>
                <w:sz w:val="15"/>
                <w:szCs w:val="15"/>
              </w:rPr>
              <w:t xml:space="preserve">Perpetual: ending inventory</w:t>
            </w:r>
          </w:p>
        </w:tc>
        <w:tc>
          <w:tcPr>
            <w:tcW w:type="pct" w:w="582"/>
            <w:shd w:fill="353A7C" w:val="clear"/>
            <w:tcMar>
              <w:top w:type="dxa" w:w="50"/>
              <w:left w:type="dxa" w:w="110"/>
              <w:bottom w:type="dxa" w:w="50"/>
              <w:right w:type="dxa" w:w="110"/>
            </w:tcMar>
          </w:tcPr>
          <w:p>
            <w:pPr>
              <w:spacing w:before="34" w:after="34"/>
            </w:pPr>
            <w:r>
              <w:rPr>
                <w:b/>
                <w:bCs/>
                <w:color w:val="FFFFFF"/>
                <w:sz w:val="15"/>
                <w:szCs w:val="15"/>
              </w:rPr>
              <w:t xml:space="preserve">Perpetual: COGS</w:t>
            </w:r>
          </w:p>
        </w:tc>
      </w:tr>
      <w:tr>
        <w:tc>
          <w:tcPr>
            <w:tcW w:type="pct" w:w="1934"/>
            <w:tcMar>
              <w:top w:type="dxa" w:w="50"/>
              <w:left w:type="dxa" w:w="110"/>
              <w:bottom w:type="dxa" w:w="50"/>
              <w:right w:type="dxa" w:w="110"/>
            </w:tcMar>
          </w:tcPr>
          <w:p>
            <w:pPr>
              <w:spacing w:before="32" w:after="32"/>
            </w:pPr>
            <w:r>
              <w:rPr>
                <w:sz w:val="16"/>
                <w:szCs w:val="16"/>
              </w:rPr>
              <w:t xml:space="preserve">FIFO</w:t>
            </w:r>
          </w:p>
        </w:tc>
        <w:tc>
          <w:tcPr>
            <w:tcW w:type="pct" w:w="951"/>
            <w:tcMar>
              <w:top w:type="dxa" w:w="50"/>
              <w:left w:type="dxa" w:w="110"/>
              <w:bottom w:type="dxa" w:w="50"/>
              <w:right w:type="dxa" w:w="110"/>
            </w:tcMar>
          </w:tcPr>
          <w:p>
            <w:pPr>
              <w:spacing w:before="32" w:after="32"/>
            </w:pPr>
            <w:r>
              <w:rPr>
                <w:sz w:val="16"/>
                <w:szCs w:val="16"/>
              </w:rPr>
              <w:t xml:space="preserve">100,000</w:t>
            </w:r>
          </w:p>
        </w:tc>
        <w:tc>
          <w:tcPr>
            <w:tcW w:type="pct" w:w="549"/>
            <w:tcMar>
              <w:top w:type="dxa" w:w="50"/>
              <w:left w:type="dxa" w:w="110"/>
              <w:bottom w:type="dxa" w:w="50"/>
              <w:right w:type="dxa" w:w="110"/>
            </w:tcMar>
          </w:tcPr>
          <w:p>
            <w:pPr>
              <w:spacing w:before="32" w:after="32"/>
            </w:pPr>
            <w:r>
              <w:rPr>
                <w:sz w:val="16"/>
                <w:szCs w:val="16"/>
              </w:rPr>
              <w:t xml:space="preserve">272,000</w:t>
            </w:r>
          </w:p>
        </w:tc>
        <w:tc>
          <w:tcPr>
            <w:tcW w:type="pct" w:w="984"/>
            <w:tcMar>
              <w:top w:type="dxa" w:w="50"/>
              <w:left w:type="dxa" w:w="110"/>
              <w:bottom w:type="dxa" w:w="50"/>
              <w:right w:type="dxa" w:w="110"/>
            </w:tcMar>
          </w:tcPr>
          <w:p>
            <w:pPr>
              <w:spacing w:before="32" w:after="32"/>
            </w:pPr>
            <w:r>
              <w:rPr>
                <w:sz w:val="16"/>
                <w:szCs w:val="16"/>
              </w:rPr>
              <w:t xml:space="preserve">100,000</w:t>
            </w:r>
          </w:p>
        </w:tc>
        <w:tc>
          <w:tcPr>
            <w:tcW w:type="pct" w:w="582"/>
            <w:tcMar>
              <w:top w:type="dxa" w:w="50"/>
              <w:left w:type="dxa" w:w="110"/>
              <w:bottom w:type="dxa" w:w="50"/>
              <w:right w:type="dxa" w:w="110"/>
            </w:tcMar>
          </w:tcPr>
          <w:p>
            <w:pPr>
              <w:spacing w:before="32" w:after="32"/>
            </w:pPr>
            <w:r>
              <w:rPr>
                <w:sz w:val="16"/>
                <w:szCs w:val="16"/>
              </w:rPr>
              <w:t xml:space="preserve">272,000</w:t>
            </w:r>
          </w:p>
        </w:tc>
      </w:tr>
      <w:tr>
        <w:tc>
          <w:tcPr>
            <w:tcW w:type="pct" w:w="1934"/>
            <w:shd w:fill="FBFAF6" w:val="clear"/>
            <w:tcMar>
              <w:top w:type="dxa" w:w="50"/>
              <w:left w:type="dxa" w:w="110"/>
              <w:bottom w:type="dxa" w:w="50"/>
              <w:right w:type="dxa" w:w="110"/>
            </w:tcMar>
          </w:tcPr>
          <w:p>
            <w:pPr>
              <w:spacing w:before="32" w:after="32"/>
            </w:pPr>
            <w:r>
              <w:rPr>
                <w:sz w:val="16"/>
                <w:szCs w:val="16"/>
              </w:rPr>
              <w:t xml:space="preserve">LIFO</w:t>
            </w:r>
          </w:p>
        </w:tc>
        <w:tc>
          <w:tcPr>
            <w:tcW w:type="pct" w:w="951"/>
            <w:shd w:fill="FFFFFF" w:val="clear"/>
            <w:tcMar>
              <w:top w:type="dxa" w:w="50"/>
              <w:left w:type="dxa" w:w="110"/>
              <w:bottom w:type="dxa" w:w="50"/>
              <w:right w:type="dxa" w:w="110"/>
            </w:tcMar>
          </w:tcPr>
          <w:p>
            <w:pPr>
              <w:spacing w:before="54" w:after="54"/>
            </w:pPr>
            <w:r>
              <w:rPr>
                <w:sz w:val="18"/>
                <w:szCs w:val="18"/>
              </w:rPr>
              <w:t xml:space="preserve"/>
            </w:r>
          </w:p>
        </w:tc>
        <w:tc>
          <w:tcPr>
            <w:tcW w:type="pct" w:w="549"/>
            <w:shd w:fill="FFFFFF" w:val="clear"/>
            <w:tcMar>
              <w:top w:type="dxa" w:w="50"/>
              <w:left w:type="dxa" w:w="110"/>
              <w:bottom w:type="dxa" w:w="50"/>
              <w:right w:type="dxa" w:w="110"/>
            </w:tcMar>
          </w:tcPr>
          <w:p>
            <w:pPr>
              <w:spacing w:before="54" w:after="54"/>
            </w:pPr>
            <w:r>
              <w:rPr>
                <w:sz w:val="18"/>
                <w:szCs w:val="18"/>
              </w:rPr>
              <w:t xml:space="preserve"/>
            </w:r>
          </w:p>
        </w:tc>
        <w:tc>
          <w:tcPr>
            <w:tcW w:type="pct" w:w="984"/>
            <w:shd w:fill="FFFFFF" w:val="clear"/>
            <w:tcMar>
              <w:top w:type="dxa" w:w="50"/>
              <w:left w:type="dxa" w:w="110"/>
              <w:bottom w:type="dxa" w:w="50"/>
              <w:right w:type="dxa" w:w="110"/>
            </w:tcMar>
          </w:tcPr>
          <w:p>
            <w:pPr>
              <w:spacing w:before="54" w:after="54"/>
            </w:pPr>
            <w:r>
              <w:rPr>
                <w:sz w:val="18"/>
                <w:szCs w:val="18"/>
              </w:rPr>
              <w:t xml:space="preserve"/>
            </w:r>
          </w:p>
        </w:tc>
        <w:tc>
          <w:tcPr>
            <w:tcW w:type="pct" w:w="582"/>
            <w:shd w:fill="FFFFFF" w:val="clear"/>
            <w:tcMar>
              <w:top w:type="dxa" w:w="50"/>
              <w:left w:type="dxa" w:w="110"/>
              <w:bottom w:type="dxa" w:w="50"/>
              <w:right w:type="dxa" w:w="110"/>
            </w:tcMar>
          </w:tcPr>
          <w:p>
            <w:pPr>
              <w:spacing w:before="54" w:after="54"/>
            </w:pPr>
            <w:r>
              <w:rPr>
                <w:sz w:val="18"/>
                <w:szCs w:val="18"/>
              </w:rPr>
              <w:t xml:space="preserve"/>
            </w:r>
          </w:p>
        </w:tc>
      </w:tr>
      <w:tr>
        <w:tc>
          <w:tcPr>
            <w:tcW w:type="pct" w:w="1934"/>
            <w:tcMar>
              <w:top w:type="dxa" w:w="50"/>
              <w:left w:type="dxa" w:w="110"/>
              <w:bottom w:type="dxa" w:w="50"/>
              <w:right w:type="dxa" w:w="110"/>
            </w:tcMar>
          </w:tcPr>
          <w:p>
            <w:pPr>
              <w:spacing w:before="32" w:after="32"/>
            </w:pPr>
            <w:r>
              <w:rPr>
                <w:sz w:val="16"/>
                <w:szCs w:val="16"/>
              </w:rPr>
              <w:t xml:space="preserve">Average (weighted / moving)</w:t>
            </w:r>
          </w:p>
        </w:tc>
        <w:tc>
          <w:tcPr>
            <w:tcW w:type="pct" w:w="951"/>
            <w:shd w:fill="FFFFFF" w:val="clear"/>
            <w:tcMar>
              <w:top w:type="dxa" w:w="50"/>
              <w:left w:type="dxa" w:w="110"/>
              <w:bottom w:type="dxa" w:w="50"/>
              <w:right w:type="dxa" w:w="110"/>
            </w:tcMar>
          </w:tcPr>
          <w:p>
            <w:pPr>
              <w:spacing w:before="54" w:after="54"/>
            </w:pPr>
            <w:r>
              <w:rPr>
                <w:sz w:val="18"/>
                <w:szCs w:val="18"/>
              </w:rPr>
              <w:t xml:space="preserve"/>
            </w:r>
          </w:p>
        </w:tc>
        <w:tc>
          <w:tcPr>
            <w:tcW w:type="pct" w:w="549"/>
            <w:shd w:fill="FFFFFF" w:val="clear"/>
            <w:tcMar>
              <w:top w:type="dxa" w:w="50"/>
              <w:left w:type="dxa" w:w="110"/>
              <w:bottom w:type="dxa" w:w="50"/>
              <w:right w:type="dxa" w:w="110"/>
            </w:tcMar>
          </w:tcPr>
          <w:p>
            <w:pPr>
              <w:spacing w:before="54" w:after="54"/>
            </w:pPr>
            <w:r>
              <w:rPr>
                <w:sz w:val="18"/>
                <w:szCs w:val="18"/>
              </w:rPr>
              <w:t xml:space="preserve"/>
            </w:r>
          </w:p>
        </w:tc>
        <w:tc>
          <w:tcPr>
            <w:tcW w:type="pct" w:w="984"/>
            <w:shd w:fill="FFFFFF" w:val="clear"/>
            <w:tcMar>
              <w:top w:type="dxa" w:w="50"/>
              <w:left w:type="dxa" w:w="110"/>
              <w:bottom w:type="dxa" w:w="50"/>
              <w:right w:type="dxa" w:w="110"/>
            </w:tcMar>
          </w:tcPr>
          <w:p>
            <w:pPr>
              <w:spacing w:before="54" w:after="54"/>
            </w:pPr>
            <w:r>
              <w:rPr>
                <w:sz w:val="18"/>
                <w:szCs w:val="18"/>
              </w:rPr>
              <w:t xml:space="preserve"/>
            </w:r>
          </w:p>
        </w:tc>
        <w:tc>
          <w:tcPr>
            <w:tcW w:type="pct" w:w="582"/>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consignee  ·  periodic inventory system  ·  cost of goods sold  ·  freight-in</w:t>
            </w:r>
          </w:p>
          <w:p>
            <w:pPr>
              <w:spacing w:before="26" w:after="26"/>
              <w:ind w:left="2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FIFO</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LIFO</w:t>
            </w:r>
          </w:p>
        </w:tc>
      </w:tr>
      <w:tr>
        <w:tc>
          <w:tcPr>
            <w:tcW w:type="pct" w:w="2500"/>
            <w:tcMar>
              <w:top w:type="dxa" w:w="50"/>
              <w:left w:type="dxa" w:w="110"/>
              <w:bottom w:type="dxa" w:w="50"/>
              <w:right w:type="dxa" w:w="110"/>
            </w:tcMar>
          </w:tcPr>
          <w:p>
            <w:pPr>
              <w:spacing w:before="26" w:after="26"/>
            </w:pPr>
            <w:r>
              <w:rPr>
                <w:sz w:val="16"/>
                <w:szCs w:val="16"/>
              </w:rPr>
              <w:t xml:space="preserve">Periodic: ending inventory: 100,000</w:t>
            </w:r>
          </w:p>
        </w:tc>
        <w:tc>
          <w:tcPr>
            <w:tcW w:type="pct" w:w="2500"/>
            <w:tcMar>
              <w:top w:type="dxa" w:w="50"/>
              <w:left w:type="dxa" w:w="110"/>
              <w:bottom w:type="dxa" w:w="50"/>
              <w:right w:type="dxa" w:w="110"/>
            </w:tcMar>
          </w:tcPr>
          <w:p>
            <w:pPr>
              <w:spacing w:before="26" w:after="26"/>
            </w:pPr>
            <w:r>
              <w:rPr>
                <w:sz w:val="16"/>
                <w:szCs w:val="16"/>
              </w:rPr>
              <w:t xml:space="preserve">Periodic: ending inventory: 84,000</w:t>
            </w:r>
          </w:p>
        </w:tc>
      </w:tr>
      <w:tr>
        <w:tc>
          <w:tcPr>
            <w:tcW w:type="pct" w:w="2500"/>
            <w:tcMar>
              <w:top w:type="dxa" w:w="50"/>
              <w:left w:type="dxa" w:w="110"/>
              <w:bottom w:type="dxa" w:w="50"/>
              <w:right w:type="dxa" w:w="110"/>
            </w:tcMar>
          </w:tcPr>
          <w:p>
            <w:pPr>
              <w:spacing w:before="26" w:after="26"/>
            </w:pPr>
            <w:r>
              <w:rPr>
                <w:sz w:val="16"/>
                <w:szCs w:val="16"/>
              </w:rPr>
              <w:t xml:space="preserve">Periodic: COGS: 272,000</w:t>
            </w:r>
          </w:p>
        </w:tc>
        <w:tc>
          <w:tcPr>
            <w:tcW w:type="pct" w:w="2500"/>
            <w:tcMar>
              <w:top w:type="dxa" w:w="50"/>
              <w:left w:type="dxa" w:w="110"/>
              <w:bottom w:type="dxa" w:w="50"/>
              <w:right w:type="dxa" w:w="110"/>
            </w:tcMar>
          </w:tcPr>
          <w:p>
            <w:pPr>
              <w:spacing w:before="26" w:after="26"/>
            </w:pPr>
            <w:r>
              <w:rPr>
                <w:sz w:val="16"/>
                <w:szCs w:val="16"/>
              </w:rPr>
              <w:t xml:space="preserve">Periodic: COGS: 288,000</w:t>
            </w:r>
          </w:p>
        </w:tc>
      </w:tr>
      <w:tr>
        <w:tc>
          <w:tcPr>
            <w:tcW w:type="pct" w:w="2500"/>
            <w:tcMar>
              <w:top w:type="dxa" w:w="50"/>
              <w:left w:type="dxa" w:w="110"/>
              <w:bottom w:type="dxa" w:w="50"/>
              <w:right w:type="dxa" w:w="110"/>
            </w:tcMar>
          </w:tcPr>
          <w:p>
            <w:pPr>
              <w:spacing w:before="26" w:after="26"/>
            </w:pPr>
            <w:r>
              <w:rPr>
                <w:sz w:val="16"/>
                <w:szCs w:val="16"/>
              </w:rPr>
              <w:t xml:space="preserve">Perpetual: ending inventory: 100,000</w:t>
            </w:r>
          </w:p>
        </w:tc>
        <w:tc>
          <w:tcPr>
            <w:tcW w:type="pct" w:w="2500"/>
            <w:tcMar>
              <w:top w:type="dxa" w:w="50"/>
              <w:left w:type="dxa" w:w="110"/>
              <w:bottom w:type="dxa" w:w="50"/>
              <w:right w:type="dxa" w:w="110"/>
            </w:tcMar>
          </w:tcPr>
          <w:p>
            <w:pPr>
              <w:spacing w:before="26" w:after="26"/>
            </w:pPr>
            <w:r>
              <w:rPr>
                <w:sz w:val="16"/>
                <w:szCs w:val="16"/>
              </w:rPr>
              <w:t xml:space="preserve">Perpetual: ending inventory: 93,000</w:t>
            </w:r>
          </w:p>
        </w:tc>
      </w:tr>
    </w:tbl>
    <w:p>
      <w:pPr>
        <w:spacing w:before="36" w:after="16"/>
      </w:pPr>
      <w:r>
        <w:rPr>
          <w:sz w:val="18"/>
          <w:szCs w:val="18"/>
        </w:rPr>
        <w:t xml:space="preserve">Only the facts above differ. What is the perpetual: cogs of FIFO?</w:t>
      </w:r>
    </w:p>
    <w:p>
      <w:pPr>
        <w:spacing w:before="40" w:after="16"/>
        <w:ind w:left="300" w:hanging="300"/>
      </w:pPr>
      <w:r>
        <w:rPr>
          <w:b/>
          <w:bCs/>
          <w:color w:val="353A7C"/>
          <w:sz w:val="19"/>
          <w:szCs w:val="19"/>
        </w:rPr>
        <w:t xml:space="preserve">9.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274,367</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279,000</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In the Orontes olive-oil example, what is FIFO cost of goods sold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288,000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11.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9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0933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27"/>
        <w:gridCol w:w="4992"/>
        <w:gridCol w:w="1275"/>
        <w:gridCol w:w="140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1003"/>
            <w:tcMar>
              <w:top w:type="dxa" w:w="50"/>
              <w:left w:type="dxa" w:w="110"/>
              <w:bottom w:type="dxa" w:w="50"/>
              <w:right w:type="dxa" w:w="110"/>
            </w:tcMar>
          </w:tcPr>
          <w:p>
            <w:pPr>
              <w:spacing w:before="26" w:after="26"/>
            </w:pPr>
            <w:r>
              <w:rPr>
                <w:b/>
                <w:bCs/>
                <w:color w:val="353A7C"/>
                <w:sz w:val="15"/>
                <w:szCs w:val="15"/>
              </w:rPr>
              <w:t xml:space="preserve">Method</w:t>
            </w:r>
          </w:p>
        </w:tc>
        <w:tc>
          <w:tcPr>
            <w:tcW w:type="pct" w:w="2600"/>
            <w:tcMar>
              <w:top w:type="dxa" w:w="50"/>
              <w:left w:type="dxa" w:w="110"/>
              <w:bottom w:type="dxa" w:w="50"/>
              <w:right w:type="dxa" w:w="110"/>
            </w:tcMar>
          </w:tcPr>
          <w:p>
            <w:pPr>
              <w:spacing w:before="26" w:after="26"/>
            </w:pPr>
            <w:r>
              <w:rPr>
                <w:b/>
                <w:bCs/>
                <w:color w:val="353A7C"/>
                <w:sz w:val="15"/>
                <w:szCs w:val="15"/>
              </w:rPr>
              <w:t xml:space="preserve">Ending inventory (cases left)</w:t>
            </w:r>
          </w:p>
        </w:tc>
        <w:tc>
          <w:tcPr>
            <w:tcW w:type="pct" w:w="664"/>
            <w:tcMar>
              <w:top w:type="dxa" w:w="50"/>
              <w:left w:type="dxa" w:w="110"/>
              <w:bottom w:type="dxa" w:w="50"/>
              <w:right w:type="dxa" w:w="110"/>
            </w:tcMar>
          </w:tcPr>
          <w:p>
            <w:pPr>
              <w:spacing w:before="26" w:after="26"/>
            </w:pPr>
            <w:r>
              <w:rPr>
                <w:b/>
                <w:bCs/>
                <w:color w:val="353A7C"/>
                <w:sz w:val="15"/>
                <w:szCs w:val="15"/>
              </w:rPr>
              <w:t xml:space="preserve">Ending inventory</w:t>
            </w:r>
          </w:p>
        </w:tc>
        <w:tc>
          <w:tcPr>
            <w:tcW w:type="pct" w:w="732"/>
            <w:tcMar>
              <w:top w:type="dxa" w:w="50"/>
              <w:left w:type="dxa" w:w="110"/>
              <w:bottom w:type="dxa" w:w="50"/>
              <w:right w:type="dxa" w:w="110"/>
            </w:tcMar>
          </w:tcPr>
          <w:p>
            <w:pPr>
              <w:spacing w:before="26" w:after="26"/>
            </w:pPr>
            <w:r>
              <w:rPr>
                <w:b/>
                <w:bCs/>
                <w:color w:val="353A7C"/>
                <w:sz w:val="15"/>
                <w:szCs w:val="15"/>
              </w:rPr>
              <w:t xml:space="preserve">Cost of goods sold</w:t>
            </w:r>
          </w:p>
        </w:tc>
      </w:tr>
      <w:tr>
        <w:tc>
          <w:tcPr>
            <w:tcW w:type="pct" w:w="1003"/>
            <w:tcMar>
              <w:top w:type="dxa" w:w="50"/>
              <w:left w:type="dxa" w:w="110"/>
              <w:bottom w:type="dxa" w:w="50"/>
              <w:right w:type="dxa" w:w="110"/>
            </w:tcMar>
          </w:tcPr>
          <w:p>
            <w:pPr>
              <w:spacing w:before="26" w:after="26"/>
            </w:pPr>
            <w:r>
              <w:rPr>
                <w:color w:val="232733"/>
                <w:sz w:val="16"/>
                <w:szCs w:val="16"/>
              </w:rPr>
              <w:t xml:space="preserve">FIFO</w:t>
            </w:r>
          </w:p>
        </w:tc>
        <w:tc>
          <w:tcPr>
            <w:tcW w:type="pct" w:w="2600"/>
            <w:tcMar>
              <w:top w:type="dxa" w:w="50"/>
              <w:left w:type="dxa" w:w="110"/>
              <w:bottom w:type="dxa" w:w="50"/>
              <w:right w:type="dxa" w:w="110"/>
            </w:tcMar>
          </w:tcPr>
          <w:p>
            <w:pPr>
              <w:spacing w:before="26" w:after="26"/>
            </w:pPr>
            <w:r>
              <w:rPr>
                <w:color w:val="232733"/>
                <w:sz w:val="16"/>
                <w:szCs w:val="16"/>
              </w:rPr>
              <w:t xml:space="preserve">the newest costs: 2,000 × $50</w:t>
            </w:r>
          </w:p>
        </w:tc>
        <w:tc>
          <w:tcPr>
            <w:tcW w:type="pct" w:w="664"/>
            <w:tcMar>
              <w:top w:type="dxa" w:w="50"/>
              <w:left w:type="dxa" w:w="110"/>
              <w:bottom w:type="dxa" w:w="50"/>
              <w:right w:type="dxa" w:w="110"/>
            </w:tcMar>
          </w:tcPr>
          <w:p>
            <w:pPr>
              <w:spacing w:before="26" w:after="26"/>
            </w:pPr>
            <w:r>
              <w:rPr>
                <w:color w:val="232733"/>
                <w:sz w:val="16"/>
                <w:szCs w:val="16"/>
              </w:rPr>
              <w:t xml:space="preserve">100,000</w:t>
            </w:r>
          </w:p>
        </w:tc>
        <w:tc>
          <w:tcPr>
            <w:tcW w:type="pct" w:w="732"/>
            <w:tcMar>
              <w:top w:type="dxa" w:w="50"/>
              <w:left w:type="dxa" w:w="110"/>
              <w:bottom w:type="dxa" w:w="50"/>
              <w:right w:type="dxa" w:w="110"/>
            </w:tcMar>
          </w:tcPr>
          <w:p>
            <w:pPr>
              <w:spacing w:before="26" w:after="26"/>
            </w:pPr>
            <w:r>
              <w:rPr>
                <w:color w:val="232733"/>
                <w:sz w:val="16"/>
                <w:szCs w:val="16"/>
              </w:rPr>
              <w:t xml:space="preserve">272,000</w:t>
            </w:r>
          </w:p>
        </w:tc>
      </w:tr>
      <w:tr>
        <w:tc>
          <w:tcPr>
            <w:tcW w:type="pct" w:w="1003"/>
            <w:shd w:fill="FBFAF6" w:val="clear"/>
            <w:tcMar>
              <w:top w:type="dxa" w:w="50"/>
              <w:left w:type="dxa" w:w="110"/>
              <w:bottom w:type="dxa" w:w="50"/>
              <w:right w:type="dxa" w:w="110"/>
            </w:tcMar>
          </w:tcPr>
          <w:p>
            <w:pPr>
              <w:spacing w:before="26" w:after="26"/>
            </w:pPr>
            <w:r>
              <w:rPr>
                <w:color w:val="232733"/>
                <w:sz w:val="16"/>
                <w:szCs w:val="16"/>
              </w:rPr>
              <w:t xml:space="preserve">LIFO</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oldest costs: 1,000 × $40 + 1,000 × $44</w:t>
            </w:r>
          </w:p>
        </w:tc>
        <w:tc>
          <w:tcPr>
            <w:tcW w:type="pct" w:w="664"/>
            <w:shd w:fill="FBFAF6" w:val="clear"/>
            <w:tcMar>
              <w:top w:type="dxa" w:w="50"/>
              <w:left w:type="dxa" w:w="110"/>
              <w:bottom w:type="dxa" w:w="50"/>
              <w:right w:type="dxa" w:w="110"/>
            </w:tcMar>
          </w:tcPr>
          <w:p>
            <w:pPr>
              <w:spacing w:before="26" w:after="26"/>
            </w:pPr>
            <w:r>
              <w:rPr>
                <w:color w:val="232733"/>
                <w:sz w:val="16"/>
                <w:szCs w:val="16"/>
              </w:rPr>
              <w:t xml:space="preserve">84,000</w:t>
            </w:r>
          </w:p>
        </w:tc>
        <w:tc>
          <w:tcPr>
            <w:tcW w:type="pct" w:w="732"/>
            <w:shd w:fill="FBFAF6" w:val="clear"/>
            <w:tcMar>
              <w:top w:type="dxa" w:w="50"/>
              <w:left w:type="dxa" w:w="110"/>
              <w:bottom w:type="dxa" w:w="50"/>
              <w:right w:type="dxa" w:w="110"/>
            </w:tcMar>
          </w:tcPr>
          <w:p>
            <w:pPr>
              <w:spacing w:before="26" w:after="26"/>
            </w:pPr>
            <w:r>
              <w:rPr>
                <w:color w:val="232733"/>
                <w:sz w:val="16"/>
                <w:szCs w:val="16"/>
              </w:rPr>
              <w:t xml:space="preserve">288,000</w:t>
            </w:r>
          </w:p>
        </w:tc>
      </w:tr>
      <w:tr>
        <w:tc>
          <w:tcPr>
            <w:tcW w:type="pct" w:w="1003"/>
            <w:tcMar>
              <w:top w:type="dxa" w:w="50"/>
              <w:left w:type="dxa" w:w="110"/>
              <w:bottom w:type="dxa" w:w="50"/>
              <w:right w:type="dxa" w:w="110"/>
            </w:tcMar>
          </w:tcPr>
          <w:p>
            <w:pPr>
              <w:spacing w:before="26" w:after="26"/>
            </w:pPr>
            <w:r>
              <w:rPr>
                <w:color w:val="232733"/>
                <w:sz w:val="16"/>
                <w:szCs w:val="16"/>
              </w:rPr>
              <w:t xml:space="preserve">Weighted average</w:t>
            </w:r>
          </w:p>
        </w:tc>
        <w:tc>
          <w:tcPr>
            <w:tcW w:type="pct" w:w="2600"/>
            <w:tcMar>
              <w:top w:type="dxa" w:w="50"/>
              <w:left w:type="dxa" w:w="110"/>
              <w:bottom w:type="dxa" w:w="50"/>
              <w:right w:type="dxa" w:w="110"/>
            </w:tcMar>
          </w:tcPr>
          <w:p>
            <w:pPr>
              <w:spacing w:before="26" w:after="26"/>
            </w:pPr>
            <w:r>
              <w:rPr>
                <w:color w:val="232733"/>
                <w:sz w:val="16"/>
                <w:szCs w:val="16"/>
              </w:rPr>
              <w:t xml:space="preserve">2,000 × $46.50 (= 372,000 ÷ 8,000)</w:t>
            </w:r>
          </w:p>
        </w:tc>
        <w:tc>
          <w:tcPr>
            <w:tcW w:type="pct" w:w="664"/>
            <w:tcMar>
              <w:top w:type="dxa" w:w="50"/>
              <w:left w:type="dxa" w:w="110"/>
              <w:bottom w:type="dxa" w:w="50"/>
              <w:right w:type="dxa" w:w="110"/>
            </w:tcMar>
          </w:tcPr>
          <w:p>
            <w:pPr>
              <w:spacing w:before="26" w:after="26"/>
            </w:pPr>
            <w:r>
              <w:rPr>
                <w:color w:val="232733"/>
                <w:sz w:val="16"/>
                <w:szCs w:val="16"/>
              </w:rPr>
              <w:t xml:space="preserve">93,000</w:t>
            </w:r>
          </w:p>
        </w:tc>
        <w:tc>
          <w:tcPr>
            <w:tcW w:type="pct" w:w="732"/>
            <w:tcMar>
              <w:top w:type="dxa" w:w="50"/>
              <w:left w:type="dxa" w:w="110"/>
              <w:bottom w:type="dxa" w:w="50"/>
              <w:right w:type="dxa" w:w="110"/>
            </w:tcMar>
          </w:tcPr>
          <w:p>
            <w:pPr>
              <w:spacing w:before="26" w:after="26"/>
            </w:pPr>
            <w:r>
              <w:rPr>
                <w:color w:val="232733"/>
                <w:sz w:val="16"/>
                <w:szCs w:val="16"/>
              </w:rPr>
              <w:t xml:space="preserve">279,000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600"/>
            <w:tcMar>
              <w:top w:type="dxa" w:w="50"/>
              <w:left w:type="dxa" w:w="110"/>
              <w:bottom w:type="dxa" w:w="50"/>
              <w:right w:type="dxa" w:w="110"/>
            </w:tcMar>
          </w:tcPr>
          <w:p>
            <w:pPr>
              <w:spacing w:before="26" w:after="26"/>
            </w:pPr>
            <w:r>
              <w:rPr>
                <w:color w:val="232733"/>
                <w:sz w:val="16"/>
                <w:szCs w:val="16"/>
              </w:rPr>
              <w:t xml:space="preserve">البضاعة المتاحة للبيع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الجرد المستمر</w:t>
            </w:r>
          </w:p>
        </w:tc>
      </w:tr>
      <w:tr>
        <w:tc>
          <w:tcPr>
            <w:tcW w:type="pct" w:w="2400"/>
            <w:tcMar>
              <w:top w:type="dxa" w:w="50"/>
              <w:left w:type="dxa" w:w="110"/>
              <w:bottom w:type="dxa" w:w="50"/>
              <w:right w:type="dxa" w:w="110"/>
            </w:tcMar>
          </w:tcPr>
          <w:p>
            <w:pPr>
              <w:spacing w:before="26" w:after="26"/>
            </w:pPr>
            <w:r>
              <w:rPr>
                <w:color w:val="232733"/>
                <w:sz w:val="16"/>
                <w:szCs w:val="16"/>
              </w:rPr>
              <w:t xml:space="preserve">FOB destination</w:t>
            </w:r>
          </w:p>
        </w:tc>
        <w:tc>
          <w:tcPr>
            <w:tcW w:type="pct" w:w="2600"/>
            <w:tcMar>
              <w:top w:type="dxa" w:w="50"/>
              <w:left w:type="dxa" w:w="110"/>
              <w:bottom w:type="dxa" w:w="50"/>
              <w:right w:type="dxa" w:w="110"/>
            </w:tcMar>
          </w:tcPr>
          <w:p>
            <w:pPr>
              <w:spacing w:before="26" w:after="26"/>
            </w:pPr>
            <w:r>
              <w:rPr>
                <w:color w:val="232733"/>
                <w:sz w:val="16"/>
                <w:szCs w:val="16"/>
              </w:rPr>
              <w:t xml:space="preserve">التسليم عند نقطة الوصول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المشتريات</w:t>
            </w:r>
          </w:p>
        </w:tc>
      </w:tr>
      <w:tr>
        <w:tc>
          <w:tcPr>
            <w:tcW w:type="pct" w:w="2400"/>
            <w:tcMar>
              <w:top w:type="dxa" w:w="50"/>
              <w:left w:type="dxa" w:w="110"/>
              <w:bottom w:type="dxa" w:w="50"/>
              <w:right w:type="dxa" w:w="110"/>
            </w:tcMar>
          </w:tcPr>
          <w:p>
            <w:pPr>
              <w:spacing w:before="26" w:after="26"/>
            </w:pPr>
            <w:r>
              <w:rPr>
                <w:color w:val="232733"/>
                <w:sz w:val="16"/>
                <w:szCs w:val="16"/>
              </w:rPr>
              <w:t xml:space="preserve">inventoriable cost</w:t>
            </w:r>
          </w:p>
        </w:tc>
        <w:tc>
          <w:tcPr>
            <w:tcW w:type="pct" w:w="2600"/>
            <w:tcMar>
              <w:top w:type="dxa" w:w="50"/>
              <w:left w:type="dxa" w:w="110"/>
              <w:bottom w:type="dxa" w:w="50"/>
              <w:right w:type="dxa" w:w="110"/>
            </w:tcMar>
          </w:tcPr>
          <w:p>
            <w:pPr>
              <w:spacing w:before="26" w:after="26"/>
            </w:pPr>
            <w:r>
              <w:rPr>
                <w:color w:val="232733"/>
                <w:sz w:val="16"/>
                <w:szCs w:val="16"/>
              </w:rPr>
              <w:t xml:space="preserve">تكلفة قابلة للتحميل على 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تصفية طبقات LIFO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مصاريف نقل المشتريات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نظام الجرد المستمر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التسليم عند نقطة الوصول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البضاعة المتاحة للبيع</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تكلفة قابلة للتحميل على المخزون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تصفية طبقات LIFO</w:t>
            </w:r>
          </w:p>
        </w:tc>
      </w:tr>
    </w:tbl>
    <w:p/>
    <w:p>
      <w:pPr>
        <w:spacing w:before="24" w:after="24"/>
        <w:ind w:left="300" w:hanging="300"/>
      </w:pPr>
      <w:r>
        <w:rPr>
          <w:b/>
          <w:bCs/>
          <w:color w:val="353A7C"/>
          <w:sz w:val="18"/>
          <w:szCs w:val="18"/>
        </w:rPr>
        <w:t xml:space="preserve">13.  </w:t>
      </w:r>
      <w:r>
        <w:rPr>
          <w:sz w:val="18"/>
          <w:szCs w:val="18"/>
        </w:rPr>
        <w:t xml:space="preserve">perpetual inventory system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goods available for sale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FOB destination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inventoriable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LIFO liquidation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freight-in</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19.  </w:t>
      </w:r>
      <w:r>
        <w:rPr>
          <w:sz w:val="19"/>
          <w:szCs w:val="19"/>
        </w:rPr>
        <w:t xml:space="preserve">Which method does the book pair with “the newest costs: 2,000 × $50”?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Weighted average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LIFO</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English term does the exam use for “البضاعة المتاحة للبيع”?</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LIFO liquidation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goods available for sale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perpetual inventory system</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inventoriable cost</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6215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goods available for sale  ·  perpetual inventory system  ·  FOB destination  ·  freight-in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7.4</w:t>
      </w:r>
    </w:p>
    <w:p>
      <w:pPr>
        <w:spacing w:after="8"/>
      </w:pPr>
      <w:r>
        <w:rPr>
          <w:color w:val="23265A"/>
          <w:sz w:val="22"/>
          <w:szCs w:val="22"/>
        </w:rPr>
        <w:t xml:space="preserve">Effects on income, taxes and assets</w:t>
      </w:r>
    </w:p>
    <w:p>
      <w:pPr>
        <w:spacing w:after="130"/>
      </w:pPr>
      <w:r>
        <w:rPr>
          <w:color w:val="6B7280"/>
          <w:sz w:val="20"/>
          <w:szCs w:val="20"/>
        </w:rPr>
        <w:t xml:space="preserve">section 7.4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3"/>
        <w:gridCol w:w="2774"/>
        <w:gridCol w:w="447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3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26"/>
            <w:tcMar>
              <w:top w:type="dxa" w:w="50"/>
              <w:left w:type="dxa" w:w="110"/>
              <w:bottom w:type="dxa" w:w="50"/>
              <w:right w:type="dxa" w:w="110"/>
            </w:tcMar>
          </w:tcPr>
          <w:p>
            <w:pPr>
              <w:spacing w:before="26" w:after="26"/>
            </w:pPr>
            <w:r>
              <w:rPr>
                <w:color w:val="232733"/>
                <w:sz w:val="16"/>
                <w:szCs w:val="16"/>
              </w:rPr>
              <w:t xml:space="preserve">Effects on income, taxes and assets</w:t>
            </w:r>
          </w:p>
        </w:tc>
        <w:tc>
          <w:tcPr>
            <w:tcW w:type="pct" w:w="1445"/>
            <w:tcMar>
              <w:top w:type="dxa" w:w="50"/>
              <w:left w:type="dxa" w:w="110"/>
              <w:bottom w:type="dxa" w:w="50"/>
              <w:right w:type="dxa" w:w="110"/>
            </w:tcMar>
          </w:tcPr>
          <w:p>
            <w:pPr>
              <w:spacing w:before="26" w:after="26"/>
            </w:pPr>
            <w:r>
              <w:rPr>
                <w:color w:val="232733"/>
                <w:sz w:val="16"/>
                <w:szCs w:val="16"/>
              </w:rPr>
              <w:t xml:space="preserve">a figure to read</w:t>
            </w:r>
          </w:p>
        </w:tc>
        <w:tc>
          <w:tcPr>
            <w:tcW w:type="pct" w:w="233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22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3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reserve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consignment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freight-in   ·   cost of goods sold   ·   physical count   ·   gross profit   ·   inventory</w:t>
      </w:r>
    </w:p>
    <w:p>
      <w:pPr>
        <w:spacing w:before="36" w:after="36"/>
        <w:ind w:left="300"/>
      </w:pPr>
      <w:r>
        <w:rPr>
          <w:sz w:val="19"/>
          <w:szCs w:val="19"/>
        </w:rPr>
        <w:t xml:space="preserve">When prices are rising, the methods give very different results. FIFO puts the old, cheaper costs into </w:t>
      </w:r>
      <w:r>
        <w:rPr>
          <w:u w:val="single"/>
          <w:sz w:val="19"/>
          <w:szCs w:val="19"/>
        </w:rPr>
        <w:t xml:space="preserve">                    </w:t>
      </w:r>
      <w:r>
        <w:rPr>
          <w:sz w:val="19"/>
          <w:szCs w:val="19"/>
        </w:rPr>
        <w:t xml:space="preserve">. So FIFO gives the lowest cost of goods sold, the highest </w:t>
      </w:r>
      <w:r>
        <w:rPr>
          <w:u w:val="single"/>
          <w:sz w:val="19"/>
          <w:szCs w:val="19"/>
        </w:rPr>
        <w:t xml:space="preserve">              </w:t>
      </w:r>
      <w:r>
        <w:rPr>
          <w:sz w:val="19"/>
          <w:szCs w:val="19"/>
        </w:rPr>
        <w:t xml:space="preserve">, the highest income tax and the highest ending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physical count   ·   cost of goods sold   ·   LIFO reserve   ·   freight-in   ·   inventory</w:t>
      </w:r>
    </w:p>
    <w:p>
      <w:pPr>
        <w:spacing w:before="36" w:after="36"/>
        <w:ind w:left="300"/>
      </w:pPr>
      <w:r>
        <w:rPr>
          <w:sz w:val="19"/>
          <w:szCs w:val="19"/>
        </w:rPr>
        <w:t xml:space="preserve">An analyst can convert LIFO results to FIFO with two relationships. FIFO </w:t>
      </w:r>
      <w:r>
        <w:rPr>
          <w:u w:val="single"/>
          <w:sz w:val="19"/>
          <w:szCs w:val="19"/>
        </w:rPr>
        <w:t xml:space="preserve">           </w:t>
      </w:r>
      <w:r>
        <w:rPr>
          <w:sz w:val="19"/>
          <w:szCs w:val="19"/>
        </w:rPr>
        <w:t xml:space="preserve"> equals LIFO inventory plus the </w:t>
      </w:r>
      <w:r>
        <w:rPr>
          <w:u w:val="single"/>
          <w:sz w:val="19"/>
          <w:szCs w:val="19"/>
        </w:rPr>
        <w:t xml:space="preserve">              </w:t>
      </w:r>
      <w:r>
        <w:rPr>
          <w:sz w:val="19"/>
          <w:szCs w:val="19"/>
        </w:rPr>
        <w:t xml:space="preserve">. FIFO </w:t>
      </w:r>
      <w:r>
        <w:rPr>
          <w:u w:val="single"/>
          <w:sz w:val="19"/>
          <w:szCs w:val="19"/>
        </w:rPr>
        <w:t xml:space="preserve">                    </w:t>
      </w:r>
      <w:r>
        <w:rPr>
          <w:sz w:val="19"/>
          <w:szCs w:val="19"/>
        </w:rPr>
        <w:t xml:space="preserve"> equals LIFO cost of goods sold minus the increase in the LIFO reserve during the year.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LIFO liquidation   ·   freight-in   ·   cost of goods sold   ·   LIFO reserve   ·   physical count</w:t>
      </w:r>
    </w:p>
    <w:p>
      <w:pPr>
        <w:spacing w:before="36" w:after="36"/>
        <w:ind w:left="300"/>
      </w:pPr>
      <w:r>
        <w:rPr>
          <w:sz w:val="19"/>
          <w:szCs w:val="19"/>
        </w:rPr>
        <w:t xml:space="preserve">To get FIFO </w:t>
      </w:r>
      <w:r>
        <w:rPr>
          <w:u w:val="single"/>
          <w:sz w:val="19"/>
          <w:szCs w:val="19"/>
        </w:rPr>
        <w:t xml:space="preserve">                    </w:t>
      </w:r>
      <w:r>
        <w:rPr>
          <w:sz w:val="19"/>
          <w:szCs w:val="19"/>
        </w:rPr>
        <w:t xml:space="preserve">, SUBTRACT the increase in the </w:t>
      </w:r>
      <w:r>
        <w:rPr>
          <w:u w:val="single"/>
          <w:sz w:val="19"/>
          <w:szCs w:val="19"/>
        </w:rPr>
        <w:t xml:space="preserve">              </w:t>
      </w:r>
      <w:r>
        <w:rPr>
          <w:sz w:val="19"/>
          <w:szCs w:val="19"/>
        </w:rPr>
        <w:t xml:space="preserve"> from LIFO cost of goods sold. In rising prices, LIFO gives LOWER income and LOWER taxes, not higher. A </w:t>
      </w:r>
      <w:r>
        <w:rPr>
          <w:u w:val="single"/>
          <w:sz w:val="19"/>
          <w:szCs w:val="19"/>
        </w:rPr>
        <w:t xml:space="preserve">                  </w:t>
      </w:r>
      <w:r>
        <w:rPr>
          <w:sz w:val="19"/>
          <w:szCs w:val="19"/>
        </w:rPr>
        <w:t xml:space="preserve"> raises income once. Do not treat it as a better business.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Effects on income, taxes and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010375"/>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7.1?</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Effects on income, taxes and assets</w:t>
      </w:r>
    </w:p>
    <w:p>
      <w:pPr>
        <w:spacing w:after="18"/>
        <w:ind w:left="560" w:hanging="260"/>
      </w:pPr>
      <w:r>
        <w:rPr>
          <w:b/>
          <w:bCs/>
          <w:color w:val="8186EF"/>
          <w:sz w:val="18"/>
          <w:szCs w:val="18"/>
        </w:rPr>
        <w:t xml:space="preserve">D. </w:t>
      </w:r>
      <w:r>
        <w:rPr>
          <w:sz w:val="18"/>
          <w:szCs w:val="18"/>
        </w:rPr>
        <w:t xml:space="preserve">Which costs belong in inventory?</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6.  </w:t>
      </w:r>
      <w:r>
        <w:rPr>
          <w:sz w:val="19"/>
          <w:szCs w:val="19"/>
        </w:rPr>
        <w:t xml:space="preserve">Beginning inventory was 100 units at $10. The company bought 200 units at $12 and then 100 units at $15. It sold 250 units. Using periodic LIFO, what is ending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1,600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1,838</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3,300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7.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600"/>
            <w:tcMar>
              <w:top w:type="dxa" w:w="50"/>
              <w:left w:type="dxa" w:w="110"/>
              <w:bottom w:type="dxa" w:w="50"/>
              <w:right w:type="dxa" w:w="110"/>
            </w:tcMar>
          </w:tcPr>
          <w:p>
            <w:pPr>
              <w:spacing w:before="26" w:after="26"/>
            </w:pPr>
            <w:r>
              <w:rPr>
                <w:color w:val="232733"/>
                <w:sz w:val="16"/>
                <w:szCs w:val="16"/>
              </w:rPr>
              <w:t xml:space="preserve">الوارد أولاً يُصرف أولاً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reserve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احتياطي LIFO (فرق تقويم LIFO)</w:t>
            </w:r>
          </w:p>
        </w:tc>
      </w:tr>
      <w:tr>
        <w:tc>
          <w:tcPr>
            <w:tcW w:type="pct" w:w="2400"/>
            <w:tcMar>
              <w:top w:type="dxa" w:w="50"/>
              <w:left w:type="dxa" w:w="110"/>
              <w:bottom w:type="dxa" w:w="50"/>
              <w:right w:type="dxa" w:w="110"/>
            </w:tcMar>
          </w:tcPr>
          <w:p>
            <w:pPr>
              <w:spacing w:before="26" w:after="26"/>
            </w:pPr>
            <w:r>
              <w:rPr>
                <w:color w:val="232733"/>
                <w:sz w:val="16"/>
                <w:szCs w:val="16"/>
              </w:rPr>
              <w:t xml:space="preserve">consignment</w:t>
            </w:r>
          </w:p>
        </w:tc>
        <w:tc>
          <w:tcPr>
            <w:tcW w:type="pct" w:w="2600"/>
            <w:tcMar>
              <w:top w:type="dxa" w:w="50"/>
              <w:left w:type="dxa" w:w="110"/>
              <w:bottom w:type="dxa" w:w="50"/>
              <w:right w:type="dxa" w:w="110"/>
            </w:tcMar>
          </w:tcPr>
          <w:p>
            <w:pPr>
              <w:spacing w:before="26" w:after="26"/>
            </w:pPr>
            <w:r>
              <w:rPr>
                <w:color w:val="232733"/>
                <w:sz w:val="16"/>
                <w:szCs w:val="16"/>
              </w:rPr>
              <w:t xml:space="preserve">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المبيعات</w:t>
            </w:r>
          </w:p>
        </w:tc>
      </w:tr>
      <w:tr>
        <w:tc>
          <w:tcPr>
            <w:tcW w:type="pct" w:w="2400"/>
            <w:tcMar>
              <w:top w:type="dxa" w:w="50"/>
              <w:left w:type="dxa" w:w="110"/>
              <w:bottom w:type="dxa" w:w="50"/>
              <w:right w:type="dxa" w:w="110"/>
            </w:tcMar>
          </w:tcPr>
          <w:p>
            <w:pPr>
              <w:spacing w:before="26" w:after="26"/>
            </w:pPr>
            <w:r>
              <w:rPr>
                <w:color w:val="232733"/>
                <w:sz w:val="16"/>
                <w:szCs w:val="16"/>
              </w:rPr>
              <w:t xml:space="preserve">period cost</w:t>
            </w:r>
          </w:p>
        </w:tc>
        <w:tc>
          <w:tcPr>
            <w:tcW w:type="pct" w:w="2600"/>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قاعدة التوافق الضريبي لطريقة LIFO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احتياطي LIFO (فرق تقويم LIFO)</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قاعدة التوافق الضريبي لطريقة LIFO</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الوارد أولاً يُصرف أولاً</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تكلفة الفترة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البضاعة بالأمانة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مصاريف نقل المبيعات</w:t>
            </w:r>
          </w:p>
        </w:tc>
      </w:tr>
    </w:tbl>
    <w:p/>
    <w:p>
      <w:pPr>
        <w:spacing w:before="24" w:after="24"/>
        <w:ind w:left="300" w:hanging="300"/>
      </w:pPr>
      <w:r>
        <w:rPr>
          <w:b/>
          <w:bCs/>
          <w:color w:val="353A7C"/>
          <w:sz w:val="18"/>
          <w:szCs w:val="18"/>
        </w:rPr>
        <w:t xml:space="preserve">9.  </w:t>
      </w:r>
      <w:r>
        <w:rPr>
          <w:sz w:val="18"/>
          <w:szCs w:val="18"/>
        </w:rPr>
        <w:t xml:space="preserve">FIFO (first-in, first-out)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freight-out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LIFO reserve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period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LIFO conformity rule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consignment</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English term does the exam use for “الوارد أولاً يُصرف أولاً”?</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FIFO (first-in, first-out)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LIFO reserve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consignment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LIFO conformity rule</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0179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FIFO (first-in, first-out)  ·  LIFO reserve  ·  consignment  ·  freight-out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7.5</w:t>
      </w:r>
    </w:p>
    <w:p>
      <w:pPr>
        <w:spacing w:after="8"/>
      </w:pPr>
      <w:r>
        <w:rPr>
          <w:color w:val="23265A"/>
          <w:sz w:val="22"/>
          <w:szCs w:val="22"/>
        </w:rPr>
        <w:t xml:space="preserve">Inventory errors</w:t>
      </w:r>
    </w:p>
    <w:p>
      <w:pPr>
        <w:spacing w:after="130"/>
      </w:pPr>
      <w:r>
        <w:rPr>
          <w:color w:val="6B7280"/>
          <w:sz w:val="20"/>
          <w:szCs w:val="20"/>
        </w:rPr>
        <w:t xml:space="preserve">section 7.5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64"/>
        <w:gridCol w:w="3851"/>
        <w:gridCol w:w="38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7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0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2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71"/>
            <w:tcMar>
              <w:top w:type="dxa" w:w="50"/>
              <w:left w:type="dxa" w:w="110"/>
              <w:bottom w:type="dxa" w:w="50"/>
              <w:right w:type="dxa" w:w="110"/>
            </w:tcMar>
          </w:tcPr>
          <w:p>
            <w:pPr>
              <w:spacing w:before="26" w:after="26"/>
            </w:pPr>
            <w:r>
              <w:rPr>
                <w:color w:val="232733"/>
                <w:sz w:val="16"/>
                <w:szCs w:val="16"/>
              </w:rPr>
              <w:t xml:space="preserve">Inventory errors</w:t>
            </w:r>
          </w:p>
        </w:tc>
        <w:tc>
          <w:tcPr>
            <w:tcW w:type="pct" w:w="2006"/>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024"/>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97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06"/>
            <w:shd w:fill="FBFAF6" w:val="clear"/>
            <w:tcMar>
              <w:top w:type="dxa" w:w="50"/>
              <w:left w:type="dxa" w:w="110"/>
              <w:bottom w:type="dxa" w:w="50"/>
              <w:right w:type="dxa" w:w="110"/>
            </w:tcMar>
          </w:tcPr>
          <w:p>
            <w:pPr>
              <w:spacing w:before="26" w:after="26"/>
            </w:pPr>
            <w:r>
              <w:rPr>
                <w:color w:val="232733"/>
                <w:sz w:val="16"/>
                <w:szCs w:val="16"/>
              </w:rPr>
              <w:t xml:space="preserve">a figure to read · Memo item · The English the exam uses, and what it translates</w:t>
            </w:r>
          </w:p>
        </w:tc>
        <w:tc>
          <w:tcPr>
            <w:tcW w:type="pct" w:w="202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consignor</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 discount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purchase discount   ·   inventory   ·   gross profit</w:t>
      </w:r>
    </w:p>
    <w:p>
      <w:pPr>
        <w:spacing w:before="36" w:after="36"/>
        <w:ind w:left="300"/>
      </w:pPr>
      <w:r>
        <w:rPr>
          <w:sz w:val="19"/>
          <w:szCs w:val="19"/>
        </w:rPr>
        <w:t xml:space="preserve">If ending </w:t>
      </w:r>
      <w:r>
        <w:rPr>
          <w:u w:val="single"/>
          <w:sz w:val="19"/>
          <w:szCs w:val="19"/>
        </w:rPr>
        <w:t xml:space="preserve">           </w:t>
      </w:r>
      <w:r>
        <w:rPr>
          <w:sz w:val="19"/>
          <w:szCs w:val="19"/>
        </w:rPr>
        <w:t xml:space="preserve"> is wrong, </w:t>
      </w:r>
      <w:r>
        <w:rPr>
          <w:u w:val="single"/>
          <w:sz w:val="19"/>
          <w:szCs w:val="19"/>
        </w:rPr>
        <w:t xml:space="preserve">                    </w:t>
      </w:r>
      <w:r>
        <w:rPr>
          <w:sz w:val="19"/>
          <w:szCs w:val="19"/>
        </w:rPr>
        <w:t xml:space="preserve"> is wrong in the same year. And because this year's ending inventory is next year's beginning inventory, the error moves into the next year too. At the end of 2025, Orontes counted some goods twice, so ending inventory was overstated by 40 (USD 000).</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purchase discount   ·   inventory   ·   gross profit   ·   cost of goods sold</w:t>
      </w:r>
    </w:p>
    <w:p>
      <w:pPr>
        <w:spacing w:before="36" w:after="36"/>
        <w:ind w:left="300"/>
      </w:pPr>
      <w:r>
        <w:rPr>
          <w:sz w:val="19"/>
          <w:szCs w:val="19"/>
        </w:rPr>
        <w:t xml:space="preserve">Errors in purchases work in a similar way. Row 3 is a classic exam item: when a purchase is left out of both purchases and the count, </w:t>
      </w:r>
      <w:r>
        <w:rPr>
          <w:u w:val="single"/>
          <w:sz w:val="19"/>
          <w:szCs w:val="19"/>
        </w:rPr>
        <w:t xml:space="preserve">                    </w:t>
      </w:r>
      <w:r>
        <w:rPr>
          <w:sz w:val="19"/>
          <w:szCs w:val="19"/>
        </w:rPr>
        <w:t xml:space="preserve"> and income are still correct, but </w:t>
      </w:r>
      <w:r>
        <w:rPr>
          <w:u w:val="single"/>
          <w:sz w:val="19"/>
          <w:szCs w:val="19"/>
        </w:rPr>
        <w:t xml:space="preserve">           </w:t>
      </w:r>
      <w:r>
        <w:rPr>
          <w:sz w:val="19"/>
          <w:szCs w:val="19"/>
        </w:rPr>
        <w:t xml:space="preserve"> and accounts payable are both understated.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inventory   ·   purchase discount   ·   overstated   ·   gross profit   ·   direction</w:t>
      </w:r>
    </w:p>
    <w:p>
      <w:pPr>
        <w:spacing w:before="36" w:after="36"/>
        <w:ind w:left="300"/>
      </w:pPr>
      <w:r>
        <w:rPr>
          <w:sz w:val="19"/>
          <w:szCs w:val="19"/>
        </w:rPr>
        <w:t xml:space="preserve">The prefix tells you the </w:t>
      </w:r>
      <w:r>
        <w:rPr>
          <w:u w:val="single"/>
          <w:sz w:val="19"/>
          <w:szCs w:val="19"/>
        </w:rPr>
        <w:t xml:space="preserve">           </w:t>
      </w:r>
      <w:r>
        <w:rPr>
          <w:sz w:val="19"/>
          <w:szCs w:val="19"/>
        </w:rPr>
        <w:t xml:space="preserve">. Net income is </w:t>
      </w:r>
      <w:r>
        <w:rPr>
          <w:u w:val="single"/>
          <w:sz w:val="19"/>
          <w:szCs w:val="19"/>
        </w:rPr>
        <w:t xml:space="preserve">            </w:t>
      </w:r>
      <w:r>
        <w:rPr>
          <w:sz w:val="19"/>
          <w:szCs w:val="19"/>
        </w:rPr>
        <w:t xml:space="preserve"> by 40 (the size of the error), not overstated to 940. In a question, find the direction for the first year, then reverse it for the second year. A. Net income is overstated; </w:t>
      </w:r>
      <w:r>
        <w:rPr>
          <w:u w:val="single"/>
          <w:sz w:val="19"/>
          <w:szCs w:val="19"/>
        </w:rPr>
        <w:t xml:space="preserve">           </w:t>
      </w:r>
      <w:r>
        <w:rPr>
          <w:sz w:val="19"/>
          <w:szCs w:val="19"/>
        </w:rPr>
        <w:t xml:space="preserve"> is correct.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Inventory errors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5687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COGS, line 2: 1,200 × $22</w:t>
            </w:r>
          </w:p>
        </w:tc>
        <w:tc>
          <w:tcPr>
            <w:tcW w:type="pct" w:w="2600"/>
            <w:tcMar>
              <w:top w:type="dxa" w:w="50"/>
              <w:left w:type="dxa" w:w="110"/>
              <w:bottom w:type="dxa" w:w="50"/>
              <w:right w:type="dxa" w:w="110"/>
            </w:tcMar>
          </w:tcPr>
          <w:p>
            <w:pPr>
              <w:spacing w:before="26" w:after="26"/>
            </w:pPr>
            <w:r>
              <w:rPr>
                <w:color w:val="232733"/>
                <w:sz w:val="16"/>
                <w:szCs w:val="16"/>
              </w:rPr>
              <w:t xml:space="preserve">$26,400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Ending inventory, line 1: 300 × $22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$6,600</w:t>
            </w:r>
          </w:p>
        </w:tc>
      </w:tr>
      <w:tr>
        <w:tc>
          <w:tcPr>
            <w:tcW w:type="pct" w:w="2400"/>
            <w:tcMar>
              <w:top w:type="dxa" w:w="50"/>
              <w:left w:type="dxa" w:w="110"/>
              <w:bottom w:type="dxa" w:w="50"/>
              <w:right w:type="dxa" w:w="110"/>
            </w:tcMar>
          </w:tcPr>
          <w:p>
            <w:pPr>
              <w:spacing w:before="26" w:after="26"/>
            </w:pPr>
            <w:r>
              <w:rPr>
                <w:color w:val="232733"/>
                <w:sz w:val="16"/>
                <w:szCs w:val="16"/>
              </w:rPr>
              <w:t xml:space="preserve">Ending inventory, line 2: 500 × $20</w:t>
            </w:r>
          </w:p>
        </w:tc>
        <w:tc>
          <w:tcPr>
            <w:tcW w:type="pct" w:w="2600"/>
            <w:tcMar>
              <w:top w:type="dxa" w:w="50"/>
              <w:left w:type="dxa" w:w="110"/>
              <w:bottom w:type="dxa" w:w="50"/>
              <w:right w:type="dxa" w:w="110"/>
            </w:tcMar>
          </w:tcPr>
          <w:p>
            <w:pPr>
              <w:spacing w:before="26" w:after="26"/>
            </w:pPr>
            <w:r>
              <w:rPr>
                <w:color w:val="232733"/>
                <w:sz w:val="16"/>
                <w:szCs w:val="16"/>
              </w:rPr>
              <w:t xml:space="preserve">$10,000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Total COGS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$25,000 + $26,400 = $51,400</w:t>
            </w:r>
          </w:p>
        </w:tc>
      </w:tr>
      <w:tr>
        <w:tc>
          <w:tcPr>
            <w:tcW w:type="pct" w:w="2400"/>
            <w:tcMar>
              <w:top w:type="dxa" w:w="50"/>
              <w:left w:type="dxa" w:w="110"/>
              <w:bottom w:type="dxa" w:w="50"/>
              <w:right w:type="dxa" w:w="110"/>
            </w:tcMar>
          </w:tcPr>
          <w:p>
            <w:pPr>
              <w:spacing w:before="26" w:after="26"/>
            </w:pPr>
            <w:r>
              <w:rPr>
                <w:color w:val="232733"/>
                <w:sz w:val="16"/>
                <w:szCs w:val="16"/>
              </w:rPr>
              <w:t xml:space="preserve">Total ending inventory</w:t>
            </w:r>
          </w:p>
        </w:tc>
        <w:tc>
          <w:tcPr>
            <w:tcW w:type="pct" w:w="2600"/>
            <w:tcMar>
              <w:top w:type="dxa" w:w="50"/>
              <w:left w:type="dxa" w:w="110"/>
              <w:bottom w:type="dxa" w:w="50"/>
              <w:right w:type="dxa" w:w="110"/>
            </w:tcMar>
          </w:tcPr>
          <w:p>
            <w:pPr>
              <w:spacing w:before="26" w:after="26"/>
            </w:pPr>
            <w:r>
              <w:rPr>
                <w:color w:val="232733"/>
                <w:sz w:val="16"/>
                <w:szCs w:val="16"/>
              </w:rPr>
              <w:t xml:space="preserve">$6,600 + $10,000 = $16,600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Check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$51,400 + $16,600 = $68,000, the cost of goods available.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7.1?</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Effects on income, taxes and assets</w:t>
      </w:r>
    </w:p>
    <w:p>
      <w:pPr>
        <w:spacing w:after="18"/>
        <w:ind w:left="560" w:hanging="260"/>
      </w:pPr>
      <w:r>
        <w:rPr>
          <w:b/>
          <w:bCs/>
          <w:color w:val="8186EF"/>
          <w:sz w:val="18"/>
          <w:szCs w:val="18"/>
        </w:rPr>
        <w:t xml:space="preserve">D. </w:t>
      </w:r>
      <w:r>
        <w:rPr>
          <w:sz w:val="18"/>
          <w:szCs w:val="18"/>
        </w:rPr>
        <w:t xml:space="preserve">Which costs belong in inventory?</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6.  </w:t>
      </w:r>
      <w:r>
        <w:rPr>
          <w:sz w:val="19"/>
          <w:szCs w:val="19"/>
        </w:rPr>
        <w:t xml:space="preserve">What is the Orontes LIFO reserve for olive oil at the end of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16,000</w:t>
            </w:r>
          </w:p>
        </w:tc>
      </w:tr>
    </w:tbl>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7.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644"/>
        <w:gridCol w:w="395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Memo item — the book’s own table</w:t>
            </w:r>
          </w:p>
        </w:tc>
      </w:tr>
      <w:tr>
        <w:tc>
          <w:tcPr>
            <w:tcW w:type="pct" w:w="2939"/>
            <w:tcMar>
              <w:top w:type="dxa" w:w="50"/>
              <w:left w:type="dxa" w:w="110"/>
              <w:bottom w:type="dxa" w:w="50"/>
              <w:right w:type="dxa" w:w="110"/>
            </w:tcMar>
          </w:tcPr>
          <w:p>
            <w:pPr>
              <w:spacing w:before="26" w:after="26"/>
            </w:pPr>
            <w:r>
              <w:rPr>
                <w:b/>
                <w:bCs/>
                <w:color w:val="353A7C"/>
                <w:sz w:val="15"/>
                <w:szCs w:val="15"/>
              </w:rPr>
              <w:t xml:space="preserve">Memo item</w:t>
            </w:r>
          </w:p>
        </w:tc>
        <w:tc>
          <w:tcPr>
            <w:tcW w:type="pct" w:w="206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939"/>
            <w:tcMar>
              <w:top w:type="dxa" w:w="50"/>
              <w:left w:type="dxa" w:w="110"/>
              <w:bottom w:type="dxa" w:w="50"/>
              <w:right w:type="dxa" w:w="110"/>
            </w:tcMar>
          </w:tcPr>
          <w:p>
            <w:pPr>
              <w:spacing w:before="26" w:after="26"/>
            </w:pPr>
            <w:r>
              <w:rPr>
                <w:color w:val="232733"/>
                <w:sz w:val="16"/>
                <w:szCs w:val="16"/>
              </w:rPr>
              <w:t xml:space="preserve">M1 (FOB shipping point, bought)</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M2 (FOB destination, sold)</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M3 (held for a Beirut producer)</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M4 (at a Doha consignee)</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600"/>
            <w:tcMar>
              <w:top w:type="dxa" w:w="50"/>
              <w:left w:type="dxa" w:w="110"/>
              <w:bottom w:type="dxa" w:w="50"/>
              <w:right w:type="dxa" w:w="110"/>
            </w:tcMar>
          </w:tcPr>
          <w:p>
            <w:pPr>
              <w:spacing w:before="26" w:after="26"/>
            </w:pPr>
            <w:r>
              <w:rPr>
                <w:color w:val="232733"/>
                <w:sz w:val="16"/>
                <w:szCs w:val="16"/>
              </w:rPr>
              <w:t xml:space="preserve">الوارد أخيراً يُصرف أولاً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خطأ ذاتي التصحيح (خطأ معاكس)</w:t>
            </w:r>
          </w:p>
        </w:tc>
      </w:tr>
      <w:tr>
        <w:tc>
          <w:tcPr>
            <w:tcW w:type="pct" w:w="2400"/>
            <w:tcMar>
              <w:top w:type="dxa" w:w="50"/>
              <w:left w:type="dxa" w:w="110"/>
              <w:bottom w:type="dxa" w:w="50"/>
              <w:right w:type="dxa" w:w="110"/>
            </w:tcMar>
          </w:tcPr>
          <w:p>
            <w:pPr>
              <w:spacing w:before="26" w:after="26"/>
            </w:pPr>
            <w:r>
              <w:rPr>
                <w:color w:val="232733"/>
                <w:sz w:val="16"/>
                <w:szCs w:val="16"/>
              </w:rPr>
              <w:t xml:space="preserve">consignor</w:t>
            </w:r>
          </w:p>
        </w:tc>
        <w:tc>
          <w:tcPr>
            <w:tcW w:type="pct" w:w="2600"/>
            <w:tcMar>
              <w:top w:type="dxa" w:w="50"/>
              <w:left w:type="dxa" w:w="110"/>
              <w:bottom w:type="dxa" w:w="50"/>
              <w:right w:type="dxa" w:w="110"/>
            </w:tcMar>
          </w:tcPr>
          <w:p>
            <w:pPr>
              <w:spacing w:before="26" w:after="26"/>
            </w:pPr>
            <w:r>
              <w:rPr>
                <w:color w:val="232733"/>
                <w:sz w:val="16"/>
                <w:szCs w:val="16"/>
              </w:rPr>
              <w:t xml:space="preserve">المُرسِل (مالك 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purchase discount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خصم المشتريات (خصم نقدي)</w:t>
            </w:r>
          </w:p>
        </w:tc>
      </w:tr>
      <w:tr>
        <w:tc>
          <w:tcPr>
            <w:tcW w:type="pct" w:w="2400"/>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600"/>
            <w:tcMar>
              <w:top w:type="dxa" w:w="50"/>
              <w:left w:type="dxa" w:w="110"/>
              <w:bottom w:type="dxa" w:w="50"/>
              <w:right w:type="dxa" w:w="110"/>
            </w:tcMar>
          </w:tcPr>
          <w:p>
            <w:pPr>
              <w:spacing w:before="26" w:after="26"/>
            </w:pPr>
            <w:r>
              <w:rPr>
                <w:color w:val="232733"/>
                <w:sz w:val="16"/>
                <w:szCs w:val="16"/>
              </w:rPr>
              <w:t xml:space="preserve">افتراض تدفق التكلفة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مجمل الربح</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خصم المشتريات (خصم نقدي)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خطأ ذاتي التصحيح (خطأ معاكس)</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مجمل الربح</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الوارد أخيراً يُصرف أولاً</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افتراض تدفق التكلفة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المُرسِل (مالك البضاعة بالأمانة)</w:t>
            </w:r>
          </w:p>
        </w:tc>
      </w:tr>
    </w:tbl>
    <w:p/>
    <w:p>
      <w:pPr>
        <w:spacing w:before="24" w:after="24"/>
        <w:ind w:left="300" w:hanging="300"/>
      </w:pPr>
      <w:r>
        <w:rPr>
          <w:b/>
          <w:bCs/>
          <w:color w:val="353A7C"/>
          <w:sz w:val="18"/>
          <w:szCs w:val="18"/>
        </w:rPr>
        <w:t xml:space="preserve">9.  </w:t>
      </w:r>
      <w:r>
        <w:rPr>
          <w:sz w:val="18"/>
          <w:szCs w:val="18"/>
        </w:rPr>
        <w:t xml:space="preserve">consignor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cost flow assumption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LIFO (last-in, first-out)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purchase discount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gross profit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counterbalancing error</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24"/>
      </w:pPr>
      <w:r>
        <w:rPr>
          <w:sz w:val="19"/>
          <w:szCs w:val="19"/>
        </w:rPr>
        <w:t xml:space="preserve">Write the letter of the matching answer beside each item. Every one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$51,400 + $16,600 = $68,000, the cost of goods available.</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$25,000 + $26,400 = $51,400</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$6,600</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$6,600 + $10,000 = $16,600</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$26,400</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$10,000</w:t>
            </w:r>
          </w:p>
        </w:tc>
      </w:tr>
    </w:tbl>
    <w:p/>
    <w:p>
      <w:pPr>
        <w:spacing w:before="24" w:after="24"/>
        <w:ind w:left="300" w:hanging="300"/>
      </w:pPr>
      <w:r>
        <w:rPr>
          <w:b/>
          <w:bCs/>
          <w:color w:val="353A7C"/>
          <w:sz w:val="18"/>
          <w:szCs w:val="18"/>
        </w:rPr>
        <w:t xml:space="preserve">15.  </w:t>
      </w:r>
      <w:r>
        <w:rPr>
          <w:sz w:val="18"/>
          <w:szCs w:val="18"/>
        </w:rPr>
        <w:t xml:space="preserve">COGS, line 2: 1,200 × $22</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Ending inventory, line 1: 300 × $22</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Ending inventory, line 2: 500 × $20</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Total COGS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Total ending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Check</w:t>
      </w:r>
      <w:r>
        <w:rPr>
          <w:sz w:val="18"/>
          <w:szCs w:val="18"/>
        </w:rPr>
        <w:t xml:space="preserve">      </w:t>
      </w:r>
      <w:r>
        <w:rPr>
          <w:u w:val="single"/>
          <w:sz w:val="18"/>
          <w:szCs w:val="18"/>
        </w:rPr>
        <w:t xml:space="preserve">        </w:t>
      </w:r>
    </w:p>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8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583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LIFO (last-in, first-out)  ·  counterbalancing error  ·  consignor  ·  purchase discount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84"/>
        <w:gridCol w:w="4992"/>
        <w:gridCol w:w="31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7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2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73"/>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600"/>
            <w:tcMar>
              <w:top w:type="dxa" w:w="50"/>
              <w:left w:type="dxa" w:w="110"/>
              <w:bottom w:type="dxa" w:w="50"/>
              <w:right w:type="dxa" w:w="110"/>
            </w:tcMar>
          </w:tcPr>
          <w:p>
            <w:pPr>
              <w:spacing w:before="26" w:after="26"/>
            </w:pPr>
            <w:r>
              <w:rPr>
                <w:color w:val="232733"/>
                <w:sz w:val="16"/>
                <w:szCs w:val="16"/>
              </w:rPr>
              <w:t xml:space="preserve">a figure to read</w:t>
            </w:r>
          </w:p>
        </w:tc>
        <w:tc>
          <w:tcPr>
            <w:tcW w:type="pct" w:w="1627"/>
            <w:tcMar>
              <w:top w:type="dxa" w:w="50"/>
              <w:left w:type="dxa" w:w="110"/>
              <w:bottom w:type="dxa" w:w="50"/>
              <w:right w:type="dxa" w:w="110"/>
            </w:tcMar>
          </w:tcPr>
          <w:p>
            <w:pPr>
              <w:spacing w:before="26" w:after="26"/>
            </w:pPr>
            <w:r>
              <w:rPr>
                <w:color w:val="232733"/>
                <w:sz w:val="16"/>
                <w:szCs w:val="16"/>
              </w:rPr>
              <w:t xml:space="preserve">The LIFO conformity rule requires that:</w:t>
            </w:r>
          </w:p>
        </w:tc>
      </w:tr>
      <w:tr>
        <w:tc>
          <w:tcPr>
            <w:tcW w:type="pct" w:w="773"/>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1627"/>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773"/>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600"/>
            <w:tcMar>
              <w:top w:type="dxa" w:w="50"/>
              <w:left w:type="dxa" w:w="110"/>
              <w:bottom w:type="dxa" w:w="50"/>
              <w:right w:type="dxa" w:w="110"/>
            </w:tcMar>
          </w:tcPr>
          <w:p>
            <w:pPr>
              <w:spacing w:before="26" w:after="26"/>
            </w:pPr>
            <w:r>
              <w:rPr>
                <w:color w:val="232733"/>
                <w:sz w:val="16"/>
                <w:szCs w:val="16"/>
              </w:rPr>
              <w:t xml:space="preserve">inventory · cost of goods sold · goods available for sale · FIFO (first-in, first-out) · LIFO (last-in, first-out) · weighted-average cost</w:t>
            </w:r>
          </w:p>
        </w:tc>
        <w:tc>
          <w:tcPr>
            <w:tcW w:type="pct" w:w="1627"/>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destination   ·   inventory   ·   consignee   ·   consignment   ·   inventoriable cost   ·   consignor   ·   goods available for sale</w:t>
      </w:r>
    </w:p>
    <w:p>
      <w:pPr>
        <w:spacing w:before="36" w:after="36"/>
        <w:ind w:left="300"/>
      </w:pPr>
      <w:r>
        <w:rPr>
          <w:sz w:val="19"/>
          <w:szCs w:val="19"/>
        </w:rPr>
        <w:t xml:space="preserve">Under </w:t>
      </w:r>
      <w:r>
        <w:rPr>
          <w:u w:val="single"/>
          <w:sz w:val="19"/>
          <w:szCs w:val="19"/>
        </w:rPr>
        <w:t xml:space="preserve">                 </w:t>
      </w:r>
      <w:r>
        <w:rPr>
          <w:sz w:val="19"/>
          <w:szCs w:val="19"/>
        </w:rPr>
        <w:t xml:space="preserve">, the seller keeps control until the goods arrive, so the seller includes them.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owner) gives goods to a </w:t>
      </w:r>
      <w:r>
        <w:rPr>
          <w:u w:val="single"/>
          <w:sz w:val="19"/>
          <w:szCs w:val="19"/>
        </w:rPr>
        <w:t xml:space="preserve">           </w:t>
      </w:r>
      <w:r>
        <w:rPr>
          <w:sz w:val="19"/>
          <w:szCs w:val="19"/>
        </w:rPr>
        <w:t xml:space="preserve">, who sells them for a commission. The goods stay in the consignor's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inventoriable cost   ·   cost of goods sold   ·   goods available for sale   ·   perpetual inventory system   ·   periodic inventory system</w:t>
      </w:r>
    </w:p>
    <w:p>
      <w:pPr>
        <w:spacing w:before="36" w:after="36"/>
        <w:ind w:left="3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 In a </w:t>
      </w:r>
      <w:r>
        <w:rPr>
          <w:u w:val="single"/>
          <w:sz w:val="19"/>
          <w:szCs w:val="19"/>
        </w:rPr>
        <w:t xml:space="preserve">                            </w:t>
      </w:r>
      <w:r>
        <w:rPr>
          <w:sz w:val="19"/>
          <w:szCs w:val="19"/>
        </w:rPr>
        <w:t xml:space="preserve">, it updates inventory and cost of goods sold after every purchase and every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goods available for sale   ·   LIFO liquidation   ·   LIFO reserve   ·   inventoriable cost   ·   cost of goods sold</w:t>
      </w:r>
    </w:p>
    <w:p>
      <w:pPr>
        <w:spacing w:before="36" w:after="36"/>
        <w:ind w:left="300"/>
      </w:pPr>
      <w:r>
        <w:rPr>
          <w:sz w:val="19"/>
          <w:szCs w:val="19"/>
        </w:rPr>
        <w:t xml:space="preserve">To get FIFO </w:t>
      </w:r>
      <w:r>
        <w:rPr>
          <w:u w:val="single"/>
          <w:sz w:val="19"/>
          <w:szCs w:val="19"/>
        </w:rPr>
        <w:t xml:space="preserve">                    </w:t>
      </w:r>
      <w:r>
        <w:rPr>
          <w:sz w:val="19"/>
          <w:szCs w:val="19"/>
        </w:rPr>
        <w:t xml:space="preserve">, SUBTRACT the increase in the </w:t>
      </w:r>
      <w:r>
        <w:rPr>
          <w:u w:val="single"/>
          <w:sz w:val="19"/>
          <w:szCs w:val="19"/>
        </w:rPr>
        <w:t xml:space="preserve">              </w:t>
      </w:r>
      <w:r>
        <w:rPr>
          <w:sz w:val="19"/>
          <w:szCs w:val="19"/>
        </w:rPr>
        <w:t xml:space="preserve"> from LIFO cost of goods sold. In rising prices, LIFO gives LOWER income and LOWER taxes, not higher. A </w:t>
      </w:r>
      <w:r>
        <w:rPr>
          <w:u w:val="single"/>
          <w:sz w:val="19"/>
          <w:szCs w:val="19"/>
        </w:rPr>
        <w:t xml:space="preserve">                  </w:t>
      </w:r>
      <w:r>
        <w:rPr>
          <w:sz w:val="19"/>
          <w:szCs w:val="19"/>
        </w:rPr>
        <w:t xml:space="preserve"> raises income once. Do not treat it as a better business.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847850"/>
                    </a:xfrm>
                    <a:prstGeom prst="rect">
                      <a:avLst/>
                    </a:prstGeom>
                  </pic:spPr>
                </pic:pic>
              </a:graphicData>
            </a:graphic>
          </wp:inline>
        </w:drawing>
      </w:r>
    </w:p>
    <w:p>
      <w:pPr>
        <w:pageBreakBefore w:val="true"/>
        <w:spacing w:after="0"/>
      </w:pPr>
      <w:r>
        <w:rPr>
          <w:sz w:val="2"/>
        </w:rPr>
        <w:t xml:space="preserve"> </w:t>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7.1?</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Which costs belong in inventory?</w:t>
      </w:r>
    </w:p>
    <w:p>
      <w:pPr>
        <w:spacing w:after="18"/>
        <w:ind w:left="560" w:hanging="260"/>
      </w:pPr>
      <w:r>
        <w:rPr>
          <w:b/>
          <w:bCs/>
          <w:color w:val="8186EF"/>
          <w:sz w:val="18"/>
          <w:szCs w:val="18"/>
        </w:rPr>
        <w:t xml:space="preserve">C. </w:t>
      </w:r>
      <w:r>
        <w:rPr>
          <w:sz w:val="18"/>
          <w:szCs w:val="18"/>
        </w:rPr>
        <w:t xml:space="preserve">Cost flow assumptions</w:t>
      </w:r>
    </w:p>
    <w:p>
      <w:pPr>
        <w:spacing w:after="18"/>
        <w:ind w:left="560" w:hanging="260"/>
      </w:pPr>
      <w:r>
        <w:rPr>
          <w:b/>
          <w:bCs/>
          <w:color w:val="8186EF"/>
          <w:sz w:val="18"/>
          <w:szCs w:val="18"/>
        </w:rPr>
        <w:t xml:space="preserve">D. </w:t>
      </w:r>
      <w:r>
        <w:rPr>
          <w:sz w:val="18"/>
          <w:szCs w:val="18"/>
        </w:rPr>
        <w:t xml:space="preserve">Which goods belong in inventory?</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7.1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7.4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7.2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7.5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7.3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6.  </w:t>
      </w:r>
      <w:r>
        <w:rPr>
          <w:sz w:val="18"/>
          <w:szCs w:val="18"/>
        </w:rPr>
        <w:t xml:space="preserve">Which goods belong in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7.  </w:t>
      </w:r>
      <w:r>
        <w:rPr>
          <w:sz w:val="18"/>
          <w:szCs w:val="18"/>
        </w:rPr>
        <w:t xml:space="preserve">Which costs belong in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8.  </w:t>
      </w:r>
      <w:r>
        <w:rPr>
          <w:sz w:val="18"/>
          <w:szCs w:val="18"/>
        </w:rPr>
        <w:t xml:space="preserve">Cost flow assumptions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Effects on income, taxes and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Inventory errors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Cedar Retail S.A.L. reports under IFRS. Which method may it NOT use?</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Weighted average</w:t>
      </w:r>
    </w:p>
    <w:p>
      <w:pPr>
        <w:spacing w:after="18"/>
        <w:ind w:left="560" w:hanging="260"/>
      </w:pPr>
      <w:r>
        <w:rPr>
          <w:b/>
          <w:bCs/>
          <w:color w:val="8186EF"/>
          <w:sz w:val="18"/>
          <w:szCs w:val="18"/>
        </w:rPr>
        <w:t xml:space="preserve">C. </w:t>
      </w:r>
      <w:r>
        <w:rPr>
          <w:sz w:val="18"/>
          <w:szCs w:val="18"/>
        </w:rPr>
        <w:t xml:space="preserve">LIFO</w:t>
      </w:r>
    </w:p>
    <w:p>
      <w:pPr>
        <w:spacing w:after="18"/>
        <w:ind w:left="560" w:hanging="260"/>
      </w:pPr>
      <w:r>
        <w:rPr>
          <w:b/>
          <w:bCs/>
          <w:color w:val="8186EF"/>
          <w:sz w:val="18"/>
          <w:szCs w:val="18"/>
        </w:rPr>
        <w:t xml:space="preserve">D. </w:t>
      </w:r>
      <w:r>
        <w:rPr>
          <w:sz w:val="18"/>
          <w:szCs w:val="18"/>
        </w:rPr>
        <w:t xml:space="preserve">Specific identification for unique items</w:t>
      </w:r>
    </w:p>
    <w:p>
      <w:pPr>
        <w:spacing w:before="40" w:after="16"/>
        <w:ind w:left="300" w:hanging="300"/>
      </w:pPr>
      <w:r>
        <w:rPr>
          <w:b/>
          <w:bCs/>
          <w:color w:val="353A7C"/>
          <w:sz w:val="19"/>
          <w:szCs w:val="19"/>
        </w:rPr>
        <w:t xml:space="preserve">12.  </w:t>
      </w:r>
      <w:r>
        <w:rPr>
          <w:sz w:val="19"/>
          <w:szCs w:val="19"/>
        </w:rPr>
        <w:t xml:space="preserve">On December 28, a supplier in Türkiye ships glass bottles to Orontes, FOB shipping point. They arrive on January 4. Who includes the bottles in inventory at December 31?</w:t>
      </w:r>
    </w:p>
    <w:p>
      <w:pPr>
        <w:spacing w:after="18"/>
        <w:ind w:left="560" w:hanging="260"/>
      </w:pPr>
      <w:r>
        <w:rPr>
          <w:b/>
          <w:bCs/>
          <w:color w:val="8186EF"/>
          <w:sz w:val="18"/>
          <w:szCs w:val="18"/>
        </w:rPr>
        <w:t xml:space="preserve">A. </w:t>
      </w:r>
      <w:r>
        <w:rPr>
          <w:sz w:val="18"/>
          <w:szCs w:val="18"/>
        </w:rPr>
        <w:t xml:space="preserve">The supplier, the seller</w:t>
      </w:r>
    </w:p>
    <w:p>
      <w:pPr>
        <w:spacing w:after="18"/>
        <w:ind w:left="560" w:hanging="260"/>
      </w:pPr>
      <w:r>
        <w:rPr>
          <w:b/>
          <w:bCs/>
          <w:color w:val="8186EF"/>
          <w:sz w:val="18"/>
          <w:szCs w:val="18"/>
        </w:rPr>
        <w:t xml:space="preserve">B. </w:t>
      </w:r>
      <w:r>
        <w:rPr>
          <w:sz w:val="18"/>
          <w:szCs w:val="18"/>
        </w:rPr>
        <w:t xml:space="preserve">Neither company until the bottles arrive</w:t>
      </w:r>
    </w:p>
    <w:p>
      <w:pPr>
        <w:spacing w:after="18"/>
        <w:ind w:left="560" w:hanging="260"/>
      </w:pPr>
      <w:r>
        <w:rPr>
          <w:b/>
          <w:bCs/>
          <w:color w:val="8186EF"/>
          <w:sz w:val="18"/>
          <w:szCs w:val="18"/>
        </w:rPr>
        <w:t xml:space="preserve">C. </w:t>
      </w:r>
      <w:r>
        <w:rPr>
          <w:sz w:val="18"/>
          <w:szCs w:val="18"/>
        </w:rPr>
        <w:t xml:space="preserve">Both companies, half each</w:t>
      </w:r>
    </w:p>
    <w:p>
      <w:pPr>
        <w:spacing w:after="18"/>
        <w:ind w:left="560" w:hanging="260"/>
      </w:pPr>
      <w:r>
        <w:rPr>
          <w:b/>
          <w:bCs/>
          <w:color w:val="8186EF"/>
          <w:sz w:val="18"/>
          <w:szCs w:val="18"/>
        </w:rPr>
        <w:t xml:space="preserve">D. </w:t>
      </w:r>
      <w:r>
        <w:rPr>
          <w:sz w:val="18"/>
          <w:szCs w:val="18"/>
        </w:rPr>
        <w:t xml:space="preserve">Orontes, the buyer</w:t>
      </w:r>
    </w:p>
    <w:p>
      <w:pPr>
        <w:spacing w:before="40" w:after="16"/>
        <w:ind w:left="300" w:hanging="300"/>
      </w:pPr>
      <w:r>
        <w:rPr>
          <w:b/>
          <w:bCs/>
          <w:color w:val="353A7C"/>
          <w:sz w:val="19"/>
          <w:szCs w:val="19"/>
        </w:rPr>
        <w:t xml:space="preserve">13.  </w:t>
      </w:r>
      <w:r>
        <w:rPr>
          <w:sz w:val="19"/>
          <w:szCs w:val="19"/>
        </w:rPr>
        <w:t xml:space="preserve">Barada Wholesale holds cartons of Orontes tahini on consignment and sells them for a commission. Which statement is correct at year-end?</w:t>
      </w:r>
    </w:p>
    <w:p>
      <w:pPr>
        <w:spacing w:after="18"/>
        <w:ind w:left="560" w:hanging="260"/>
      </w:pPr>
      <w:r>
        <w:rPr>
          <w:b/>
          <w:bCs/>
          <w:color w:val="8186EF"/>
          <w:sz w:val="18"/>
          <w:szCs w:val="18"/>
        </w:rPr>
        <w:t xml:space="preserve">A. </w:t>
      </w:r>
      <w:r>
        <w:rPr>
          <w:sz w:val="18"/>
          <w:szCs w:val="18"/>
        </w:rPr>
        <w:t xml:space="preserve">Orontes includes the cartons in inventory; Barada does not.</w:t>
      </w:r>
    </w:p>
    <w:p>
      <w:pPr>
        <w:spacing w:after="18"/>
        <w:ind w:left="560" w:hanging="260"/>
      </w:pPr>
      <w:r>
        <w:rPr>
          <w:b/>
          <w:bCs/>
          <w:color w:val="8186EF"/>
          <w:sz w:val="18"/>
          <w:szCs w:val="18"/>
        </w:rPr>
        <w:t xml:space="preserve">B. </w:t>
      </w:r>
      <w:r>
        <w:rPr>
          <w:sz w:val="18"/>
          <w:szCs w:val="18"/>
        </w:rPr>
        <w:t xml:space="preserve">Barada includes the cartons because they are in its warehouse.</w:t>
      </w:r>
    </w:p>
    <w:p>
      <w:pPr>
        <w:spacing w:after="18"/>
        <w:ind w:left="560" w:hanging="260"/>
      </w:pPr>
      <w:r>
        <w:rPr>
          <w:b/>
          <w:bCs/>
          <w:color w:val="8186EF"/>
          <w:sz w:val="18"/>
          <w:szCs w:val="18"/>
        </w:rPr>
        <w:t xml:space="preserve">C. </w:t>
      </w:r>
      <w:r>
        <w:rPr>
          <w:sz w:val="18"/>
          <w:szCs w:val="18"/>
        </w:rPr>
        <w:t xml:space="preserve">Both companies include the cartons.</w:t>
      </w:r>
    </w:p>
    <w:p>
      <w:pPr>
        <w:spacing w:after="18"/>
        <w:ind w:left="560" w:hanging="260"/>
      </w:pPr>
      <w:r>
        <w:rPr>
          <w:b/>
          <w:bCs/>
          <w:color w:val="8186EF"/>
          <w:sz w:val="18"/>
          <w:szCs w:val="18"/>
        </w:rPr>
        <w:t xml:space="preserve">D. </w:t>
      </w:r>
      <w:r>
        <w:rPr>
          <w:sz w:val="18"/>
          <w:szCs w:val="18"/>
        </w:rPr>
        <w:t xml:space="preserve">Neither company includes the cartons until they are sold.</w:t>
      </w:r>
    </w:p>
    <w:p>
      <w:pPr>
        <w:spacing w:before="40" w:after="16"/>
        <w:ind w:left="300" w:hanging="300"/>
      </w:pPr>
      <w:r>
        <w:rPr>
          <w:b/>
          <w:bCs/>
          <w:color w:val="353A7C"/>
          <w:sz w:val="19"/>
          <w:szCs w:val="19"/>
        </w:rPr>
        <w:t xml:space="preserve">14.  </w:t>
      </w:r>
      <w:r>
        <w:rPr>
          <w:sz w:val="19"/>
          <w:szCs w:val="19"/>
        </w:rPr>
        <w:t xml:space="preserve">Which cost is included in the cost of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Freight-out to customers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Freight-in on purchased goods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Sales commissions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Storage of finished goods</w:t>
            </w:r>
          </w:p>
        </w:tc>
      </w:tr>
    </w:tbl>
    <w:p>
      <w:pPr>
        <w:pageBreakBefore w:val="true"/>
        <w:spacing w:after="0"/>
      </w:pPr>
      <w:r>
        <w:rPr>
          <w:sz w:val="2"/>
        </w:rPr>
        <w:t xml:space="preserve"> </w:t>
      </w:r>
    </w:p>
    <w:p>
      <w:pPr>
        <w:spacing w:before="40" w:after="16"/>
        <w:ind w:left="300" w:hanging="300"/>
      </w:pPr>
      <w:r>
        <w:rPr>
          <w:b/>
          <w:bCs/>
          <w:color w:val="353A7C"/>
          <w:sz w:val="19"/>
          <w:szCs w:val="19"/>
        </w:rPr>
        <w:t xml:space="preserve">15.  </w:t>
      </w:r>
      <w:r>
        <w:rPr>
          <w:sz w:val="19"/>
          <w:szCs w:val="19"/>
        </w:rPr>
        <w:t xml:space="preserve">Use the glass-bottle example in Section 7.2. What is the cost of the bottles in inventory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20,800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22,400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22,950</w:t>
            </w:r>
          </w:p>
        </w:tc>
      </w:tr>
    </w:tbl>
    <w:p>
      <w:pPr>
        <w:spacing w:before="40" w:after="16"/>
        <w:ind w:left="300" w:hanging="300"/>
      </w:pPr>
      <w:r>
        <w:rPr>
          <w:b/>
          <w:bCs/>
          <w:color w:val="353A7C"/>
          <w:sz w:val="19"/>
          <w:szCs w:val="19"/>
        </w:rPr>
        <w:t xml:space="preserve">16.  </w:t>
      </w:r>
      <w:r>
        <w:rPr>
          <w:sz w:val="19"/>
          <w:szCs w:val="19"/>
        </w:rPr>
        <w:t xml:space="preserve">Under LIFO, ending inventory consists of:</w:t>
      </w:r>
    </w:p>
    <w:p>
      <w:pPr>
        <w:spacing w:after="18"/>
        <w:ind w:left="560" w:hanging="260"/>
      </w:pPr>
      <w:r>
        <w:rPr>
          <w:b/>
          <w:bCs/>
          <w:color w:val="8186EF"/>
          <w:sz w:val="18"/>
          <w:szCs w:val="18"/>
        </w:rPr>
        <w:t xml:space="preserve">A. </w:t>
      </w:r>
      <w:r>
        <w:rPr>
          <w:sz w:val="18"/>
          <w:szCs w:val="18"/>
        </w:rPr>
        <w:t xml:space="preserve">the newest costs.</w:t>
      </w:r>
    </w:p>
    <w:p>
      <w:pPr>
        <w:spacing w:after="18"/>
        <w:ind w:left="560" w:hanging="260"/>
      </w:pPr>
      <w:r>
        <w:rPr>
          <w:b/>
          <w:bCs/>
          <w:color w:val="8186EF"/>
          <w:sz w:val="18"/>
          <w:szCs w:val="18"/>
        </w:rPr>
        <w:t xml:space="preserve">B. </w:t>
      </w:r>
      <w:r>
        <w:rPr>
          <w:sz w:val="18"/>
          <w:szCs w:val="18"/>
        </w:rPr>
        <w:t xml:space="preserve">an average of all costs.</w:t>
      </w:r>
    </w:p>
    <w:p>
      <w:pPr>
        <w:spacing w:after="18"/>
        <w:ind w:left="560" w:hanging="260"/>
      </w:pPr>
      <w:r>
        <w:rPr>
          <w:b/>
          <w:bCs/>
          <w:color w:val="8186EF"/>
          <w:sz w:val="18"/>
          <w:szCs w:val="18"/>
        </w:rPr>
        <w:t xml:space="preserve">C. </w:t>
      </w:r>
      <w:r>
        <w:rPr>
          <w:sz w:val="18"/>
          <w:szCs w:val="18"/>
        </w:rPr>
        <w:t xml:space="preserve">the actual cost of each unit still on hand.</w:t>
      </w:r>
    </w:p>
    <w:p>
      <w:pPr>
        <w:spacing w:after="18"/>
        <w:ind w:left="560" w:hanging="260"/>
      </w:pPr>
      <w:r>
        <w:rPr>
          <w:b/>
          <w:bCs/>
          <w:color w:val="8186EF"/>
          <w:sz w:val="18"/>
          <w:szCs w:val="18"/>
        </w:rPr>
        <w:t xml:space="preserve">D. </w:t>
      </w:r>
      <w:r>
        <w:rPr>
          <w:sz w:val="18"/>
          <w:szCs w:val="18"/>
        </w:rPr>
        <w:t xml:space="preserve">the oldest costs.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The LIFO conformity rule requires that:</w:t>
            </w:r>
          </w:p>
          <w:p>
            <w:pPr>
              <w:spacing w:after="16"/>
              <w:ind w:left="500" w:hanging="200"/>
            </w:pPr>
            <w:r>
              <w:rPr>
                <w:b/>
                <w:bCs/>
                <w:color w:val="8186EF"/>
                <w:sz w:val="18"/>
                <w:szCs w:val="18"/>
              </w:rPr>
              <w:t xml:space="preserve">A. </w:t>
            </w:r>
            <w:r>
              <w:rPr>
                <w:sz w:val="18"/>
                <w:szCs w:val="18"/>
              </w:rPr>
              <w:t xml:space="preserve">a company using LIFO for its U.S. tax return also uses LIFO in its financial statements.</w:t>
            </w:r>
          </w:p>
          <w:p>
            <w:pPr>
              <w:spacing w:after="16"/>
              <w:ind w:left="500" w:hanging="200"/>
            </w:pPr>
            <w:r>
              <w:rPr>
                <w:b/>
                <w:bCs/>
                <w:color w:val="8186EF"/>
                <w:sz w:val="18"/>
                <w:szCs w:val="18"/>
              </w:rPr>
              <w:t xml:space="preserve">B. </w:t>
            </w:r>
            <w:r>
              <w:rPr>
                <w:sz w:val="18"/>
                <w:szCs w:val="18"/>
              </w:rPr>
              <w:t xml:space="preserve">companies reporting under IFRS use LIFO.</w:t>
            </w:r>
          </w:p>
          <w:p>
            <w:pPr>
              <w:spacing w:after="16"/>
              <w:ind w:left="500" w:hanging="200"/>
            </w:pPr>
            <w:r>
              <w:rPr>
                <w:b/>
                <w:bCs/>
                <w:color w:val="8186EF"/>
                <w:sz w:val="18"/>
                <w:szCs w:val="18"/>
              </w:rPr>
              <w:t xml:space="preserve">C. </w:t>
            </w:r>
            <w:r>
              <w:rPr>
                <w:sz w:val="18"/>
                <w:szCs w:val="18"/>
              </w:rPr>
              <w:t xml:space="preserve">a company using LIFO applies it to every inventory in every country.</w:t>
            </w:r>
          </w:p>
          <w:p>
            <w:pPr>
              <w:spacing w:after="16"/>
              <w:ind w:left="500" w:hanging="200"/>
            </w:pPr>
            <w:r>
              <w:rPr>
                <w:b/>
                <w:bCs/>
                <w:color w:val="8186EF"/>
                <w:sz w:val="18"/>
                <w:szCs w:val="18"/>
              </w:rPr>
              <w:t xml:space="preserve">D. </w:t>
            </w:r>
            <w:r>
              <w:rPr>
                <w:sz w:val="18"/>
                <w:szCs w:val="18"/>
              </w:rPr>
              <w:t xml:space="preserve">a company using LIFO for its financial statements uses FIFO for tax.</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C7-1</w:t>
            </w:r>
          </w:p>
        </w:tc>
        <w:tc>
          <w:tcPr>
            <w:tcW w:type="pct" w:w="2939"/>
            <w:tcMar>
              <w:top w:type="dxa" w:w="50"/>
              <w:left w:type="dxa" w:w="110"/>
              <w:bottom w:type="dxa" w:w="50"/>
              <w:right w:type="dxa" w:w="110"/>
            </w:tcMar>
          </w:tcPr>
          <w:p>
            <w:pPr>
              <w:spacing w:before="26" w:after="26"/>
            </w:pPr>
            <w:r>
              <w:rPr>
                <w:color w:val="232733"/>
                <w:sz w:val="16"/>
                <w:szCs w:val="16"/>
              </w:rPr>
              <w:t xml:space="preserve">For each memo item, decide how Orontes should adjust the physical count. (On the exam screen you would drag each item in</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C7-2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correct number of cartons in ending inventory.</w:t>
            </w:r>
          </w:p>
        </w:tc>
      </w:tr>
      <w:tr>
        <w:tc>
          <w:tcPr>
            <w:tcW w:type="pct" w:w="2061"/>
            <w:tcMar>
              <w:top w:type="dxa" w:w="50"/>
              <w:left w:type="dxa" w:w="110"/>
              <w:bottom w:type="dxa" w:w="50"/>
              <w:right w:type="dxa" w:w="110"/>
            </w:tcMar>
          </w:tcPr>
          <w:p>
            <w:pPr>
              <w:spacing w:before="26" w:after="26"/>
            </w:pPr>
            <w:r>
              <w:rPr>
                <w:color w:val="232733"/>
                <w:sz w:val="16"/>
                <w:szCs w:val="16"/>
              </w:rPr>
              <w:t xml:space="preserve">C7-3</w:t>
            </w:r>
          </w:p>
        </w:tc>
        <w:tc>
          <w:tcPr>
            <w:tcW w:type="pct" w:w="2939"/>
            <w:tcMar>
              <w:top w:type="dxa" w:w="50"/>
              <w:left w:type="dxa" w:w="110"/>
              <w:bottom w:type="dxa" w:w="50"/>
              <w:right w:type="dxa" w:w="110"/>
            </w:tcMar>
          </w:tcPr>
          <w:p>
            <w:pPr>
              <w:spacing w:before="26" w:after="26"/>
            </w:pPr>
            <w:r>
              <w:rPr>
                <w:color w:val="232733"/>
                <w:sz w:val="16"/>
                <w:szCs w:val="16"/>
              </w:rPr>
              <w:t xml:space="preserve">Enter FIFO ending inventory in USD.</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C7-4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weighted-average cost of goods sold in USD.</w:t>
            </w:r>
          </w:p>
        </w:tc>
      </w:tr>
      <w:tr>
        <w:tc>
          <w:tcPr>
            <w:tcW w:type="pct" w:w="2061"/>
            <w:tcMar>
              <w:top w:type="dxa" w:w="50"/>
              <w:left w:type="dxa" w:w="110"/>
              <w:bottom w:type="dxa" w:w="50"/>
              <w:right w:type="dxa" w:w="110"/>
            </w:tcMar>
          </w:tcPr>
          <w:p>
            <w:pPr>
              <w:spacing w:before="26" w:after="26"/>
            </w:pPr>
            <w:r>
              <w:rPr>
                <w:color w:val="232733"/>
                <w:sz w:val="16"/>
                <w:szCs w:val="16"/>
              </w:rPr>
              <w:t xml:space="preserve">C7-5</w:t>
            </w:r>
          </w:p>
        </w:tc>
        <w:tc>
          <w:tcPr>
            <w:tcW w:type="pct" w:w="2939"/>
            <w:tcMar>
              <w:top w:type="dxa" w:w="50"/>
              <w:left w:type="dxa" w:w="110"/>
              <w:bottom w:type="dxa" w:w="50"/>
              <w:right w:type="dxa" w:w="110"/>
            </w:tcMar>
          </w:tcPr>
          <w:p>
            <w:pPr>
              <w:spacing w:before="26" w:after="26"/>
            </w:pPr>
            <w:r>
              <w:rPr>
                <w:color w:val="232733"/>
                <w:sz w:val="16"/>
                <w:szCs w:val="16"/>
              </w:rPr>
              <w:t xml:space="preserve">If Orontes had used the unadjusted count, its FIFO cost of goods sold would have been: [select]</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C7-6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If Orontes used periodic LIFO for tahini, what would the LIFO reserve be at December 31 (USD)? The beginning layer is th</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The tasks of a case set have to be worked in one order, because each one uses the result of the one before it. Write the letter of its place beside each task.</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first</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third</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second</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fourth</w:t>
            </w:r>
          </w:p>
        </w:tc>
      </w:tr>
    </w:tbl>
    <w:p/>
    <w:p>
      <w:pPr>
        <w:spacing w:before="24" w:after="24"/>
        <w:ind w:left="300" w:hanging="300"/>
      </w:pPr>
      <w:r>
        <w:rPr>
          <w:b/>
          <w:bCs/>
          <w:color w:val="353A7C"/>
          <w:sz w:val="18"/>
          <w:szCs w:val="18"/>
        </w:rPr>
        <w:t xml:space="preserve">19.  </w:t>
      </w:r>
      <w:r>
        <w:rPr>
          <w:sz w:val="18"/>
          <w:szCs w:val="18"/>
        </w:rPr>
        <w:t xml:space="preserve">Enter the correct number of cartons in ending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Enter FIFO ending inventory in USD.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If Orontes had used the unadjusted count, its FIFO cost of goods sold would have been: [select]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Enter weighted-average cost of goods sold in USD.</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23.  </w:t>
      </w:r>
      <w:r>
        <w:rPr>
          <w:sz w:val="19"/>
          <w:szCs w:val="19"/>
        </w:rPr>
        <w:t xml:space="preserve">What is the weighted-average cost per case of olive oil in the Orontes example?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$46.50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w:t>
            </w:r>
          </w:p>
        </w:tc>
      </w:tr>
    </w:tbl>
    <w:p>
      <w:pPr>
        <w:spacing w:before="40" w:after="16"/>
        <w:ind w:left="300" w:hanging="300"/>
      </w:pPr>
      <w:r>
        <w:rPr>
          <w:b/>
          <w:bCs/>
          <w:color w:val="353A7C"/>
          <w:sz w:val="19"/>
          <w:szCs w:val="19"/>
        </w:rPr>
        <w:t xml:space="preserve">24.  </w:t>
      </w:r>
      <w:r>
        <w:rPr>
          <w:sz w:val="19"/>
          <w:szCs w:val="19"/>
        </w:rPr>
        <w:t xml:space="preserve">Prices are rising. Which method gives the highest net income?</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LIFO</w:t>
      </w:r>
    </w:p>
    <w:p>
      <w:pPr>
        <w:spacing w:after="18"/>
        <w:ind w:left="560" w:hanging="260"/>
      </w:pPr>
      <w:r>
        <w:rPr>
          <w:b/>
          <w:bCs/>
          <w:color w:val="8186EF"/>
          <w:sz w:val="18"/>
          <w:szCs w:val="18"/>
        </w:rPr>
        <w:t xml:space="preserve">C. </w:t>
      </w:r>
      <w:r>
        <w:rPr>
          <w:sz w:val="18"/>
          <w:szCs w:val="18"/>
        </w:rPr>
        <w:t xml:space="preserve">Weighted average</w:t>
      </w:r>
    </w:p>
    <w:p>
      <w:pPr>
        <w:spacing w:after="18"/>
        <w:ind w:left="560" w:hanging="260"/>
      </w:pPr>
      <w:r>
        <w:rPr>
          <w:b/>
          <w:bCs/>
          <w:color w:val="8186EF"/>
          <w:sz w:val="18"/>
          <w:szCs w:val="18"/>
        </w:rPr>
        <w:t xml:space="preserve">D. </w:t>
      </w:r>
      <w:r>
        <w:rPr>
          <w:sz w:val="18"/>
          <w:szCs w:val="18"/>
        </w:rPr>
        <w:t xml:space="preserve">All methods give the same net income.</w:t>
      </w:r>
    </w:p>
    <w:p>
      <w:pPr>
        <w:spacing w:before="40" w:after="16"/>
        <w:ind w:left="300" w:hanging="300"/>
      </w:pPr>
      <w:r>
        <w:rPr>
          <w:b/>
          <w:bCs/>
          <w:color w:val="353A7C"/>
          <w:sz w:val="19"/>
          <w:szCs w:val="19"/>
        </w:rPr>
        <w:t xml:space="preserve">25.  </w:t>
      </w:r>
      <w:r>
        <w:rPr>
          <w:sz w:val="19"/>
          <w:szCs w:val="19"/>
        </w:rPr>
        <w:t xml:space="preserve">A company reports LIFO cost of goods sold of 500,000. Its LIFO reserve increased from 30,000 to 45,000 during the year. What would cost of goods sold be under FIFO?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515,000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545,000</w:t>
            </w:r>
          </w:p>
        </w:tc>
      </w:tr>
    </w:tbl>
    <w:p>
      <w:pPr>
        <w:spacing w:before="40" w:after="16"/>
        <w:ind w:left="300" w:hanging="300"/>
      </w:pPr>
      <w:r>
        <w:rPr>
          <w:b/>
          <w:bCs/>
          <w:color w:val="353A7C"/>
          <w:sz w:val="19"/>
          <w:szCs w:val="19"/>
        </w:rPr>
        <w:t xml:space="preserve">26.  </w:t>
      </w:r>
      <w:r>
        <w:rPr>
          <w:sz w:val="19"/>
          <w:szCs w:val="19"/>
        </w:rPr>
        <w:t xml:space="preserve">Ending inventory for 2025 was understated. What are the effects on net income?</w:t>
      </w:r>
    </w:p>
    <w:p>
      <w:pPr>
        <w:spacing w:after="18"/>
        <w:ind w:left="560" w:hanging="260"/>
      </w:pPr>
      <w:r>
        <w:rPr>
          <w:b/>
          <w:bCs/>
          <w:color w:val="8186EF"/>
          <w:sz w:val="18"/>
          <w:szCs w:val="18"/>
        </w:rPr>
        <w:t xml:space="preserve">A. </w:t>
      </w:r>
      <w:r>
        <w:rPr>
          <w:sz w:val="18"/>
          <w:szCs w:val="18"/>
        </w:rPr>
        <w:t xml:space="preserve">2025 overstated; 2026 understated</w:t>
      </w:r>
    </w:p>
    <w:p>
      <w:pPr>
        <w:spacing w:after="18"/>
        <w:ind w:left="560" w:hanging="260"/>
      </w:pPr>
      <w:r>
        <w:rPr>
          <w:b/>
          <w:bCs/>
          <w:color w:val="8186EF"/>
          <w:sz w:val="18"/>
          <w:szCs w:val="18"/>
        </w:rPr>
        <w:t xml:space="preserve">B. </w:t>
      </w:r>
      <w:r>
        <w:rPr>
          <w:sz w:val="18"/>
          <w:szCs w:val="18"/>
        </w:rPr>
        <w:t xml:space="preserve">2025 understated; 2026 no effect</w:t>
      </w:r>
    </w:p>
    <w:p>
      <w:pPr>
        <w:spacing w:after="18"/>
        <w:ind w:left="560" w:hanging="260"/>
      </w:pPr>
      <w:r>
        <w:rPr>
          <w:b/>
          <w:bCs/>
          <w:color w:val="8186EF"/>
          <w:sz w:val="18"/>
          <w:szCs w:val="18"/>
        </w:rPr>
        <w:t xml:space="preserve">C. </w:t>
      </w:r>
      <w:r>
        <w:rPr>
          <w:sz w:val="18"/>
          <w:szCs w:val="18"/>
        </w:rPr>
        <w:t xml:space="preserve">No effect in either year</w:t>
      </w:r>
    </w:p>
    <w:p>
      <w:pPr>
        <w:spacing w:after="18"/>
        <w:ind w:left="560" w:hanging="260"/>
      </w:pPr>
      <w:r>
        <w:rPr>
          <w:b/>
          <w:bCs/>
          <w:color w:val="8186EF"/>
          <w:sz w:val="18"/>
          <w:szCs w:val="18"/>
        </w:rPr>
        <w:t xml:space="preserve">D. </w:t>
      </w:r>
      <w:r>
        <w:rPr>
          <w:sz w:val="18"/>
          <w:szCs w:val="18"/>
        </w:rPr>
        <w:t xml:space="preserve">2025 understated; 2026 overstated</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inventory  ·  cost of goods sold  ·  goods available for sale  ·  FIFO (first-in, first-out)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7.1 · Which goods belong in inventory?</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7.2 · Which costs belong in inventory?</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7.3 · Cost flow assumptions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7.4 · Effects on income, taxes and assets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7.5 · Inventory errors</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7.6 · The whole chapter</w:t>
          </w:r>
        </w:p>
      </w:tc>
      <w:tc>
        <w:tcPr>
          <w:tcW w:type="pct" w:w="1400"/>
          <w:tcMar>
            <w:top w:type="dxa" w:w="-30"/>
            <w:left w:type="dxa" w:w="30"/>
            <w:bottom w:type="dxa" w:w="-30"/>
            <w:right w:type="dxa" w:w="30"/>
          </w:tcMar>
        </w:tcPr>
        <w:p>
          <w:pPr>
            <w:jc w:val="right"/>
          </w:pPr>
          <w:r>
            <w:rPr>
              <w:color w:val="6B7280"/>
              <w:sz w:val="16"/>
              <w:szCs w:val="16"/>
            </w:rPr>
            <w:t xml:space="preserve">Handout 7.6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23a075c2819099cc8694f582f2f878dc7412534.png" Type="http://schemas.openxmlformats.org/officeDocument/2006/relationships/image"/><Relationship Id="rId102" Target="media/9a674441c002fa43215a53a63a36f57d28853536.png" Type="http://schemas.openxmlformats.org/officeDocument/2006/relationships/image"/><Relationship Id="rId103" Target="media/6175c1ee150b1b4bbb03e9e30fef7af1cf2d8c5f.png" Type="http://schemas.openxmlformats.org/officeDocument/2006/relationships/image"/><Relationship Id="rId104" Target="media/7ecb66f4d75e9558ebc455f514da33162506d546.png" Type="http://schemas.openxmlformats.org/officeDocument/2006/relationships/image"/><Relationship Id="rId105" Target="media/b55be6cbd83975a2f2fc0cbfe81626b3e34049f9.png" Type="http://schemas.openxmlformats.org/officeDocument/2006/relationships/image"/><Relationship Id="rId106" Target="media/0996b54867fad13662a433f52825397209f97426.png" Type="http://schemas.openxmlformats.org/officeDocument/2006/relationships/image"/><Relationship Id="rId107" Target="media/4762757308611a9627dc6a3a230537732bdff260.png" Type="http://schemas.openxmlformats.org/officeDocument/2006/relationships/image"/><Relationship Id="rId108" Target="media/9a7033564d17e3483222d7d601f180ff7f0629db.png" Type="http://schemas.openxmlformats.org/officeDocument/2006/relationships/image"/><Relationship Id="rId109" Target="media/e833137300aaffa6d9dda46f3d42196532ff91c4.png" Type="http://schemas.openxmlformats.org/officeDocument/2006/relationships/image"/><Relationship Id="rId110" Target="media/9d4436a61ecba5479af6ffd9c68fd3dc1a1474e7.png" Type="http://schemas.openxmlformats.org/officeDocument/2006/relationships/image"/><Relationship Id="rId111" Target="media/a79b935822fa9b33f8b60aebf3f83973d1d7ff69.png" Type="http://schemas.openxmlformats.org/officeDocument/2006/relationships/image"/><Relationship Id="rId112" Target="media/1172dbcd29ad58f46e460985c863295284a51965.png" Type="http://schemas.openxmlformats.org/officeDocument/2006/relationships/image"/><Relationship Id="rId113" Target="media/c30f56d7fe054e0044996dda0224aacddfa10d67.png" Type="http://schemas.openxmlformats.org/officeDocument/2006/relationships/image"/><Relationship Id="rId114" Target="media/55e810bea59b8dc275f8dcf7d159463c6cc1b63f.png" Type="http://schemas.openxmlformats.org/officeDocument/2006/relationships/image"/><Relationship Id="rId115" Target="media/0372a0a92c66d7b18e4c48f029e07de8c85dc10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7</dc:title>
  <dc:subject>Inventory I: Goods, Costs and Cost Flows</dc:subject>
  <cp:category>Student Book</cp:category>
</cp:coreProperties>
</file>