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8.1 · Which test applies?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identification · realizable · retail inventory method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competitor · write-down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reversal · transport · floor</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At each balance sheet date, the company checks whether the cost of its inventory is still recoverable. The test depends on the cost flow method, as Figure F08-02 shows.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“Inventory measured by FIFO, average cost or specific identification uses the lower of cost and net realizable value (LCNRV). Inventory measured by LIFO or the retail inventory method uses the lower of cost or market (LCM) (Section 8.2).”</w:t>
      </w:r>
    </w:p>
    <w:p>
      <w:pPr>
        <w:spacing w:after="18"/>
        <w:ind w:left="300" w:hanging="300"/>
      </w:pPr>
      <w:r>
        <w:rPr>
          <w:b/>
          <w:bCs/>
          <w:color w:val="8186EF"/>
          <w:sz w:val="16"/>
          <w:szCs w:val="16"/>
        </w:rPr>
        <w:t xml:space="preserve">2  </w:t>
      </w:r>
      <w:r>
        <w:rPr>
          <w:sz w:val="16"/>
          <w:szCs w:val="16"/>
        </w:rPr>
        <w:t xml:space="preserve">The book writes: “In late December, a large competitor cut prices. Orontes now expects to sell each case for $54, with $6 of selling and delivery costs. The write-down of $4,000 is a loss of 2025. The new amount, $48 a case, is now the cost basis of these cases.”</w:t>
      </w:r>
    </w:p>
    <w:p>
      <w:pPr>
        <w:spacing w:after="18"/>
        <w:ind w:left="300" w:hanging="300"/>
      </w:pPr>
      <w:r>
        <w:rPr>
          <w:b/>
          <w:bCs/>
          <w:color w:val="8186EF"/>
          <w:sz w:val="16"/>
          <w:szCs w:val="16"/>
        </w:rPr>
        <w:t xml:space="preserve">3  </w:t>
      </w:r>
      <w:r>
        <w:rPr>
          <w:sz w:val="16"/>
          <w:szCs w:val="16"/>
        </w:rPr>
        <w:t xml:space="preserve">The book writes: “Under U.S. GAAP the reversal is zero. NRV = selling price − costs to complete, sell and transport. Do NOT deduct a normal profit; that only defines the LCM floor. Check the method first: FIFO or average → LCNRV; LIFO or retail → LCM.”</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2,000 as the amount of Olive oil cases on hand (FIFO layer from Chapter 7).</w:t>
      </w:r>
    </w:p>
    <w:p>
      <w:pPr>
        <w:spacing w:after="18"/>
        <w:ind w:left="300" w:hanging="300"/>
      </w:pPr>
      <w:r>
        <w:rPr>
          <w:b/>
          <w:bCs/>
          <w:color w:val="8186EF"/>
          <w:sz w:val="16"/>
          <w:szCs w:val="16"/>
        </w:rPr>
        <w:t xml:space="preserve">6  </w:t>
      </w:r>
      <w:r>
        <w:rPr>
          <w:sz w:val="16"/>
          <w:szCs w:val="16"/>
        </w:rPr>
        <w:t xml:space="preserve">Average-cost inventory uses LCNRV, and the loss goes to income. A is wrong: Replacement cost belongs to the LCM test for LIFO and retail. B is wrong: A loss must be recognized, not only disclosed.</w:t>
      </w:r>
    </w:p>
    <w:p>
      <w:pPr>
        <w:spacing w:after="18"/>
        <w:ind w:left="300" w:hanging="300"/>
      </w:pPr>
      <w:r>
        <w:rPr>
          <w:b/>
          <w:bCs/>
          <w:color w:val="8186EF"/>
          <w:sz w:val="16"/>
          <w:szCs w:val="16"/>
        </w:rPr>
        <w:t xml:space="preserve">7  </w:t>
      </w:r>
      <w:r>
        <w:rPr>
          <w:sz w:val="16"/>
          <w:szCs w:val="16"/>
        </w:rPr>
        <w:t xml:space="preserve">Ceiling = NRV = $45; replacement cost is above the ceiling, so market is the ceiling, which is below cost. A is wrong: The floor is used only when replacement cost is below it. C is wrong: Replacement cost is above the ceiling, so it cannot be market.</w:t>
      </w:r>
    </w:p>
    <w:p>
      <w:pPr>
        <w:spacing w:after="18"/>
        <w:ind w:left="300" w:hanging="300"/>
      </w:pPr>
      <w:r>
        <w:rPr>
          <w:b/>
          <w:bCs/>
          <w:color w:val="8186EF"/>
          <w:sz w:val="16"/>
          <w:szCs w:val="16"/>
        </w:rPr>
        <w:t xml:space="preserve">8  </w:t>
      </w:r>
      <w:r>
        <w:rPr>
          <w:sz w:val="16"/>
          <w:szCs w:val="16"/>
        </w:rPr>
        <w:t xml:space="preserve">Freight-in is part of cost; it does not change selling prices. A is wrong: Freight-in has no retail amount. C is wrong: Freight-in is a cost, not a price.</w:t>
      </w:r>
    </w:p>
    <w:p>
      <w:pPr>
        <w:spacing w:after="18"/>
        <w:ind w:left="300" w:hanging="300"/>
      </w:pPr>
      <w:r>
        <w:rPr>
          <w:b/>
          <w:bCs/>
          <w:color w:val="8186EF"/>
          <w:sz w:val="16"/>
          <w:szCs w:val="16"/>
        </w:rPr>
        <w:t xml:space="preserve">9  </w:t>
      </w:r>
      <w:r>
        <w:rPr>
          <w:sz w:val="16"/>
          <w:szCs w:val="16"/>
        </w:rPr>
        <w:t xml:space="preserve">It gives estimates, which are acceptable only where estimates are allowed. B is wrong: Annual statements need a physical count or a cost method. C is wrong: It can check a count but not replace it.</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FIFO leaves the newest costs in ending inventory. A is wrong: FIFO gives higher taxes when prices rise. B is wrong: That is the LIFO argument.</w:t>
      </w:r>
    </w:p>
    <w:p>
      <w:pPr>
        <w:spacing w:after="18"/>
        <w:ind w:left="300" w:hanging="300"/>
      </w:pPr>
      <w:r>
        <w:rPr>
          <w:b/>
          <w:bCs/>
          <w:color w:val="8186EF"/>
          <w:sz w:val="16"/>
          <w:szCs w:val="16"/>
        </w:rPr>
        <w:t xml:space="preserve">17  </w:t>
      </w:r>
      <w:r>
        <w:rPr>
          <w:sz w:val="16"/>
          <w:szCs w:val="16"/>
        </w:rPr>
        <w:t xml:space="preserve">Old LIFO layers can stay in inventory for many years. A is wrong: That describes FIFO. B is wrong: LIFO lowers taxes when prices rise.</w:t>
      </w:r>
    </w:p>
    <w:p>
      <w:pPr>
        <w:spacing w:after="18"/>
        <w:ind w:left="300" w:hanging="300"/>
      </w:pPr>
      <w:r>
        <w:rPr>
          <w:b/>
          <w:bCs/>
          <w:color w:val="8186EF"/>
          <w:sz w:val="16"/>
          <w:szCs w:val="16"/>
        </w:rPr>
        <w:t xml:space="preserve">18  </w:t>
      </w:r>
      <w:r>
        <w:rPr>
          <w:sz w:val="16"/>
          <w:szCs w:val="16"/>
        </w:rPr>
        <w:t xml:space="preserve">FIFO gives the same result under both systems. A is wrong: Only LIFO and average results can change with the system. B is wrong: Only LIFO and average results can change with the system.</w:t>
      </w:r>
    </w:p>
    <w:p>
      <w:pPr>
        <w:spacing w:after="18"/>
        <w:ind w:left="300" w:hanging="300"/>
      </w:pPr>
      <w:r>
        <w:rPr>
          <w:b/>
          <w:bCs/>
          <w:color w:val="8186EF"/>
          <w:sz w:val="16"/>
          <w:szCs w:val="16"/>
        </w:rPr>
        <w:t xml:space="preserve">19  </w:t>
      </w:r>
      <w:r>
        <w:rPr>
          <w:sz w:val="16"/>
          <w:szCs w:val="16"/>
        </w:rPr>
        <w:t xml:space="preserve">Higher ending inventory means lower cost of goods sold. B is wrong: This reverses the direction. C is wrong: Ending inventory directly changes cost of goods sold.</w:t>
      </w:r>
    </w:p>
    <w:p>
      <w:pPr>
        <w:spacing w:after="18"/>
        <w:ind w:left="300" w:hanging="300"/>
      </w:pPr>
      <w:r>
        <w:rPr>
          <w:b/>
          <w:bCs/>
          <w:color w:val="8186EF"/>
          <w:sz w:val="16"/>
          <w:szCs w:val="16"/>
        </w:rPr>
        <w:t xml:space="preserve">20  </w:t>
      </w:r>
      <w:r>
        <w:rPr>
          <w:sz w:val="16"/>
          <w:szCs w:val="16"/>
        </w:rPr>
        <w:t xml:space="preserve">The book’s own table gives $4,000 as the amount of Write-down (loss in income).</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8.2 · Lower of cost or market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replacement cost · ceiling · floor · normal profit margin</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item-by-item basis · purchase commitment · replacement cost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replacement cost · floor · ceiling · write-down</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144,000 − 120,000 = 24,000: Ending inventory at retail</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150,000 − 6,000 = 144,000: Goods available at retail</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24,000 × 0.60 = $14,400: Ending inventory at cost</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Under LCM, market starts with replacement cost: the current cost to buy or make the item again. But market has two limits. It cannot be higher than a ceiling equal to NRV, and it cannot be lower than a floor equal to NRV minus a normal profit margin.</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90,000 ÷ 150,000 = 0.60: Conventional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“Under LCM, market starts with replacement cost: the current cost to buy or make the item again. It cannot be higher than a ceiling equal to NRV, and it cannot be lower than a floor equal to NRV minus a normal profit margin.”</w:t>
      </w:r>
    </w:p>
    <w:p>
      <w:pPr>
        <w:spacing w:after="18"/>
        <w:ind w:left="300" w:hanging="300"/>
      </w:pPr>
      <w:r>
        <w:rPr>
          <w:b/>
          <w:bCs/>
          <w:color w:val="8186EF"/>
          <w:sz w:val="16"/>
          <w:szCs w:val="16"/>
        </w:rPr>
        <w:t xml:space="preserve">2  </w:t>
      </w:r>
      <w:r>
        <w:rPr>
          <w:sz w:val="16"/>
          <w:szCs w:val="16"/>
        </w:rPr>
        <w:t xml:space="preserve">The book writes: “The item-by-item basis is the most conservative. One more rule: if a company has a firm, non-cancellable purchase commitment at a price above the current market, it records the expected loss now, in the current period. Do not compare replacement cost directly with cost.”</w:t>
      </w:r>
    </w:p>
    <w:p>
      <w:pPr>
        <w:spacing w:after="18"/>
        <w:ind w:left="300" w:hanging="300"/>
      </w:pPr>
      <w:r>
        <w:rPr>
          <w:b/>
          <w:bCs/>
          <w:color w:val="8186EF"/>
          <w:sz w:val="16"/>
          <w:szCs w:val="16"/>
        </w:rPr>
        <w:t xml:space="preserve">3  </w:t>
      </w:r>
      <w:r>
        <w:rPr>
          <w:sz w:val="16"/>
          <w:szCs w:val="16"/>
        </w:rPr>
        <w:t xml:space="preserve">The book writes: “When replacement cost is below the floor, market is the floor. When it is above the ceiling, market is the ceiling. Read the basis in the question: item by item, by category or total. In French, dépréciation des stocks is an inventory write-down, not depreciation (amortissement).”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9  </w:t>
      </w:r>
      <w:r>
        <w:rPr>
          <w:sz w:val="16"/>
          <w:szCs w:val="16"/>
        </w:rPr>
        <w:t xml:space="preserve">The write-down created a new cost basis; U.S. GAAP prohibits reversal in later years. B is wrong: This is the IAS 2 rule. C is wrong: There is no OCI treatment for inventory.</w:t>
      </w:r>
    </w:p>
    <w:p>
      <w:pPr>
        <w:spacing w:after="18"/>
        <w:ind w:left="300" w:hanging="300"/>
      </w:pPr>
      <w:r>
        <w:rPr>
          <w:b/>
          <w:bCs/>
          <w:color w:val="8186EF"/>
          <w:sz w:val="16"/>
          <w:szCs w:val="16"/>
        </w:rPr>
        <w:t xml:space="preserve">10  </w:t>
      </w:r>
      <w:r>
        <w:rPr>
          <w:sz w:val="16"/>
          <w:szCs w:val="16"/>
        </w:rPr>
        <w:t xml:space="preserve">FIFO gives the same result under both systems. A is wrong: Only LIFO and average results can change with the system. B is wrong: Only LIFO and average results can change with the system.</w:t>
      </w:r>
    </w:p>
    <w:p>
      <w:pPr>
        <w:spacing w:after="18"/>
        <w:ind w:left="300" w:hanging="300"/>
      </w:pPr>
      <w:r>
        <w:rPr>
          <w:b/>
          <w:bCs/>
          <w:color w:val="8186EF"/>
          <w:sz w:val="16"/>
          <w:szCs w:val="16"/>
        </w:rPr>
        <w:t xml:space="preserve">11  </w:t>
      </w:r>
      <w:r>
        <w:rPr>
          <w:sz w:val="16"/>
          <w:szCs w:val="16"/>
        </w:rPr>
        <w:t xml:space="preserve">Higher ending inventory means lower cost of goods sold. B is wrong: This reverses the direction. C is wrong: Ending inventory directly changes cost of goods sold.</w:t>
      </w:r>
    </w:p>
    <w:p>
      <w:pPr>
        <w:spacing w:after="18"/>
        <w:ind w:left="300" w:hanging="300"/>
      </w:pPr>
      <w:r>
        <w:rPr>
          <w:b/>
          <w:bCs/>
          <w:color w:val="8186EF"/>
          <w:sz w:val="16"/>
          <w:szCs w:val="16"/>
        </w:rPr>
        <w:t xml:space="preserve">12  </w:t>
      </w:r>
      <w:r>
        <w:rPr>
          <w:sz w:val="16"/>
          <w:szCs w:val="16"/>
        </w:rPr>
        <w:t xml:space="preserve">IAS 2 requires the reversal, limited to the original write-down. A is wrong: IAS 2 does not allow LIFO. C is wrong: IAS 2 has no LCM test; all inventory uses LCNRV.</w:t>
      </w:r>
    </w:p>
    <w:p>
      <w:pPr>
        <w:spacing w:after="18"/>
        <w:ind w:left="300" w:hanging="300"/>
      </w:pPr>
      <w:r>
        <w:rPr>
          <w:b/>
          <w:bCs/>
          <w:color w:val="8186EF"/>
          <w:sz w:val="16"/>
          <w:szCs w:val="16"/>
        </w:rPr>
        <w:t xml:space="preserve">13  </w:t>
      </w:r>
      <w:r>
        <w:rPr>
          <w:sz w:val="16"/>
          <w:szCs w:val="16"/>
        </w:rPr>
        <w:t xml:space="preserve">Every cycle settles one rule and shows where it comes from.</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8.3 · The retail inventory method and the gross profit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retail inventory method · cost-to-retail ratio · markup · conventional retail method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Purchase returns: deduct · deduct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gross profit method · acceptable · statements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Purchase discounts: deduct · —</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markup · shrinkage · cost-to-retail ratio</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Net markups: — · add (before the ratio)</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Net markdowns: — · deduct (after the conventional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Net sales: — · deduct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add: Freight-in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Normal shrinkage and employee discounts: — · deduct (after the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Retailers sell thousands of items. They know the selling price of every item on the shelf, but tracking the cost of each one is expensive. The retail inventory method estimates ending inventory at cost from retail prices. It uses a cost-to-retail ratio: goods available at cost divided by goods available at retail.</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deduct: Purchase returns, Purchase discounts</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 Net markups, Net markdowns, Net sales, Normal shrinkage and employee discounts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retail inventory method estimates ending inventory at cost from retail prices. It uses a cost-to-retail ratio: goods available at cost divided by goods available at retail. Retail prices change during the year. A markup raises the selling price above the original retail price. The conventional retail method includes net markups in the ratio but leaves out net markdowns.”</w:t>
      </w:r>
    </w:p>
    <w:p>
      <w:pPr>
        <w:spacing w:after="18"/>
        <w:ind w:left="300" w:hanging="300"/>
      </w:pPr>
      <w:r>
        <w:rPr>
          <w:b/>
          <w:bCs/>
          <w:color w:val="8186EF"/>
          <w:sz w:val="16"/>
          <w:szCs w:val="16"/>
        </w:rPr>
        <w:t xml:space="preserve">2  </w:t>
      </w:r>
      <w:r>
        <w:rPr>
          <w:sz w:val="16"/>
          <w:szCs w:val="16"/>
        </w:rPr>
        <w:t xml:space="preserve">The book writes: “The gross profit method estimates ending inventory from the usual gross profit rate. It is used for interim reports, to check a physical count, and to estimate inventory lost in a fire or a theft. It is not acceptable for annual financial statements.”</w:t>
      </w:r>
    </w:p>
    <w:p>
      <w:pPr>
        <w:spacing w:after="18"/>
        <w:ind w:left="300" w:hanging="300"/>
      </w:pPr>
      <w:r>
        <w:rPr>
          <w:b/>
          <w:bCs/>
          <w:color w:val="8186EF"/>
          <w:sz w:val="16"/>
          <w:szCs w:val="16"/>
        </w:rPr>
        <w:t xml:space="preserve">3  </w:t>
      </w:r>
      <w:r>
        <w:rPr>
          <w:sz w:val="16"/>
          <w:szCs w:val="16"/>
        </w:rPr>
        <w:t xml:space="preserve">The book writes: “For example, a markup of one half on cost is a gross profit rate of one third on sales. Conventional retail: markups IN the ratio, markdowns OUT. Freight-in goes in the cost column only; normal shrinkage is deducted from retail after the ratio. A. included in the cost-to-retail ratio.”</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deduct as the retail column of Purchase returns.</w:t>
      </w:r>
    </w:p>
    <w:p>
      <w:pPr>
        <w:spacing w:after="18"/>
        <w:ind w:left="300" w:hanging="300"/>
      </w:pPr>
      <w:r>
        <w:rPr>
          <w:b/>
          <w:bCs/>
          <w:color w:val="8186EF"/>
          <w:sz w:val="16"/>
          <w:szCs w:val="16"/>
        </w:rPr>
        <w:t xml:space="preserve">15  </w:t>
      </w:r>
      <w:r>
        <w:rPr>
          <w:sz w:val="16"/>
          <w:szCs w:val="16"/>
        </w:rPr>
        <w:t xml:space="preserve">Interim write-downs may be recovered within the same fiscal year, up to the original loss. A is wrong: The no-reversal rule is for later annual periods, not quarters of the same year. B is wrong: Recovery is limited to the amount written down; inventory never goes above cost.</w:t>
      </w:r>
    </w:p>
    <w:p>
      <w:pPr>
        <w:spacing w:after="18"/>
        <w:ind w:left="300" w:hanging="300"/>
      </w:pPr>
      <w:r>
        <w:rPr>
          <w:b/>
          <w:bCs/>
          <w:color w:val="8186EF"/>
          <w:sz w:val="16"/>
          <w:szCs w:val="16"/>
        </w:rPr>
        <w:t xml:space="preserve">16  </w:t>
      </w:r>
      <w:r>
        <w:rPr>
          <w:sz w:val="16"/>
          <w:szCs w:val="16"/>
        </w:rPr>
        <w:t xml:space="preserve">Every cycle settles one rule and shows where it comes from.</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The book’s own table gives deduct (after the ratio) as the retail column of Normal shrinkage and employee discounts.</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8.4 · Advantages and disadvantages of the methods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identification · strengths · manipulate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Yes: Allowed under IFRS?</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trade-off · statements · out-of-date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Income statement: Includes holding gains when prices rise · Matches current costs with revenues · Smooths price changes · Exact matching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overstates · physical · management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Taxes when prices rise: Highest · Lowest (tax deferral) · Between the two · Depends on items sold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Allowed under IFRS?: Yes · No · Yes · Yes (required for unique items)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Risk of manipulation: Low · Year-end purchases; liquidations · Low · High for identical items</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Between the two: Balance sheet (inventory), Taxes when prices rise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Cost of records: Moderate · Higher (layers, conformity) · Low · High</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No method is best in every situation. Each one is strong on some goals and weak on others. Figure F08-08 compares them. Read it with two questions in mind: which statement does the method make more useful, and what does it cost the company?</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Low: Risk of manipulation, Cost of records</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Smooths price changes: Income statement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weighted average and specific identification have their own strengths. The weighted average is simple, smooths price changes and is hard to manipulate, but its results are neither fully current on the balance sheet nor on the income statement.”</w:t>
      </w:r>
    </w:p>
    <w:p>
      <w:pPr>
        <w:spacing w:after="18"/>
        <w:ind w:left="300" w:hanging="300"/>
      </w:pPr>
      <w:r>
        <w:rPr>
          <w:b/>
          <w:bCs/>
          <w:color w:val="8186EF"/>
          <w:sz w:val="16"/>
          <w:szCs w:val="16"/>
        </w:rPr>
        <w:t xml:space="preserve">2  </w:t>
      </w:r>
      <w:r>
        <w:rPr>
          <w:sz w:val="16"/>
          <w:szCs w:val="16"/>
        </w:rPr>
        <w:t xml:space="preserve">The book writes: “The main trade-off is between the two statements. LIFO gives a more realistic income statement when prices change, but an out-of-date balance sheet. FIFO gives a realistic balance sheet, but its income includes holding gains. The weighted average sits between them.”</w:t>
      </w:r>
    </w:p>
    <w:p>
      <w:pPr>
        <w:spacing w:after="18"/>
        <w:ind w:left="300" w:hanging="300"/>
      </w:pPr>
      <w:r>
        <w:rPr>
          <w:b/>
          <w:bCs/>
          <w:color w:val="8186EF"/>
          <w:sz w:val="16"/>
          <w:szCs w:val="16"/>
        </w:rPr>
        <w:t xml:space="preserve">3  </w:t>
      </w:r>
      <w:r>
        <w:rPr>
          <w:sz w:val="16"/>
          <w:szCs w:val="16"/>
        </w:rPr>
        <w:t xml:space="preserve">The book writes: “D. It needs the fewest records. A. it is not allowed under U.S. GAAP. B. it always overstates income. C. it ignores the physical flow of goods. D. management can choose which units to sell and so change income.”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Balance sheet (inventory) with “Close to current cost”.</w:t>
      </w:r>
    </w:p>
    <w:p>
      <w:pPr>
        <w:spacing w:after="18"/>
        <w:ind w:left="300" w:hanging="300"/>
      </w:pPr>
      <w:r>
        <w:rPr>
          <w:b/>
          <w:bCs/>
          <w:color w:val="8186EF"/>
          <w:sz w:val="16"/>
          <w:szCs w:val="16"/>
        </w:rPr>
        <w:t xml:space="preserve">15  </w:t>
      </w:r>
      <w:r>
        <w:rPr>
          <w:sz w:val="16"/>
          <w:szCs w:val="16"/>
        </w:rPr>
        <w:t xml:space="preserve">Gross profit rate = markup ÷ (1 + markup) = 0.25 ÷ 1.25. A is wrong: This uses the markup on cost as the margin on sales. B is wrong: This divides by (1 − markup) instead of (1 + markup).</w:t>
      </w:r>
    </w:p>
    <w:p>
      <w:pPr>
        <w:spacing w:after="18"/>
        <w:ind w:left="300" w:hanging="300"/>
      </w:pPr>
      <w:r>
        <w:rPr>
          <w:b/>
          <w:bCs/>
          <w:color w:val="8186EF"/>
          <w:sz w:val="16"/>
          <w:szCs w:val="16"/>
        </w:rPr>
        <w:t xml:space="preserve">16  </w:t>
      </w:r>
      <w:r>
        <w:rPr>
          <w:sz w:val="16"/>
          <w:szCs w:val="16"/>
        </w:rPr>
        <w:t xml:space="preserve">Every cycle settles one rule and shows where it comes from.</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CMA questions use exact terms, and the glossary on the page is what defines them here.</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8.5 · Recommending a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identification · manipulation · liquidating</w:t>
            </w:r>
          </w:p>
        </w:tc>
        <w:tc>
          <w:tcPr>
            <w:tcW w:type="pct" w:w="1667"/>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conformity · reported · inventory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physical · management · reported</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 Level C question may give you a set of facts and ask you to recommend a method. Use Figure F08-09 as a decision path, then support your answer with the facts in the question.</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 items are identical and sold in large volumes, specific identification is costly and open to manipulation. If the company wants the U.S. tax benefit of LIFO, it must also report LIFO profits to investors, and it must avoid liquidating old layers.”</w:t>
      </w:r>
    </w:p>
    <w:p>
      <w:pPr>
        <w:spacing w:after="18"/>
        <w:ind w:left="300" w:hanging="300"/>
      </w:pPr>
      <w:r>
        <w:rPr>
          <w:b/>
          <w:bCs/>
          <w:color w:val="8186EF"/>
          <w:sz w:val="16"/>
          <w:szCs w:val="16"/>
        </w:rPr>
        <w:t xml:space="preserve">2  </w:t>
      </w:r>
      <w:r>
        <w:rPr>
          <w:sz w:val="16"/>
          <w:szCs w:val="16"/>
        </w:rPr>
        <w:t xml:space="preserve">The book writes: “LIFO would lower taxes while prices rise, but conformity would lower reported profits too, and the balance sheet would show old costs. FIFO matches the physical flow and gives lenders a current inventory amount, but taxes are higher.”</w:t>
      </w:r>
    </w:p>
    <w:p>
      <w:pPr>
        <w:spacing w:after="18"/>
        <w:ind w:left="300" w:hanging="300"/>
      </w:pPr>
      <w:r>
        <w:rPr>
          <w:b/>
          <w:bCs/>
          <w:color w:val="8186EF"/>
          <w:sz w:val="16"/>
          <w:szCs w:val="16"/>
        </w:rPr>
        <w:t xml:space="preserve">3  </w:t>
      </w:r>
      <w:r>
        <w:rPr>
          <w:sz w:val="16"/>
          <w:szCs w:val="16"/>
        </w:rPr>
        <w:t xml:space="preserve">The book writes: “Check IFRS, taxes, price trends, the physical flow and the cost of records before you choose. Prices are rising, and it wants lower taxes. Prices are rising, and management accepts lower reported profits in exchange for the lowest income taxes.”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“Which test applies?” as section 8.1.</w:t>
      </w:r>
    </w:p>
    <w:p>
      <w:pPr>
        <w:spacing w:after="18"/>
        <w:ind w:left="300" w:hanging="300"/>
      </w:pPr>
      <w:r>
        <w:rPr>
          <w:b/>
          <w:bCs/>
          <w:color w:val="8186EF"/>
          <w:sz w:val="16"/>
          <w:szCs w:val="16"/>
        </w:rPr>
        <w:t xml:space="preserve">6  </w:t>
      </w:r>
      <w:r>
        <w:rPr>
          <w:sz w:val="16"/>
          <w:szCs w:val="16"/>
        </w:rPr>
        <w:t xml:space="preserve">Losses on firm, non-cancellable purchase commitments are recognized in the current period. A is wrong: The loss already exists at year-end. B is wrong: Disclosure alone is not enough for an expected loss.</w:t>
      </w:r>
    </w:p>
    <w:p>
      <w:pPr>
        <w:spacing w:after="18"/>
        <w:ind w:left="300" w:hanging="300"/>
      </w:pPr>
      <w:r>
        <w:rPr>
          <w:b/>
          <w:bCs/>
          <w:color w:val="8186EF"/>
          <w:sz w:val="16"/>
          <w:szCs w:val="16"/>
        </w:rPr>
        <w:t xml:space="preserve">7  </w:t>
      </w:r>
      <w:r>
        <w:rPr>
          <w:sz w:val="16"/>
          <w:szCs w:val="16"/>
        </w:rPr>
        <w:t xml:space="preserve">Every cycle settles one rule and shows where it comes from.</w:t>
      </w:r>
    </w:p>
    <w:p>
      <w:pPr>
        <w:spacing w:after="18"/>
        <w:ind w:left="300" w:hanging="300"/>
      </w:pPr>
      <w:r>
        <w:rPr>
          <w:b/>
          <w:bCs/>
          <w:color w:val="8186EF"/>
          <w:sz w:val="16"/>
          <w:szCs w:val="16"/>
        </w:rPr>
        <w:t xml:space="preserve">8  </w:t>
      </w:r>
      <w:r>
        <w:rPr>
          <w:sz w:val="16"/>
          <w:szCs w:val="16"/>
        </w:rPr>
        <w:t xml:space="preserve">CMA questions use exact terms, and one word can change the answer.</w:t>
      </w:r>
    </w:p>
    <w:p>
      <w:pPr>
        <w:spacing w:after="18"/>
        <w:ind w:left="300" w:hanging="300"/>
      </w:pPr>
      <w:r>
        <w:rPr>
          <w:b/>
          <w:bCs/>
          <w:color w:val="8186EF"/>
          <w:sz w:val="16"/>
          <w:szCs w:val="16"/>
        </w:rPr>
        <w:t xml:space="preserve">9  </w:t>
      </w:r>
      <w:r>
        <w:rPr>
          <w:sz w:val="16"/>
          <w:szCs w:val="16"/>
        </w:rPr>
        <w:t xml:space="preserve">The book’s own table pairs Pomegranate molasses with “LCM (market with ceiling and floor)”.</w:t>
      </w:r>
    </w:p>
    <w:p>
      <w:pPr>
        <w:spacing w:after="18"/>
        <w:ind w:left="300" w:hanging="300"/>
      </w:pPr>
      <w:r>
        <w:rPr>
          <w:b/>
          <w:bCs/>
          <w:color w:val="8186EF"/>
          <w:sz w:val="16"/>
          <w:szCs w:val="16"/>
        </w:rPr>
        <w:t xml:space="preserve">10  </w:t>
      </w:r>
      <w:r>
        <w:rPr>
          <w:sz w:val="16"/>
          <w:szCs w:val="16"/>
        </w:rPr>
        <w:t xml:space="preserve">CMA questions use exact terms, and the glossary on the page is what defines them here.</w:t>
      </w:r>
    </w:p>
    <w:p>
      <w:pPr>
        <w:spacing w:after="18"/>
        <w:ind w:left="300" w:hanging="300"/>
      </w:pPr>
      <w:r>
        <w:rPr>
          <w:b/>
          <w:bCs/>
          <w:color w:val="8186EF"/>
          <w:sz w:val="16"/>
          <w:szCs w:val="16"/>
        </w:rPr>
        <w:t xml:space="preserve">11  </w:t>
      </w:r>
      <w:r>
        <w:rPr>
          <w:sz w:val="16"/>
          <w:szCs w:val="16"/>
        </w:rPr>
        <w:t xml:space="preserve">Every item on a Workshop sheet is settled by something printed on the same sheet.</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write-down · replacement cost · ceiling · floor · normal profit margin</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replacement cost · floor · ceiling · write-down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identification · manipulation · liquidating</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8.1: Which test applies?. 8.2: Lower of cost or market. 8.3: The retail inventory method and the gross profit method. 8.4: Advantages and disadvantages of the methods. 8.5: Recommending a method.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“U.S. GAAP never reverses an annual write-down. Under LCM, market starts with replacement cost: the current cost to buy or make the item again. It cannot be higher than a ceiling equal to NRV, and it cannot be lower than a floor equal to NRV minus a normal profit margin.”</w:t>
      </w:r>
    </w:p>
    <w:p>
      <w:pPr>
        <w:spacing w:after="18"/>
        <w:ind w:left="300" w:hanging="300"/>
      </w:pPr>
      <w:r>
        <w:rPr>
          <w:b/>
          <w:bCs/>
          <w:color w:val="8186EF"/>
          <w:sz w:val="16"/>
          <w:szCs w:val="16"/>
        </w:rPr>
        <w:t xml:space="preserve">2  </w:t>
      </w:r>
      <w:r>
        <w:rPr>
          <w:sz w:val="16"/>
          <w:szCs w:val="16"/>
        </w:rPr>
        <w:t xml:space="preserve">The book writes: “When replacement cost is below the floor, market is the floor. When it is above the ceiling, market is the ceiling. Read the basis in the question: item by item, by category or total. In French, dépréciation des stocks is an inventory write-down, not depreciation (amortissement).”</w:t>
      </w:r>
    </w:p>
    <w:p>
      <w:pPr>
        <w:spacing w:after="18"/>
        <w:ind w:left="300" w:hanging="300"/>
      </w:pPr>
      <w:r>
        <w:rPr>
          <w:b/>
          <w:bCs/>
          <w:color w:val="8186EF"/>
          <w:sz w:val="16"/>
          <w:szCs w:val="16"/>
        </w:rPr>
        <w:t xml:space="preserve">3  </w:t>
      </w:r>
      <w:r>
        <w:rPr>
          <w:sz w:val="16"/>
          <w:szCs w:val="16"/>
        </w:rPr>
        <w:t xml:space="preserve">The book writes: “If items are identical and sold in large volumes, specific identification is costly and open to manipulation. If the company wants the U.S. tax benefit of LIFO, it must also report LIFO profits to investors, and it must avoid liquidating old layers.”</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“Which test applies?” as section 8.1.</w:t>
      </w:r>
    </w:p>
    <w:p>
      <w:pPr>
        <w:spacing w:after="18"/>
        <w:ind w:left="300" w:hanging="300"/>
      </w:pPr>
      <w:r>
        <w:rPr>
          <w:b/>
          <w:bCs/>
          <w:color w:val="8186EF"/>
          <w:sz w:val="16"/>
          <w:szCs w:val="16"/>
        </w:rPr>
        <w:t xml:space="preserve">11  </w:t>
      </w:r>
      <w:r>
        <w:rPr>
          <w:sz w:val="16"/>
          <w:szCs w:val="16"/>
        </w:rPr>
        <w:t xml:space="preserve">Item by item does not let gains on some items offset losses on others. B is wrong: The total basis lets increases offset decreases, so the write-down is smallest. C is wrong: Categories allow some offsetting inside each category.</w:t>
      </w:r>
    </w:p>
    <w:p>
      <w:pPr>
        <w:spacing w:after="18"/>
        <w:ind w:left="300" w:hanging="300"/>
      </w:pPr>
      <w:r>
        <w:rPr>
          <w:b/>
          <w:bCs/>
          <w:color w:val="8186EF"/>
          <w:sz w:val="16"/>
          <w:szCs w:val="16"/>
        </w:rPr>
        <w:t xml:space="preserve">12  </w:t>
      </w:r>
      <w:r>
        <w:rPr>
          <w:sz w:val="16"/>
          <w:szCs w:val="16"/>
        </w:rPr>
        <w:t xml:space="preserve">Leaving markdowns out gives a lower ratio, which approximates LCM. A is wrong: That is the average-cost retail method. C is wrong: Markdowns are retail amounts only.</w:t>
      </w:r>
    </w:p>
    <w:p>
      <w:pPr>
        <w:spacing w:after="18"/>
        <w:ind w:left="300" w:hanging="300"/>
      </w:pPr>
      <w:r>
        <w:rPr>
          <w:b/>
          <w:bCs/>
          <w:color w:val="8186EF"/>
          <w:sz w:val="16"/>
          <w:szCs w:val="16"/>
        </w:rPr>
        <w:t xml:space="preserve">13  </w:t>
      </w:r>
      <w:r>
        <w:rPr>
          <w:sz w:val="16"/>
          <w:szCs w:val="16"/>
        </w:rPr>
        <w:t xml:space="preserve">Goods available − net sales × (1 − gross profit rate). A is wrong: This treats the rate as a markup on cost instead of a margin on sales. B is wrong: This is the fire loss after salvage, not the inventory at the fire date.</w:t>
      </w:r>
    </w:p>
    <w:p>
      <w:pPr>
        <w:spacing w:after="18"/>
        <w:ind w:left="300" w:hanging="300"/>
      </w:pPr>
      <w:r>
        <w:rPr>
          <w:b/>
          <w:bCs/>
          <w:color w:val="8186EF"/>
          <w:sz w:val="16"/>
          <w:szCs w:val="16"/>
        </w:rPr>
        <w:t xml:space="preserve">14  </w:t>
      </w:r>
      <w:r>
        <w:rPr>
          <w:sz w:val="16"/>
          <w:szCs w:val="16"/>
        </w:rPr>
        <w:t xml:space="preserve">LIFO puts the newest costs into cost of goods sold. B is wrong: That is a FIFO advantage; LIFO inventory holds old costs. C is wrong: IFRS prohibits LIFO.</w:t>
      </w:r>
    </w:p>
    <w:p>
      <w:pPr>
        <w:spacing w:after="18"/>
        <w:ind w:left="300" w:hanging="300"/>
      </w:pPr>
      <w:r>
        <w:rPr>
          <w:b/>
          <w:bCs/>
          <w:color w:val="8186EF"/>
          <w:sz w:val="16"/>
          <w:szCs w:val="16"/>
        </w:rPr>
        <w:t xml:space="preserve">15  </w:t>
      </w:r>
      <w:r>
        <w:rPr>
          <w:sz w:val="16"/>
          <w:szCs w:val="16"/>
        </w:rPr>
        <w:t xml:space="preserve">Identical units with different costs let management pick the cost that gives the income it wants. A is wrong: Specific identification is allowed. B is wrong: It can raise or lower income, depending on the units chosen.</w:t>
      </w:r>
    </w:p>
    <w:p>
      <w:pPr>
        <w:spacing w:after="18"/>
        <w:ind w:left="300" w:hanging="300"/>
      </w:pPr>
      <w:r>
        <w:rPr>
          <w:b/>
          <w:bCs/>
          <w:color w:val="8186EF"/>
          <w:sz w:val="16"/>
          <w:szCs w:val="16"/>
        </w:rPr>
        <w:t xml:space="preserve">16  </w:t>
      </w:r>
      <w:r>
        <w:rPr>
          <w:sz w:val="16"/>
          <w:szCs w:val="16"/>
        </w:rPr>
        <w:t xml:space="preserve">IFRS rules out LIFO, whatever the tax goal. A is wrong: LIFO is prohibited under IAS 2. C is wrong: A retailer's items are interchangeable.</w:t>
      </w:r>
    </w:p>
    <w:p>
      <w:pPr>
        <w:spacing w:after="18"/>
        <w:ind w:left="300" w:hanging="300"/>
      </w:pPr>
      <w:r>
        <w:rPr>
          <w:b/>
          <w:bCs/>
          <w:color w:val="8186EF"/>
          <w:sz w:val="16"/>
          <w:szCs w:val="16"/>
        </w:rPr>
        <w:t xml:space="preserve">17  </w:t>
      </w:r>
      <w:r>
        <w:rPr>
          <w:sz w:val="16"/>
          <w:szCs w:val="16"/>
        </w:rPr>
        <w:t xml:space="preserve">Each oven is unique and valuable, so the actual cost of each unit can be tracked. A is wrong: LIFO suits interchangeable goods, not unique items. C is wrong: Averaging unique costs would distort the cost of each sale.</w:t>
      </w:r>
    </w:p>
    <w:p>
      <w:pPr>
        <w:spacing w:after="18"/>
        <w:ind w:left="300" w:hanging="300"/>
      </w:pPr>
      <w:r>
        <w:rPr>
          <w:b/>
          <w:bCs/>
          <w:color w:val="8186EF"/>
          <w:sz w:val="16"/>
          <w:szCs w:val="16"/>
        </w:rPr>
        <w:t xml:space="preserve">18  </w:t>
      </w:r>
      <w:r>
        <w:rPr>
          <w:sz w:val="16"/>
          <w:szCs w:val="16"/>
        </w:rPr>
        <w:t xml:space="preserve">Every later answer depends on the adjusted exhibit.</w:t>
      </w:r>
    </w:p>
    <w:p>
      <w:pPr>
        <w:spacing w:after="18"/>
        <w:ind w:left="300" w:hanging="300"/>
      </w:pPr>
      <w:r>
        <w:rPr>
          <w:b/>
          <w:bCs/>
          <w:color w:val="8186EF"/>
          <w:sz w:val="16"/>
          <w:szCs w:val="16"/>
        </w:rPr>
        <w:t xml:space="preserve">25  </w:t>
      </w:r>
      <w:r>
        <w:rPr>
          <w:sz w:val="16"/>
          <w:szCs w:val="16"/>
        </w:rPr>
        <w:t xml:space="preserve">The group cannot use LIFO under IFRS, so a non-LIFO method avoids two sets of records. B is wrong: LIFO would need to be reversed for the IFRS group statements. C is wrong: This adds complexity and still uses LIFO.</w:t>
      </w:r>
    </w:p>
    <w:p>
      <w:pPr>
        <w:spacing w:after="18"/>
        <w:ind w:left="300" w:hanging="300"/>
      </w:pPr>
      <w:r>
        <w:rPr>
          <w:b/>
          <w:bCs/>
          <w:color w:val="8186EF"/>
          <w:sz w:val="16"/>
          <w:szCs w:val="16"/>
        </w:rPr>
        <w:t xml:space="preserve">26  </w:t>
      </w:r>
      <w:r>
        <w:rPr>
          <w:sz w:val="16"/>
          <w:szCs w:val="16"/>
        </w:rPr>
        <w:t xml:space="preserve">Every later answer depends on the adjusted exhibit.</w:t>
      </w:r>
    </w:p>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8 — answer keys</dc:title>
  <dc:subject>Inventory II: Measurement Tests, Retail Estimates and Choosing a Method</dc:subject>
  <cp:category>Student Book</cp:category>
</cp:coreProperties>
</file>